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33" w:lineRule="exact"/>
        <w:rPr>
          <w:sz w:val="24"/>
          <w:szCs w:val="24"/>
          <w:color w:val="auto"/>
        </w:rPr>
      </w:pPr>
    </w:p>
    <w:p>
      <w:pPr>
        <w:ind w:left="480" w:hanging="445"/>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fiscal year ended June 29, 2012</w:t>
      </w:r>
    </w:p>
    <w:p>
      <w:pPr>
        <w:spacing w:after="0" w:line="26"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or</w:t>
      </w:r>
    </w:p>
    <w:p>
      <w:pPr>
        <w:ind w:left="480" w:hanging="445"/>
        <w:spacing w:after="0" w:line="216" w:lineRule="auto"/>
        <w:tabs>
          <w:tab w:leader="none" w:pos="4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18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6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Commission File Number 001-33278</w:t>
            </w:r>
          </w:p>
        </w:tc>
        <w:tc>
          <w:tcPr>
            <w:tcW w:w="4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08"/>
        </w:trPr>
        <w:tc>
          <w:tcPr>
            <w:tcW w:w="2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160" w:type="dxa"/>
            <w:vAlign w:val="bottom"/>
          </w:tcPr>
          <w:p>
            <w:pPr>
              <w:jc w:val="right"/>
              <w:ind w:right="728"/>
              <w:spacing w:after="0" w:line="109" w:lineRule="exact"/>
              <w:rPr>
                <w:sz w:val="20"/>
                <w:szCs w:val="20"/>
                <w:color w:val="auto"/>
              </w:rPr>
            </w:pPr>
            <w:r>
              <w:rPr>
                <w:rFonts w:ascii="Arial" w:cs="Arial" w:eastAsia="Arial" w:hAnsi="Arial"/>
                <w:sz w:val="11"/>
                <w:szCs w:val="11"/>
                <w:b w:val="1"/>
                <w:bCs w:val="1"/>
                <w:color w:val="auto"/>
              </w:rPr>
              <w:t>______________________________</w:t>
            </w: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481"/>
        </w:trPr>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60" w:type="dxa"/>
            <w:vAlign w:val="bottom"/>
            <w:gridSpan w:val="4"/>
          </w:tcPr>
          <w:p>
            <w:pPr>
              <w:jc w:val="center"/>
              <w:ind w:right="228"/>
              <w:spacing w:after="0"/>
              <w:rPr>
                <w:sz w:val="20"/>
                <w:szCs w:val="20"/>
                <w:color w:val="auto"/>
              </w:rPr>
            </w:pPr>
            <w:r>
              <w:rPr>
                <w:rFonts w:ascii="Arial" w:cs="Arial" w:eastAsia="Arial" w:hAnsi="Arial"/>
                <w:sz w:val="40"/>
                <w:szCs w:val="40"/>
                <w:b w:val="1"/>
                <w:bCs w:val="1"/>
                <w:color w:val="auto"/>
                <w:w w:val="99"/>
              </w:rPr>
              <w:t>AVIAT NETWORKS, INC.</w:t>
            </w:r>
          </w:p>
        </w:tc>
        <w:tc>
          <w:tcPr>
            <w:tcW w:w="180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59"/>
        </w:trPr>
        <w:tc>
          <w:tcPr>
            <w:tcW w:w="2060" w:type="dxa"/>
            <w:vAlign w:val="bottom"/>
          </w:tcPr>
          <w:p>
            <w:pPr>
              <w:spacing w:after="0"/>
              <w:rPr>
                <w:sz w:val="24"/>
                <w:szCs w:val="24"/>
                <w:color w:val="auto"/>
              </w:rPr>
            </w:pPr>
          </w:p>
        </w:tc>
        <w:tc>
          <w:tcPr>
            <w:tcW w:w="1920" w:type="dxa"/>
            <w:vAlign w:val="bottom"/>
            <w:gridSpan w:val="2"/>
          </w:tcPr>
          <w:p>
            <w:pPr>
              <w:jc w:val="center"/>
              <w:ind w:right="654"/>
              <w:spacing w:after="0"/>
              <w:rPr>
                <w:sz w:val="20"/>
                <w:szCs w:val="20"/>
                <w:color w:val="auto"/>
              </w:rPr>
            </w:pPr>
            <w:r>
              <w:rPr>
                <w:rFonts w:ascii="Arial" w:cs="Arial" w:eastAsia="Arial" w:hAnsi="Arial"/>
                <w:sz w:val="16"/>
                <w:szCs w:val="16"/>
                <w:b w:val="1"/>
                <w:bCs w:val="1"/>
                <w:color w:val="auto"/>
                <w:w w:val="93"/>
              </w:rPr>
              <w:t>Delaware</w:t>
            </w: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jc w:val="right"/>
              <w:ind w:right="923"/>
              <w:spacing w:after="0"/>
              <w:rPr>
                <w:sz w:val="20"/>
                <w:szCs w:val="20"/>
                <w:color w:val="auto"/>
              </w:rPr>
            </w:pPr>
            <w:r>
              <w:rPr>
                <w:rFonts w:ascii="Arial" w:cs="Arial" w:eastAsia="Arial" w:hAnsi="Arial"/>
                <w:sz w:val="16"/>
                <w:szCs w:val="16"/>
                <w:b w:val="1"/>
                <w:bCs w:val="1"/>
                <w:color w:val="auto"/>
                <w:w w:val="91"/>
              </w:rPr>
              <w:t>20-5961564</w:t>
            </w:r>
          </w:p>
        </w:tc>
      </w:tr>
      <w:tr>
        <w:trPr>
          <w:trHeight w:val="177"/>
        </w:trPr>
        <w:tc>
          <w:tcPr>
            <w:tcW w:w="3980" w:type="dxa"/>
            <w:vAlign w:val="bottom"/>
            <w:gridSpan w:val="3"/>
          </w:tcPr>
          <w:p>
            <w:pPr>
              <w:jc w:val="center"/>
              <w:ind w:left="1207"/>
              <w:spacing w:after="0"/>
              <w:rPr>
                <w:sz w:val="20"/>
                <w:szCs w:val="20"/>
                <w:color w:val="auto"/>
              </w:rPr>
            </w:pPr>
            <w:r>
              <w:rPr>
                <w:rFonts w:ascii="Arial" w:cs="Arial" w:eastAsia="Arial" w:hAnsi="Arial"/>
                <w:sz w:val="13"/>
                <w:szCs w:val="13"/>
                <w:b w:val="1"/>
                <w:bCs w:val="1"/>
                <w:color w:val="auto"/>
                <w:w w:val="88"/>
              </w:rPr>
              <w:t>(State or other jurisdiction of</w:t>
            </w:r>
          </w:p>
        </w:tc>
        <w:tc>
          <w:tcPr>
            <w:tcW w:w="3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gridSpan w:val="2"/>
          </w:tcPr>
          <w:p>
            <w:pPr>
              <w:jc w:val="center"/>
              <w:ind w:right="50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980" w:type="dxa"/>
            <w:vAlign w:val="bottom"/>
            <w:gridSpan w:val="3"/>
          </w:tcPr>
          <w:p>
            <w:pPr>
              <w:jc w:val="center"/>
              <w:ind w:left="1207"/>
              <w:spacing w:after="0"/>
              <w:rPr>
                <w:sz w:val="20"/>
                <w:szCs w:val="20"/>
                <w:color w:val="auto"/>
              </w:rPr>
            </w:pPr>
            <w:r>
              <w:rPr>
                <w:rFonts w:ascii="Arial" w:cs="Arial" w:eastAsia="Arial" w:hAnsi="Arial"/>
                <w:sz w:val="13"/>
                <w:szCs w:val="13"/>
                <w:b w:val="1"/>
                <w:bCs w:val="1"/>
                <w:color w:val="auto"/>
                <w:w w:val="89"/>
              </w:rPr>
              <w:t>incorporation or organization)</w:t>
            </w: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gridSpan w:val="2"/>
          </w:tcPr>
          <w:p>
            <w:pPr>
              <w:jc w:val="center"/>
              <w:ind w:right="503"/>
              <w:spacing w:after="0"/>
              <w:rPr>
                <w:sz w:val="20"/>
                <w:szCs w:val="20"/>
                <w:color w:val="auto"/>
              </w:rPr>
            </w:pPr>
            <w:r>
              <w:rPr>
                <w:rFonts w:ascii="Arial" w:cs="Arial" w:eastAsia="Arial" w:hAnsi="Arial"/>
                <w:sz w:val="13"/>
                <w:szCs w:val="13"/>
                <w:b w:val="1"/>
                <w:bCs w:val="1"/>
                <w:color w:val="auto"/>
                <w:w w:val="91"/>
              </w:rPr>
              <w:t>Identification No.)</w:t>
            </w:r>
          </w:p>
        </w:tc>
      </w:tr>
      <w:tr>
        <w:trPr>
          <w:trHeight w:val="353"/>
        </w:trPr>
        <w:tc>
          <w:tcPr>
            <w:tcW w:w="3980" w:type="dxa"/>
            <w:vAlign w:val="bottom"/>
            <w:gridSpan w:val="3"/>
          </w:tcPr>
          <w:p>
            <w:pPr>
              <w:jc w:val="center"/>
              <w:ind w:left="1207"/>
              <w:spacing w:after="0"/>
              <w:rPr>
                <w:sz w:val="20"/>
                <w:szCs w:val="20"/>
                <w:color w:val="auto"/>
              </w:rPr>
            </w:pPr>
            <w:r>
              <w:rPr>
                <w:rFonts w:ascii="Arial" w:cs="Arial" w:eastAsia="Arial" w:hAnsi="Arial"/>
                <w:sz w:val="16"/>
                <w:szCs w:val="16"/>
                <w:b w:val="1"/>
                <w:bCs w:val="1"/>
                <w:color w:val="auto"/>
                <w:w w:val="94"/>
              </w:rPr>
              <w:t>5200 Great America Parkway</w:t>
            </w: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0"/>
        </w:trPr>
        <w:tc>
          <w:tcPr>
            <w:tcW w:w="3980" w:type="dxa"/>
            <w:vAlign w:val="bottom"/>
            <w:gridSpan w:val="3"/>
          </w:tcPr>
          <w:p>
            <w:pPr>
              <w:jc w:val="center"/>
              <w:ind w:left="1207"/>
              <w:spacing w:after="0"/>
              <w:rPr>
                <w:sz w:val="20"/>
                <w:szCs w:val="20"/>
                <w:color w:val="auto"/>
              </w:rPr>
            </w:pPr>
            <w:r>
              <w:rPr>
                <w:rFonts w:ascii="Arial" w:cs="Arial" w:eastAsia="Arial" w:hAnsi="Arial"/>
                <w:sz w:val="16"/>
                <w:szCs w:val="16"/>
                <w:b w:val="1"/>
                <w:bCs w:val="1"/>
                <w:color w:val="auto"/>
                <w:w w:val="94"/>
              </w:rPr>
              <w:t>Santa Clara, California</w:t>
            </w: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jc w:val="right"/>
              <w:ind w:right="1123"/>
              <w:spacing w:after="0"/>
              <w:rPr>
                <w:sz w:val="20"/>
                <w:szCs w:val="20"/>
                <w:color w:val="auto"/>
              </w:rPr>
            </w:pPr>
            <w:r>
              <w:rPr>
                <w:rFonts w:ascii="Arial" w:cs="Arial" w:eastAsia="Arial" w:hAnsi="Arial"/>
                <w:sz w:val="16"/>
                <w:szCs w:val="16"/>
                <w:b w:val="1"/>
                <w:bCs w:val="1"/>
                <w:color w:val="auto"/>
              </w:rPr>
              <w:t>95054</w:t>
            </w:r>
          </w:p>
        </w:tc>
      </w:tr>
      <w:tr>
        <w:trPr>
          <w:trHeight w:val="220"/>
        </w:trPr>
        <w:tc>
          <w:tcPr>
            <w:tcW w:w="3980" w:type="dxa"/>
            <w:vAlign w:val="bottom"/>
            <w:gridSpan w:val="3"/>
          </w:tcPr>
          <w:p>
            <w:pPr>
              <w:jc w:val="center"/>
              <w:ind w:left="1207"/>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center"/>
              <w:ind w:right="923"/>
              <w:spacing w:after="0"/>
              <w:rPr>
                <w:sz w:val="20"/>
                <w:szCs w:val="20"/>
                <w:color w:val="auto"/>
              </w:rPr>
            </w:pPr>
            <w:r>
              <w:rPr>
                <w:rFonts w:ascii="Arial" w:cs="Arial" w:eastAsia="Arial" w:hAnsi="Arial"/>
                <w:sz w:val="13"/>
                <w:szCs w:val="13"/>
                <w:b w:val="1"/>
                <w:bCs w:val="1"/>
                <w:color w:val="auto"/>
                <w:w w:val="93"/>
              </w:rPr>
              <w:t>(Zip Code)</w:t>
            </w:r>
          </w:p>
        </w:tc>
      </w:tr>
      <w:tr>
        <w:trPr>
          <w:trHeight w:val="241"/>
        </w:trPr>
        <w:tc>
          <w:tcPr>
            <w:tcW w:w="2060" w:type="dxa"/>
            <w:vAlign w:val="bottom"/>
          </w:tcPr>
          <w:p>
            <w:pPr>
              <w:spacing w:after="0"/>
              <w:rPr>
                <w:sz w:val="20"/>
                <w:szCs w:val="20"/>
                <w:color w:val="auto"/>
              </w:rPr>
            </w:pPr>
          </w:p>
        </w:tc>
        <w:tc>
          <w:tcPr>
            <w:tcW w:w="6100" w:type="dxa"/>
            <w:vAlign w:val="bottom"/>
            <w:gridSpan w:val="5"/>
          </w:tcPr>
          <w:p>
            <w:pPr>
              <w:jc w:val="center"/>
              <w:ind w:left="757"/>
              <w:spacing w:after="0"/>
              <w:rPr>
                <w:sz w:val="20"/>
                <w:szCs w:val="20"/>
                <w:color w:val="auto"/>
              </w:rPr>
            </w:pPr>
            <w:r>
              <w:rPr>
                <w:rFonts w:ascii="Arial" w:cs="Arial" w:eastAsia="Arial" w:hAnsi="Arial"/>
                <w:sz w:val="18"/>
                <w:szCs w:val="18"/>
                <w:b w:val="1"/>
                <w:bCs w:val="1"/>
                <w:color w:val="auto"/>
                <w:w w:val="89"/>
              </w:rPr>
              <w:t>Registrant’s telephone number, including area code: (408) 567-7000</w:t>
            </w:r>
          </w:p>
        </w:tc>
        <w:tc>
          <w:tcPr>
            <w:tcW w:w="1800" w:type="dxa"/>
            <w:vAlign w:val="bottom"/>
          </w:tcPr>
          <w:p>
            <w:pPr>
              <w:spacing w:after="0"/>
              <w:rPr>
                <w:sz w:val="20"/>
                <w:szCs w:val="20"/>
                <w:color w:val="auto"/>
              </w:rPr>
            </w:pPr>
          </w:p>
        </w:tc>
      </w:tr>
      <w:tr>
        <w:trPr>
          <w:trHeight w:val="234"/>
        </w:trPr>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40" w:type="dxa"/>
            <w:vAlign w:val="bottom"/>
            <w:gridSpan w:val="3"/>
          </w:tcPr>
          <w:p>
            <w:pPr>
              <w:jc w:val="center"/>
              <w:ind w:left="1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97"/>
        </w:trPr>
        <w:tc>
          <w:tcPr>
            <w:tcW w:w="2060" w:type="dxa"/>
            <w:vAlign w:val="bottom"/>
          </w:tcPr>
          <w:p>
            <w:pPr>
              <w:spacing w:after="0"/>
              <w:rPr>
                <w:sz w:val="24"/>
                <w:szCs w:val="24"/>
                <w:color w:val="auto"/>
              </w:rPr>
            </w:pPr>
          </w:p>
        </w:tc>
        <w:tc>
          <w:tcPr>
            <w:tcW w:w="1920" w:type="dxa"/>
            <w:vAlign w:val="bottom"/>
            <w:gridSpan w:val="2"/>
          </w:tcPr>
          <w:p>
            <w:pPr>
              <w:jc w:val="center"/>
              <w:ind w:right="654"/>
              <w:spacing w:after="0"/>
              <w:rPr>
                <w:sz w:val="20"/>
                <w:szCs w:val="20"/>
                <w:color w:val="auto"/>
              </w:rPr>
            </w:pPr>
            <w:r>
              <w:rPr>
                <w:rFonts w:ascii="Arial" w:cs="Arial" w:eastAsia="Arial" w:hAnsi="Arial"/>
                <w:sz w:val="14"/>
                <w:szCs w:val="14"/>
                <w:b w:val="1"/>
                <w:bCs w:val="1"/>
                <w:color w:val="auto"/>
                <w:w w:val="91"/>
              </w:rPr>
              <w:t>Title of Each Class</w:t>
            </w:r>
          </w:p>
        </w:tc>
        <w:tc>
          <w:tcPr>
            <w:tcW w:w="316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20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211"/>
        </w:trPr>
        <w:tc>
          <w:tcPr>
            <w:tcW w:w="3980" w:type="dxa"/>
            <w:vAlign w:val="bottom"/>
            <w:gridSpan w:val="3"/>
          </w:tcPr>
          <w:p>
            <w:pPr>
              <w:jc w:val="center"/>
              <w:ind w:left="1207"/>
              <w:spacing w:after="0"/>
              <w:rPr>
                <w:sz w:val="20"/>
                <w:szCs w:val="20"/>
                <w:color w:val="auto"/>
              </w:rPr>
            </w:pPr>
            <w:r>
              <w:rPr>
                <w:rFonts w:ascii="Arial" w:cs="Arial" w:eastAsia="Arial" w:hAnsi="Arial"/>
                <w:sz w:val="14"/>
                <w:szCs w:val="14"/>
                <w:color w:val="auto"/>
                <w:w w:val="91"/>
              </w:rPr>
              <w:t>Common Stock, par value $0.01 per share</w:t>
            </w:r>
          </w:p>
        </w:tc>
        <w:tc>
          <w:tcPr>
            <w:tcW w:w="3160" w:type="dxa"/>
            <w:vAlign w:val="bottom"/>
          </w:tcPr>
          <w:p>
            <w:pPr>
              <w:spacing w:after="0"/>
              <w:rPr>
                <w:sz w:val="18"/>
                <w:szCs w:val="18"/>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color w:val="auto"/>
                <w:w w:val="97"/>
              </w:rPr>
              <w:t>The NASDAQ Global Market</w:t>
            </w:r>
          </w:p>
        </w:tc>
      </w:tr>
      <w:tr>
        <w:trPr>
          <w:trHeight w:val="255"/>
        </w:trPr>
        <w:tc>
          <w:tcPr>
            <w:tcW w:w="2060" w:type="dxa"/>
            <w:vAlign w:val="bottom"/>
          </w:tcPr>
          <w:p>
            <w:pPr>
              <w:spacing w:after="0"/>
              <w:rPr>
                <w:sz w:val="22"/>
                <w:szCs w:val="22"/>
                <w:color w:val="auto"/>
              </w:rPr>
            </w:pPr>
          </w:p>
        </w:tc>
        <w:tc>
          <w:tcPr>
            <w:tcW w:w="6100" w:type="dxa"/>
            <w:vAlign w:val="bottom"/>
            <w:gridSpan w:val="5"/>
          </w:tcPr>
          <w:p>
            <w:pPr>
              <w:jc w:val="center"/>
              <w:ind w:left="777"/>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800" w:type="dxa"/>
            <w:vAlign w:val="bottom"/>
          </w:tcPr>
          <w:p>
            <w:pPr>
              <w:spacing w:after="0"/>
              <w:rPr>
                <w:sz w:val="22"/>
                <w:szCs w:val="22"/>
                <w:color w:val="auto"/>
              </w:rPr>
            </w:pPr>
          </w:p>
        </w:tc>
      </w:tr>
      <w:tr>
        <w:trPr>
          <w:trHeight w:val="191"/>
        </w:trPr>
        <w:tc>
          <w:tcPr>
            <w:tcW w:w="2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160" w:type="dxa"/>
            <w:vAlign w:val="bottom"/>
          </w:tcPr>
          <w:p>
            <w:pPr>
              <w:jc w:val="right"/>
              <w:ind w:right="6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22"/>
        </w:trPr>
        <w:tc>
          <w:tcPr>
            <w:tcW w:w="774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20" w:type="dxa"/>
            <w:vAlign w:val="bottom"/>
          </w:tcPr>
          <w:p>
            <w:pPr>
              <w:ind w:left="20"/>
              <w:spacing w:after="0"/>
              <w:rPr>
                <w:sz w:val="20"/>
                <w:szCs w:val="20"/>
                <w:color w:val="auto"/>
              </w:rPr>
            </w:pPr>
            <w:r>
              <w:rPr>
                <w:rFonts w:ascii="Arial" w:cs="Arial" w:eastAsia="Arial" w:hAnsi="Arial"/>
                <w:sz w:val="16"/>
                <w:szCs w:val="16"/>
                <w:color w:val="auto"/>
                <w:w w:val="92"/>
              </w:rPr>
              <w:t>Yes o</w:t>
            </w:r>
          </w:p>
        </w:tc>
        <w:tc>
          <w:tcPr>
            <w:tcW w:w="1800" w:type="dxa"/>
            <w:vAlign w:val="bottom"/>
          </w:tcPr>
          <w:p>
            <w:pPr>
              <w:ind w:left="160"/>
              <w:spacing w:after="0"/>
              <w:rPr>
                <w:sz w:val="20"/>
                <w:szCs w:val="20"/>
                <w:color w:val="auto"/>
              </w:rPr>
            </w:pPr>
            <w:r>
              <w:rPr>
                <w:rFonts w:ascii="Arial" w:cs="Arial" w:eastAsia="Arial" w:hAnsi="Arial"/>
                <w:sz w:val="16"/>
                <w:szCs w:val="16"/>
                <w:color w:val="auto"/>
              </w:rPr>
              <w:t>No x</w:t>
            </w:r>
          </w:p>
        </w:tc>
      </w:tr>
      <w:tr>
        <w:trPr>
          <w:trHeight w:val="216"/>
        </w:trPr>
        <w:tc>
          <w:tcPr>
            <w:tcW w:w="774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20" w:type="dxa"/>
            <w:vAlign w:val="bottom"/>
          </w:tcPr>
          <w:p>
            <w:pPr>
              <w:ind w:left="160"/>
              <w:spacing w:after="0"/>
              <w:rPr>
                <w:sz w:val="20"/>
                <w:szCs w:val="20"/>
                <w:color w:val="auto"/>
              </w:rPr>
            </w:pPr>
            <w:r>
              <w:rPr>
                <w:rFonts w:ascii="Arial" w:cs="Arial" w:eastAsia="Arial" w:hAnsi="Arial"/>
                <w:sz w:val="16"/>
                <w:szCs w:val="16"/>
                <w:color w:val="auto"/>
                <w:w w:val="86"/>
              </w:rPr>
              <w:t>Yes</w:t>
            </w:r>
          </w:p>
        </w:tc>
        <w:tc>
          <w:tcPr>
            <w:tcW w:w="1800" w:type="dxa"/>
            <w:vAlign w:val="bottom"/>
          </w:tcPr>
          <w:p>
            <w:pPr>
              <w:ind w:left="60"/>
              <w:spacing w:after="0"/>
              <w:rPr>
                <w:sz w:val="20"/>
                <w:szCs w:val="20"/>
                <w:color w:val="auto"/>
              </w:rPr>
            </w:pPr>
            <w:r>
              <w:rPr>
                <w:rFonts w:ascii="Arial" w:cs="Arial" w:eastAsia="Arial" w:hAnsi="Arial"/>
                <w:sz w:val="16"/>
                <w:szCs w:val="16"/>
                <w:color w:val="auto"/>
              </w:rPr>
              <w:t>o  No x</w:t>
            </w:r>
          </w:p>
        </w:tc>
      </w:tr>
    </w:tbl>
    <w:p>
      <w:pPr>
        <w:spacing w:after="0" w:line="10" w:lineRule="exact"/>
        <w:rPr>
          <w:sz w:val="24"/>
          <w:szCs w:val="24"/>
          <w:color w:val="auto"/>
        </w:rPr>
      </w:pPr>
    </w:p>
    <w:p>
      <w:pPr>
        <w:ind w:left="180"/>
        <w:spacing w:after="0"/>
        <w:rPr>
          <w:sz w:val="20"/>
          <w:szCs w:val="20"/>
          <w:color w:val="auto"/>
        </w:rPr>
      </w:pPr>
      <w:r>
        <w:rPr>
          <w:rFonts w:ascii="Arial" w:cs="Arial" w:eastAsia="Arial" w:hAnsi="Arial"/>
          <w:sz w:val="14"/>
          <w:szCs w:val="14"/>
          <w:color w:val="auto"/>
        </w:rPr>
        <w:t>Indicate by check mark whether the registrant (l)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8" w:lineRule="exact"/>
        <w:rPr>
          <w:sz w:val="24"/>
          <w:szCs w:val="24"/>
          <w:color w:val="auto"/>
        </w:rPr>
      </w:pPr>
    </w:p>
    <w:p>
      <w:pPr>
        <w:ind w:right="140" w:firstLine="162"/>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 w:lineRule="exact"/>
        <w:rPr>
          <w:sz w:val="24"/>
          <w:szCs w:val="24"/>
          <w:color w:val="auto"/>
        </w:rPr>
      </w:pPr>
    </w:p>
    <w:p>
      <w:pPr>
        <w:ind w:right="80" w:firstLine="162"/>
        <w:spacing w:after="0" w:line="264"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statements incorporated by reference in Part III of this Form 10-K or any amendment to this Form 10-K. x</w:t>
      </w:r>
    </w:p>
    <w:p>
      <w:pPr>
        <w:ind w:right="160" w:firstLine="16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093"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480" w:space="720"/>
            <w:col w:w="4040" w:space="720"/>
            <w:col w:w="2840" w:space="720"/>
            <w:col w:w="880"/>
          </w:cols>
          <w:pgMar w:left="240" w:top="1093"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1480" w:space="720"/>
            <w:col w:w="4040" w:space="720"/>
            <w:col w:w="2840" w:space="720"/>
            <w:col w:w="880"/>
          </w:cols>
          <w:pgMar w:left="240" w:top="1093" w:right="259" w:bottom="1440" w:gutter="0" w:footer="0" w:header="0"/>
          <w:type w:val="continuous"/>
        </w:sectPr>
      </w:pPr>
    </w:p>
    <w:p>
      <w:pPr>
        <w:jc w:val="center"/>
        <w:ind w:left="18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 x</w:t>
      </w:r>
    </w:p>
    <w:p>
      <w:pPr>
        <w:spacing w:after="0" w:line="32" w:lineRule="exact"/>
        <w:rPr>
          <w:sz w:val="24"/>
          <w:szCs w:val="24"/>
          <w:color w:val="auto"/>
        </w:rPr>
      </w:pPr>
    </w:p>
    <w:p>
      <w:pPr>
        <w:sectPr>
          <w:pgSz w:w="11900" w:h="16838" w:orient="portrait"/>
          <w:cols w:equalWidth="0" w:num="3">
            <w:col w:w="7540" w:space="140"/>
            <w:col w:w="400" w:space="160"/>
            <w:col w:w="3160"/>
          </w:cols>
          <w:pgMar w:left="240" w:top="1093" w:right="259" w:bottom="1440" w:gutter="0" w:footer="0" w:header="0"/>
          <w:type w:val="continuous"/>
        </w:sectPr>
      </w:pPr>
    </w:p>
    <w:p>
      <w:pPr>
        <w:ind w:right="260" w:firstLine="162"/>
        <w:spacing w:after="0" w:line="258" w:lineRule="auto"/>
        <w:rPr>
          <w:sz w:val="20"/>
          <w:szCs w:val="20"/>
          <w:color w:val="auto"/>
        </w:rPr>
      </w:pPr>
      <w:r>
        <w:rPr>
          <w:rFonts w:ascii="Arial" w:cs="Arial" w:eastAsia="Arial" w:hAnsi="Arial"/>
          <w:sz w:val="16"/>
          <w:szCs w:val="16"/>
          <w:color w:val="auto"/>
        </w:rPr>
        <w:t>As of December 30, 2011 (the last business day of the registrant’s most recently completed second fiscal quarter), the aggregate market value of the registrant’s Common Stock held by non-affiliates was approximately $82,515,000 based upon the closing price per share on the NASDAQ Global Market. For purposes of this calculation, the registrant has assumed that its directors and executive officers as of December 30, 2011 are affiliates.</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The number of shares outstanding of the registrant’s Common Stock as of August 15, 2012 was 61,274,740 shares.</w:t>
      </w:r>
    </w:p>
    <w:p>
      <w:pPr>
        <w:spacing w:after="0" w:line="28" w:lineRule="exact"/>
        <w:rPr>
          <w:sz w:val="24"/>
          <w:szCs w:val="24"/>
          <w:color w:val="auto"/>
        </w:rPr>
      </w:pPr>
    </w:p>
    <w:p>
      <w:pPr>
        <w:ind w:left="4820"/>
        <w:spacing w:after="0"/>
        <w:rPr>
          <w:sz w:val="20"/>
          <w:szCs w:val="20"/>
          <w:color w:val="auto"/>
        </w:rPr>
      </w:pPr>
      <w:r>
        <w:rPr>
          <w:rFonts w:ascii="Arial" w:cs="Arial" w:eastAsia="Arial" w:hAnsi="Arial"/>
          <w:sz w:val="11"/>
          <w:szCs w:val="11"/>
          <w:b w:val="1"/>
          <w:bCs w:val="1"/>
          <w:color w:val="auto"/>
        </w:rPr>
        <w:t>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firstLine="162"/>
        <w:spacing w:after="0" w:line="261" w:lineRule="auto"/>
        <w:rPr>
          <w:sz w:val="20"/>
          <w:szCs w:val="20"/>
          <w:color w:val="auto"/>
        </w:rPr>
      </w:pPr>
      <w:r>
        <w:rPr>
          <w:rFonts w:ascii="Arial" w:cs="Arial" w:eastAsia="Arial" w:hAnsi="Arial"/>
          <w:sz w:val="16"/>
          <w:szCs w:val="16"/>
          <w:color w:val="auto"/>
        </w:rPr>
        <w:t>Portions of the registrant’s definitive Proxy Statement for the Annual Meeting of Stockholders scheduled to be held on or about November 13, 2012, which will be filed with the Securities and Exchange Commission within 120 days after the end of the registrant’s fiscal year ended June 29, 2012,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20" w:type="dxa"/>
            <w:vAlign w:val="bottom"/>
            <w:gridSpan w:val="10"/>
          </w:tcPr>
          <w:p>
            <w:pPr>
              <w:jc w:val="center"/>
              <w:ind w:right="4280"/>
              <w:spacing w:after="0"/>
              <w:rPr>
                <w:sz w:val="20"/>
                <w:szCs w:val="20"/>
                <w:color w:val="auto"/>
              </w:rPr>
            </w:pPr>
            <w:r>
              <w:rPr>
                <w:rFonts w:ascii="Arial" w:cs="Arial" w:eastAsia="Arial" w:hAnsi="Arial"/>
                <w:sz w:val="18"/>
                <w:szCs w:val="18"/>
                <w:b w:val="1"/>
                <w:bCs w:val="1"/>
                <w:color w:val="auto"/>
              </w:rPr>
              <w:t>AVIAT NETWORKS,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40" w:type="dxa"/>
            <w:vAlign w:val="bottom"/>
            <w:gridSpan w:val="11"/>
          </w:tcPr>
          <w:p>
            <w:pPr>
              <w:jc w:val="center"/>
              <w:ind w:right="348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40" w:type="dxa"/>
            <w:vAlign w:val="bottom"/>
            <w:gridSpan w:val="11"/>
          </w:tcPr>
          <w:p>
            <w:pPr>
              <w:jc w:val="center"/>
              <w:ind w:right="3480"/>
              <w:spacing w:after="0"/>
              <w:rPr>
                <w:sz w:val="20"/>
                <w:szCs w:val="20"/>
                <w:color w:val="auto"/>
              </w:rPr>
            </w:pPr>
            <w:r>
              <w:rPr>
                <w:rFonts w:ascii="Arial" w:cs="Arial" w:eastAsia="Arial" w:hAnsi="Arial"/>
                <w:sz w:val="18"/>
                <w:szCs w:val="18"/>
                <w:b w:val="1"/>
                <w:bCs w:val="1"/>
                <w:color w:val="auto"/>
                <w:w w:val="90"/>
              </w:rPr>
              <w:t>For the Fiscal Year Ended June 29, 2012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8"/>
          </w:tcPr>
          <w:p>
            <w:pPr>
              <w:jc w:val="center"/>
              <w:ind w:right="4760"/>
              <w:spacing w:after="0"/>
              <w:rPr>
                <w:sz w:val="20"/>
                <w:szCs w:val="20"/>
                <w:color w:val="auto"/>
              </w:rPr>
            </w:pPr>
            <w:r>
              <w:rPr>
                <w:rFonts w:ascii="Arial" w:cs="Arial" w:eastAsia="Arial" w:hAnsi="Arial"/>
                <w:sz w:val="18"/>
                <w:szCs w:val="18"/>
                <w:b w:val="1"/>
                <w:bCs w:val="1"/>
                <w:color w:val="auto"/>
                <w:w w:val="89"/>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1640" w:type="dxa"/>
            <w:vAlign w:val="bottom"/>
            <w:gridSpan w:val="8"/>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20"/>
          </w:tcPr>
          <w:p>
            <w:pPr>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180" w:type="dxa"/>
            <w:vAlign w:val="bottom"/>
            <w:gridSpan w:val="2"/>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20"/>
          </w:tcPr>
          <w:p>
            <w:pPr>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180" w:type="dxa"/>
            <w:vAlign w:val="bottom"/>
            <w:gridSpan w:val="2"/>
          </w:tcPr>
          <w:p>
            <w:pPr>
              <w:jc w:val="right"/>
              <w:spacing w:after="0"/>
              <w:rPr>
                <w:rFonts w:ascii="Arial" w:cs="Arial" w:eastAsia="Arial" w:hAnsi="Arial"/>
                <w:sz w:val="18"/>
                <w:szCs w:val="18"/>
                <w:color w:val="auto"/>
                <w:w w:val="79"/>
              </w:rPr>
            </w:pPr>
            <w:hyperlink w:anchor="page12">
              <w:r>
                <w:rPr>
                  <w:rFonts w:ascii="Arial" w:cs="Arial" w:eastAsia="Arial" w:hAnsi="Arial"/>
                  <w:sz w:val="18"/>
                  <w:szCs w:val="18"/>
                  <w:color w:val="auto"/>
                  <w:w w:val="79"/>
                </w:rPr>
                <w:t>13</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9580" w:type="dxa"/>
            <w:vAlign w:val="bottom"/>
            <w:gridSpan w:val="20"/>
          </w:tcPr>
          <w:p>
            <w:pPr>
              <w:spacing w:after="0"/>
              <w:rPr>
                <w:rFonts w:ascii="Arial" w:cs="Arial" w:eastAsia="Arial" w:hAnsi="Arial"/>
                <w:sz w:val="18"/>
                <w:szCs w:val="18"/>
                <w:color w:val="auto"/>
              </w:rPr>
            </w:pPr>
            <w:hyperlink w:anchor="page22">
              <w:r>
                <w:rPr>
                  <w:rFonts w:ascii="Arial" w:cs="Arial" w:eastAsia="Arial" w:hAnsi="Arial"/>
                  <w:sz w:val="18"/>
                  <w:szCs w:val="18"/>
                  <w:color w:val="auto"/>
                </w:rPr>
                <w:t>Unresolved Staff Comments</w:t>
              </w:r>
            </w:hyperlink>
          </w:p>
        </w:tc>
        <w:tc>
          <w:tcPr>
            <w:tcW w:w="180" w:type="dxa"/>
            <w:vAlign w:val="bottom"/>
            <w:gridSpan w:val="2"/>
          </w:tcPr>
          <w:p>
            <w:pPr>
              <w:jc w:val="right"/>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22</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auto"/>
              <w:bottom w:val="single" w:sz="8" w:color="auto"/>
            </w:tcBorders>
            <w:gridSpan w:val="2"/>
          </w:tcPr>
          <w:p>
            <w:pPr>
              <w:spacing w:after="0"/>
              <w:rPr>
                <w:rFonts w:ascii="Arial" w:cs="Arial" w:eastAsia="Arial" w:hAnsi="Arial"/>
                <w:sz w:val="18"/>
                <w:szCs w:val="18"/>
                <w:color w:val="auto"/>
                <w:w w:val="87"/>
              </w:rPr>
            </w:pPr>
            <w:hyperlink w:anchor="page22">
              <w:r>
                <w:rPr>
                  <w:rFonts w:ascii="Arial" w:cs="Arial" w:eastAsia="Arial" w:hAnsi="Arial"/>
                  <w:sz w:val="18"/>
                  <w:szCs w:val="18"/>
                  <w:color w:val="auto"/>
                  <w:w w:val="87"/>
                </w:rPr>
                <w:t>Properties</w:t>
              </w:r>
            </w:hyperlink>
          </w:p>
        </w:tc>
        <w:tc>
          <w:tcPr>
            <w:tcW w:w="1300" w:type="dxa"/>
            <w:vAlign w:val="bottom"/>
            <w:tcBorders>
              <w:top w:val="single" w:sz="8" w:color="auto"/>
            </w:tcBorders>
            <w:gridSpan w:val="7"/>
          </w:tcPr>
          <w:p>
            <w:pPr>
              <w:spacing w:after="0"/>
              <w:rPr>
                <w:sz w:val="21"/>
                <w:szCs w:val="21"/>
                <w:color w:val="auto"/>
              </w:rPr>
            </w:pPr>
          </w:p>
        </w:tc>
        <w:tc>
          <w:tcPr>
            <w:tcW w:w="7540" w:type="dxa"/>
            <w:vAlign w:val="bottom"/>
            <w:gridSpan w:val="11"/>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22</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auto"/>
            </w:tcBorders>
            <w:gridSpan w:val="5"/>
          </w:tcPr>
          <w:p>
            <w:pPr>
              <w:spacing w:after="0"/>
              <w:rPr>
                <w:rFonts w:ascii="Arial" w:cs="Arial" w:eastAsia="Arial" w:hAnsi="Arial"/>
                <w:sz w:val="18"/>
                <w:szCs w:val="18"/>
                <w:color w:val="auto"/>
                <w:w w:val="88"/>
              </w:rPr>
            </w:pPr>
            <w:hyperlink w:anchor="page22">
              <w:r>
                <w:rPr>
                  <w:rFonts w:ascii="Arial" w:cs="Arial" w:eastAsia="Arial" w:hAnsi="Arial"/>
                  <w:sz w:val="18"/>
                  <w:szCs w:val="18"/>
                  <w:color w:val="auto"/>
                  <w:w w:val="88"/>
                </w:rPr>
                <w:t>Legal Proceedings</w:t>
              </w:r>
            </w:hyperlink>
          </w:p>
        </w:tc>
        <w:tc>
          <w:tcPr>
            <w:tcW w:w="8240" w:type="dxa"/>
            <w:vAlign w:val="bottom"/>
            <w:gridSpan w:val="15"/>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22</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20"/>
          </w:tcPr>
          <w:p>
            <w:pPr>
              <w:spacing w:after="0"/>
              <w:rPr>
                <w:sz w:val="20"/>
                <w:szCs w:val="20"/>
                <w:color w:val="auto"/>
              </w:rPr>
            </w:pPr>
            <w:r>
              <w:rPr>
                <w:rFonts w:ascii="Arial" w:cs="Arial" w:eastAsia="Arial" w:hAnsi="Arial"/>
                <w:sz w:val="18"/>
                <w:szCs w:val="18"/>
                <w:color w:val="auto"/>
              </w:rPr>
              <w:t>Mine Safety Disclosures</w:t>
            </w:r>
          </w:p>
        </w:tc>
        <w:tc>
          <w:tcPr>
            <w:tcW w:w="180" w:type="dxa"/>
            <w:vAlign w:val="bottom"/>
            <w:gridSpan w:val="2"/>
          </w:tcPr>
          <w:p>
            <w:pPr>
              <w:jc w:val="right"/>
              <w:spacing w:after="0"/>
              <w:rPr>
                <w:rFonts w:ascii="Arial" w:cs="Arial" w:eastAsia="Arial" w:hAnsi="Arial"/>
                <w:sz w:val="18"/>
                <w:szCs w:val="18"/>
                <w:color w:val="auto"/>
                <w:w w:val="79"/>
              </w:rPr>
            </w:pPr>
            <w:hyperlink w:anchor="page23">
              <w:r>
                <w:rPr>
                  <w:rFonts w:ascii="Arial" w:cs="Arial" w:eastAsia="Arial" w:hAnsi="Arial"/>
                  <w:sz w:val="18"/>
                  <w:szCs w:val="18"/>
                  <w:color w:val="auto"/>
                  <w:w w:val="79"/>
                </w:rPr>
                <w:t>23</w:t>
              </w:r>
            </w:hyperlink>
          </w:p>
        </w:tc>
      </w:tr>
      <w:tr>
        <w:trPr>
          <w:trHeight w:val="534"/>
        </w:trPr>
        <w:tc>
          <w:tcPr>
            <w:tcW w:w="1640" w:type="dxa"/>
            <w:vAlign w:val="bottom"/>
            <w:gridSpan w:val="8"/>
          </w:tcPr>
          <w:p>
            <w:pPr>
              <w:ind w:left="40"/>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PART II</w:t>
              </w:r>
            </w:hyperlink>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23">
              <w:r>
                <w:rPr>
                  <w:rFonts w:ascii="Arial" w:cs="Arial" w:eastAsia="Arial" w:hAnsi="Arial"/>
                  <w:sz w:val="18"/>
                  <w:szCs w:val="18"/>
                  <w:color w:val="auto"/>
                  <w:w w:val="79"/>
                </w:rPr>
                <w:t>24</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auto"/>
            </w:tcBorders>
            <w:gridSpan w:val="19"/>
          </w:tcPr>
          <w:p>
            <w:pPr>
              <w:spacing w:after="0"/>
              <w:rPr>
                <w:rFonts w:ascii="Arial" w:cs="Arial" w:eastAsia="Arial" w:hAnsi="Arial"/>
                <w:sz w:val="18"/>
                <w:szCs w:val="18"/>
                <w:color w:val="auto"/>
                <w:w w:val="90"/>
              </w:rPr>
            </w:pPr>
            <w:hyperlink w:anchor="page24">
              <w:r>
                <w:rPr>
                  <w:rFonts w:ascii="Arial" w:cs="Arial" w:eastAsia="Arial" w:hAnsi="Arial"/>
                  <w:sz w:val="18"/>
                  <w:szCs w:val="18"/>
                  <w:color w:val="auto"/>
                  <w:w w:val="90"/>
                </w:rPr>
                <w:t>Market for Registrant’s Common Equity, Related Stockholder Matters and Issuer Purchases of Equity Securities</w:t>
              </w:r>
            </w:hyperlink>
          </w:p>
        </w:tc>
        <w:tc>
          <w:tcPr>
            <w:tcW w:w="150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4">
              <w:r>
                <w:rPr>
                  <w:rFonts w:ascii="Arial" w:cs="Arial" w:eastAsia="Arial" w:hAnsi="Arial"/>
                  <w:sz w:val="18"/>
                  <w:szCs w:val="18"/>
                  <w:color w:val="auto"/>
                  <w:w w:val="79"/>
                </w:rPr>
                <w:t>24</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auto"/>
            </w:tcBorders>
            <w:gridSpan w:val="6"/>
          </w:tcPr>
          <w:p>
            <w:pPr>
              <w:spacing w:after="0"/>
              <w:rPr>
                <w:rFonts w:ascii="Arial" w:cs="Arial" w:eastAsia="Arial" w:hAnsi="Arial"/>
                <w:sz w:val="18"/>
                <w:szCs w:val="18"/>
                <w:color w:val="auto"/>
                <w:w w:val="89"/>
              </w:rPr>
            </w:pPr>
            <w:hyperlink w:anchor="page25">
              <w:r>
                <w:rPr>
                  <w:rFonts w:ascii="Arial" w:cs="Arial" w:eastAsia="Arial" w:hAnsi="Arial"/>
                  <w:sz w:val="18"/>
                  <w:szCs w:val="18"/>
                  <w:color w:val="auto"/>
                  <w:w w:val="89"/>
                </w:rPr>
                <w:t>Selected Financial Data</w:t>
              </w:r>
            </w:hyperlink>
          </w:p>
        </w:tc>
        <w:tc>
          <w:tcPr>
            <w:tcW w:w="7860" w:type="dxa"/>
            <w:vAlign w:val="bottom"/>
            <w:gridSpan w:val="14"/>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5">
              <w:r>
                <w:rPr>
                  <w:rFonts w:ascii="Arial" w:cs="Arial" w:eastAsia="Arial" w:hAnsi="Arial"/>
                  <w:sz w:val="18"/>
                  <w:szCs w:val="18"/>
                  <w:color w:val="auto"/>
                  <w:w w:val="79"/>
                </w:rPr>
                <w:t>25</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7.</w:t>
            </w:r>
          </w:p>
        </w:tc>
        <w:tc>
          <w:tcPr>
            <w:tcW w:w="9580" w:type="dxa"/>
            <w:vAlign w:val="bottom"/>
            <w:gridSpan w:val="20"/>
          </w:tcPr>
          <w:p>
            <w:pPr>
              <w:spacing w:after="0"/>
              <w:rPr>
                <w:rFonts w:ascii="Arial" w:cs="Arial" w:eastAsia="Arial" w:hAnsi="Arial"/>
                <w:sz w:val="18"/>
                <w:szCs w:val="18"/>
                <w:color w:val="auto"/>
              </w:rPr>
            </w:pPr>
            <w:hyperlink w:anchor="page39">
              <w:r>
                <w:rPr>
                  <w:rFonts w:ascii="Arial" w:cs="Arial" w:eastAsia="Arial" w:hAnsi="Arial"/>
                  <w:sz w:val="18"/>
                  <w:szCs w:val="18"/>
                  <w:color w:val="auto"/>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auto"/>
                <w:w w:val="79"/>
              </w:rPr>
            </w:pPr>
            <w:hyperlink w:anchor="page26">
              <w:r>
                <w:rPr>
                  <w:rFonts w:ascii="Arial" w:cs="Arial" w:eastAsia="Arial" w:hAnsi="Arial"/>
                  <w:sz w:val="18"/>
                  <w:szCs w:val="18"/>
                  <w:color w:val="auto"/>
                  <w:w w:val="79"/>
                </w:rPr>
                <w:t>26</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auto"/>
            </w:tcBorders>
            <w:gridSpan w:val="16"/>
          </w:tcPr>
          <w:p>
            <w:pPr>
              <w:spacing w:after="0"/>
              <w:rPr>
                <w:rFonts w:ascii="Arial" w:cs="Arial" w:eastAsia="Arial" w:hAnsi="Arial"/>
                <w:sz w:val="18"/>
                <w:szCs w:val="18"/>
                <w:color w:val="auto"/>
              </w:rPr>
            </w:pPr>
            <w:hyperlink w:anchor="page40">
              <w:r>
                <w:rPr>
                  <w:rFonts w:ascii="Arial" w:cs="Arial" w:eastAsia="Arial" w:hAnsi="Arial"/>
                  <w:sz w:val="18"/>
                  <w:szCs w:val="18"/>
                  <w:color w:val="auto"/>
                </w:rPr>
                <w:t>Quantitative and Qualitative Disclosures About Market Risk</w:t>
              </w:r>
            </w:hyperlink>
          </w:p>
        </w:tc>
        <w:tc>
          <w:tcPr>
            <w:tcW w:w="3120" w:type="dxa"/>
            <w:vAlign w:val="bottom"/>
            <w:gridSpan w:val="4"/>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40">
              <w:r>
                <w:rPr>
                  <w:rFonts w:ascii="Arial" w:cs="Arial" w:eastAsia="Arial" w:hAnsi="Arial"/>
                  <w:sz w:val="18"/>
                  <w:szCs w:val="18"/>
                  <w:color w:val="auto"/>
                  <w:w w:val="79"/>
                </w:rPr>
                <w:t>40</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auto"/>
              <w:bottom w:val="single" w:sz="8" w:color="auto"/>
            </w:tcBorders>
            <w:gridSpan w:val="12"/>
          </w:tcPr>
          <w:p>
            <w:pP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Financial Statements and Supplementary Data</w:t>
              </w:r>
            </w:hyperlink>
          </w:p>
        </w:tc>
        <w:tc>
          <w:tcPr>
            <w:tcW w:w="1020" w:type="dxa"/>
            <w:vAlign w:val="bottom"/>
            <w:tcBorders>
              <w:top w:val="single" w:sz="8" w:color="auto"/>
            </w:tcBorders>
            <w:gridSpan w:val="2"/>
          </w:tcPr>
          <w:p>
            <w:pPr>
              <w:spacing w:after="0"/>
              <w:rPr>
                <w:sz w:val="21"/>
                <w:szCs w:val="21"/>
                <w:color w:val="auto"/>
              </w:rPr>
            </w:pPr>
          </w:p>
        </w:tc>
        <w:tc>
          <w:tcPr>
            <w:tcW w:w="5220" w:type="dxa"/>
            <w:vAlign w:val="bottom"/>
            <w:gridSpan w:val="6"/>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40">
              <w:r>
                <w:rPr>
                  <w:rFonts w:ascii="Arial" w:cs="Arial" w:eastAsia="Arial" w:hAnsi="Arial"/>
                  <w:sz w:val="18"/>
                  <w:szCs w:val="18"/>
                  <w:color w:val="auto"/>
                  <w:w w:val="79"/>
                </w:rPr>
                <w:t>41</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9.</w:t>
            </w:r>
          </w:p>
        </w:tc>
        <w:tc>
          <w:tcPr>
            <w:tcW w:w="9580" w:type="dxa"/>
            <w:vAlign w:val="bottom"/>
            <w:gridSpan w:val="20"/>
          </w:tcPr>
          <w:p>
            <w:pPr>
              <w:spacing w:after="0"/>
              <w:rPr>
                <w:rFonts w:ascii="Arial" w:cs="Arial" w:eastAsia="Arial" w:hAnsi="Arial"/>
                <w:sz w:val="18"/>
                <w:szCs w:val="18"/>
                <w:color w:val="auto"/>
              </w:rPr>
            </w:pPr>
            <w:hyperlink w:anchor="page76">
              <w:r>
                <w:rPr>
                  <w:rFonts w:ascii="Arial" w:cs="Arial" w:eastAsia="Arial" w:hAnsi="Arial"/>
                  <w:sz w:val="18"/>
                  <w:szCs w:val="18"/>
                  <w:color w:val="auto"/>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8"/>
                <w:szCs w:val="18"/>
                <w:color w:val="auto"/>
                <w:w w:val="79"/>
              </w:rPr>
            </w:pPr>
            <w:hyperlink w:anchor="page76">
              <w:r>
                <w:rPr>
                  <w:rFonts w:ascii="Arial" w:cs="Arial" w:eastAsia="Arial" w:hAnsi="Arial"/>
                  <w:sz w:val="18"/>
                  <w:szCs w:val="18"/>
                  <w:color w:val="auto"/>
                  <w:w w:val="79"/>
                </w:rPr>
                <w:t>76</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auto"/>
              <w:bottom w:val="single" w:sz="8" w:color="auto"/>
            </w:tcBorders>
            <w:gridSpan w:val="7"/>
          </w:tcPr>
          <w:p>
            <w:pPr>
              <w:spacing w:after="0"/>
              <w:rPr>
                <w:rFonts w:ascii="Arial" w:cs="Arial" w:eastAsia="Arial" w:hAnsi="Arial"/>
                <w:sz w:val="18"/>
                <w:szCs w:val="18"/>
                <w:color w:val="auto"/>
                <w:w w:val="88"/>
              </w:rPr>
            </w:pPr>
            <w:hyperlink w:anchor="page76">
              <w:r>
                <w:rPr>
                  <w:rFonts w:ascii="Arial" w:cs="Arial" w:eastAsia="Arial" w:hAnsi="Arial"/>
                  <w:sz w:val="18"/>
                  <w:szCs w:val="18"/>
                  <w:color w:val="auto"/>
                  <w:w w:val="88"/>
                </w:rPr>
                <w:t>Controls and Procedures</w:t>
              </w:r>
            </w:hyperlink>
          </w:p>
        </w:tc>
        <w:tc>
          <w:tcPr>
            <w:tcW w:w="4700" w:type="dxa"/>
            <w:vAlign w:val="bottom"/>
            <w:tcBorders>
              <w:top w:val="single" w:sz="8" w:color="auto"/>
            </w:tcBorders>
            <w:gridSpan w:val="10"/>
          </w:tcPr>
          <w:p>
            <w:pPr>
              <w:spacing w:after="0"/>
              <w:rPr>
                <w:sz w:val="21"/>
                <w:szCs w:val="21"/>
                <w:color w:val="auto"/>
              </w:rPr>
            </w:pPr>
          </w:p>
        </w:tc>
        <w:tc>
          <w:tcPr>
            <w:tcW w:w="3100" w:type="dxa"/>
            <w:vAlign w:val="bottom"/>
            <w:gridSpan w:val="3"/>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76">
              <w:r>
                <w:rPr>
                  <w:rFonts w:ascii="Arial" w:cs="Arial" w:eastAsia="Arial" w:hAnsi="Arial"/>
                  <w:sz w:val="18"/>
                  <w:szCs w:val="18"/>
                  <w:color w:val="auto"/>
                  <w:w w:val="79"/>
                </w:rPr>
                <w:t>76</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9580" w:type="dxa"/>
            <w:vAlign w:val="bottom"/>
            <w:gridSpan w:val="20"/>
          </w:tcPr>
          <w:p>
            <w:pPr>
              <w:spacing w:after="0"/>
              <w:rPr>
                <w:rFonts w:ascii="Arial" w:cs="Arial" w:eastAsia="Arial" w:hAnsi="Arial"/>
                <w:sz w:val="18"/>
                <w:szCs w:val="18"/>
                <w:color w:val="auto"/>
              </w:rPr>
            </w:pPr>
            <w:hyperlink w:anchor="page77">
              <w:r>
                <w:rPr>
                  <w:rFonts w:ascii="Arial" w:cs="Arial" w:eastAsia="Arial" w:hAnsi="Arial"/>
                  <w:sz w:val="18"/>
                  <w:szCs w:val="18"/>
                  <w:color w:val="auto"/>
                </w:rPr>
                <w:t>Other Information</w:t>
              </w:r>
            </w:hyperlink>
          </w:p>
        </w:tc>
        <w:tc>
          <w:tcPr>
            <w:tcW w:w="180" w:type="dxa"/>
            <w:vAlign w:val="bottom"/>
            <w:gridSpan w:val="2"/>
          </w:tcPr>
          <w:p>
            <w:pPr>
              <w:jc w:val="right"/>
              <w:spacing w:after="0"/>
              <w:rPr>
                <w:rFonts w:ascii="Arial" w:cs="Arial" w:eastAsia="Arial" w:hAnsi="Arial"/>
                <w:sz w:val="18"/>
                <w:szCs w:val="18"/>
                <w:color w:val="auto"/>
                <w:w w:val="79"/>
              </w:rPr>
            </w:pPr>
            <w:hyperlink w:anchor="page77">
              <w:r>
                <w:rPr>
                  <w:rFonts w:ascii="Arial" w:cs="Arial" w:eastAsia="Arial" w:hAnsi="Arial"/>
                  <w:sz w:val="18"/>
                  <w:szCs w:val="18"/>
                  <w:color w:val="auto"/>
                  <w:w w:val="79"/>
                </w:rPr>
                <w:t>77</w:t>
              </w:r>
            </w:hyperlink>
          </w:p>
        </w:tc>
      </w:tr>
      <w:tr>
        <w:trPr>
          <w:trHeight w:val="534"/>
        </w:trPr>
        <w:tc>
          <w:tcPr>
            <w:tcW w:w="1640" w:type="dxa"/>
            <w:vAlign w:val="bottom"/>
            <w:gridSpan w:val="8"/>
          </w:tcPr>
          <w:p>
            <w:pPr>
              <w:ind w:left="40"/>
              <w:spacing w:after="0"/>
              <w:rPr>
                <w:rFonts w:ascii="Arial" w:cs="Arial" w:eastAsia="Arial" w:hAnsi="Arial"/>
                <w:sz w:val="18"/>
                <w:szCs w:val="18"/>
                <w:b w:val="1"/>
                <w:bCs w:val="1"/>
                <w:color w:val="auto"/>
              </w:rPr>
            </w:pPr>
            <w:hyperlink w:anchor="page77">
              <w:r>
                <w:rPr>
                  <w:rFonts w:ascii="Arial" w:cs="Arial" w:eastAsia="Arial" w:hAnsi="Arial"/>
                  <w:sz w:val="18"/>
                  <w:szCs w:val="18"/>
                  <w:b w:val="1"/>
                  <w:bCs w:val="1"/>
                  <w:color w:val="auto"/>
                </w:rPr>
                <w:t>PART III</w:t>
              </w:r>
            </w:hyperlink>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77">
              <w:r>
                <w:rPr>
                  <w:rFonts w:ascii="Arial" w:cs="Arial" w:eastAsia="Arial" w:hAnsi="Arial"/>
                  <w:sz w:val="18"/>
                  <w:szCs w:val="18"/>
                  <w:color w:val="auto"/>
                  <w:w w:val="79"/>
                </w:rPr>
                <w:t>78</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74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auto"/>
            </w:tcBorders>
            <w:gridSpan w:val="13"/>
          </w:tcPr>
          <w:p>
            <w:pPr>
              <w:spacing w:after="0"/>
              <w:rPr>
                <w:rFonts w:ascii="Arial" w:cs="Arial" w:eastAsia="Arial" w:hAnsi="Arial"/>
                <w:sz w:val="18"/>
                <w:szCs w:val="18"/>
                <w:color w:val="auto"/>
                <w:w w:val="90"/>
              </w:rPr>
            </w:pPr>
            <w:hyperlink w:anchor="page78">
              <w:r>
                <w:rPr>
                  <w:rFonts w:ascii="Arial" w:cs="Arial" w:eastAsia="Arial" w:hAnsi="Arial"/>
                  <w:sz w:val="18"/>
                  <w:szCs w:val="18"/>
                  <w:color w:val="auto"/>
                  <w:w w:val="90"/>
                </w:rPr>
                <w:t>Directors, Executive Officers and Corporate Governance</w:t>
              </w:r>
            </w:hyperlink>
          </w:p>
        </w:tc>
        <w:tc>
          <w:tcPr>
            <w:tcW w:w="5480" w:type="dxa"/>
            <w:vAlign w:val="bottom"/>
            <w:gridSpan w:val="7"/>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78">
              <w:r>
                <w:rPr>
                  <w:rFonts w:ascii="Arial" w:cs="Arial" w:eastAsia="Arial" w:hAnsi="Arial"/>
                  <w:sz w:val="18"/>
                  <w:szCs w:val="18"/>
                  <w:color w:val="auto"/>
                  <w:w w:val="79"/>
                </w:rPr>
                <w:t>78</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9580" w:type="dxa"/>
            <w:vAlign w:val="bottom"/>
            <w:gridSpan w:val="20"/>
          </w:tcPr>
          <w:p>
            <w:pPr>
              <w:spacing w:after="0"/>
              <w:rPr>
                <w:rFonts w:ascii="Arial" w:cs="Arial" w:eastAsia="Arial" w:hAnsi="Arial"/>
                <w:sz w:val="18"/>
                <w:szCs w:val="18"/>
                <w:color w:val="auto"/>
              </w:rPr>
            </w:pPr>
            <w:hyperlink w:anchor="page78">
              <w:r>
                <w:rPr>
                  <w:rFonts w:ascii="Arial" w:cs="Arial" w:eastAsia="Arial" w:hAnsi="Arial"/>
                  <w:sz w:val="18"/>
                  <w:szCs w:val="18"/>
                  <w:color w:val="auto"/>
                </w:rPr>
                <w:t>Executive Compensation</w:t>
              </w:r>
            </w:hyperlink>
          </w:p>
        </w:tc>
        <w:tc>
          <w:tcPr>
            <w:tcW w:w="180" w:type="dxa"/>
            <w:vAlign w:val="bottom"/>
            <w:gridSpan w:val="2"/>
          </w:tcPr>
          <w:p>
            <w:pPr>
              <w:jc w:val="right"/>
              <w:spacing w:after="0"/>
              <w:rPr>
                <w:rFonts w:ascii="Arial" w:cs="Arial" w:eastAsia="Arial" w:hAnsi="Arial"/>
                <w:sz w:val="18"/>
                <w:szCs w:val="18"/>
                <w:color w:val="auto"/>
                <w:w w:val="79"/>
              </w:rPr>
            </w:pPr>
            <w:hyperlink w:anchor="page78">
              <w:r>
                <w:rPr>
                  <w:rFonts w:ascii="Arial" w:cs="Arial" w:eastAsia="Arial" w:hAnsi="Arial"/>
                  <w:sz w:val="18"/>
                  <w:szCs w:val="18"/>
                  <w:color w:val="auto"/>
                  <w:w w:val="79"/>
                </w:rPr>
                <w:t>78</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8"/>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auto"/>
            </w:tcBorders>
            <w:gridSpan w:val="18"/>
          </w:tcPr>
          <w:p>
            <w:pPr>
              <w:spacing w:after="0"/>
              <w:rPr>
                <w:rFonts w:ascii="Arial" w:cs="Arial" w:eastAsia="Arial" w:hAnsi="Arial"/>
                <w:sz w:val="18"/>
                <w:szCs w:val="18"/>
                <w:color w:val="auto"/>
                <w:w w:val="90"/>
              </w:rPr>
            </w:pPr>
            <w:hyperlink w:anchor="page78">
              <w:r>
                <w:rPr>
                  <w:rFonts w:ascii="Arial" w:cs="Arial" w:eastAsia="Arial" w:hAnsi="Arial"/>
                  <w:sz w:val="18"/>
                  <w:szCs w:val="18"/>
                  <w:color w:val="auto"/>
                  <w:w w:val="90"/>
                </w:rPr>
                <w:t>Security Ownership of Certain Beneficial Owners and Management and Related Stockholder Matters</w:t>
              </w:r>
            </w:hyperlink>
          </w:p>
        </w:tc>
        <w:tc>
          <w:tcPr>
            <w:tcW w:w="2280" w:type="dxa"/>
            <w:vAlign w:val="bottom"/>
            <w:gridSpan w:val="2"/>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78">
              <w:r>
                <w:rPr>
                  <w:rFonts w:ascii="Arial" w:cs="Arial" w:eastAsia="Arial" w:hAnsi="Arial"/>
                  <w:sz w:val="18"/>
                  <w:szCs w:val="18"/>
                  <w:color w:val="auto"/>
                  <w:w w:val="79"/>
                </w:rPr>
                <w:t>78</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auto"/>
            </w:tcBorders>
            <w:gridSpan w:val="15"/>
          </w:tcPr>
          <w:p>
            <w:pPr>
              <w:spacing w:after="0"/>
              <w:rPr>
                <w:rFonts w:ascii="Arial" w:cs="Arial" w:eastAsia="Arial" w:hAnsi="Arial"/>
                <w:sz w:val="18"/>
                <w:szCs w:val="18"/>
                <w:color w:val="auto"/>
                <w:w w:val="89"/>
              </w:rPr>
            </w:pPr>
            <w:hyperlink w:anchor="page79">
              <w:r>
                <w:rPr>
                  <w:rFonts w:ascii="Arial" w:cs="Arial" w:eastAsia="Arial" w:hAnsi="Arial"/>
                  <w:sz w:val="18"/>
                  <w:szCs w:val="18"/>
                  <w:color w:val="auto"/>
                  <w:w w:val="89"/>
                </w:rPr>
                <w:t>Certain Relationships and Related Transactions, and Director Independence</w:t>
              </w:r>
            </w:hyperlink>
          </w:p>
        </w:tc>
        <w:tc>
          <w:tcPr>
            <w:tcW w:w="4120" w:type="dxa"/>
            <w:vAlign w:val="bottom"/>
            <w:gridSpan w:val="5"/>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79">
              <w:r>
                <w:rPr>
                  <w:rFonts w:ascii="Arial" w:cs="Arial" w:eastAsia="Arial" w:hAnsi="Arial"/>
                  <w:sz w:val="18"/>
                  <w:szCs w:val="18"/>
                  <w:color w:val="auto"/>
                  <w:w w:val="79"/>
                </w:rPr>
                <w:t>79</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9580" w:type="dxa"/>
            <w:vAlign w:val="bottom"/>
            <w:gridSpan w:val="20"/>
          </w:tcPr>
          <w:p>
            <w:pPr>
              <w:spacing w:after="0"/>
              <w:rPr>
                <w:rFonts w:ascii="Arial" w:cs="Arial" w:eastAsia="Arial" w:hAnsi="Arial"/>
                <w:sz w:val="18"/>
                <w:szCs w:val="18"/>
                <w:color w:val="auto"/>
              </w:rPr>
            </w:pPr>
            <w:hyperlink w:anchor="page79">
              <w:r>
                <w:rPr>
                  <w:rFonts w:ascii="Arial" w:cs="Arial" w:eastAsia="Arial" w:hAnsi="Arial"/>
                  <w:sz w:val="18"/>
                  <w:szCs w:val="18"/>
                  <w:color w:val="auto"/>
                </w:rPr>
                <w:t>Principal Accountant Fees and Services</w:t>
              </w:r>
            </w:hyperlink>
          </w:p>
        </w:tc>
        <w:tc>
          <w:tcPr>
            <w:tcW w:w="180" w:type="dxa"/>
            <w:vAlign w:val="bottom"/>
            <w:gridSpan w:val="2"/>
          </w:tcPr>
          <w:p>
            <w:pPr>
              <w:jc w:val="right"/>
              <w:spacing w:after="0"/>
              <w:rPr>
                <w:rFonts w:ascii="Arial" w:cs="Arial" w:eastAsia="Arial" w:hAnsi="Arial"/>
                <w:sz w:val="18"/>
                <w:szCs w:val="18"/>
                <w:color w:val="auto"/>
                <w:w w:val="79"/>
              </w:rPr>
            </w:pPr>
            <w:hyperlink w:anchor="page79">
              <w:r>
                <w:rPr>
                  <w:rFonts w:ascii="Arial" w:cs="Arial" w:eastAsia="Arial" w:hAnsi="Arial"/>
                  <w:sz w:val="18"/>
                  <w:szCs w:val="18"/>
                  <w:color w:val="auto"/>
                  <w:w w:val="79"/>
                </w:rPr>
                <w:t>79</w:t>
              </w:r>
            </w:hyperlink>
          </w:p>
        </w:tc>
      </w:tr>
      <w:tr>
        <w:trPr>
          <w:trHeight w:val="534"/>
        </w:trPr>
        <w:tc>
          <w:tcPr>
            <w:tcW w:w="1640" w:type="dxa"/>
            <w:vAlign w:val="bottom"/>
            <w:gridSpan w:val="8"/>
          </w:tcPr>
          <w:p>
            <w:pPr>
              <w:ind w:left="40"/>
              <w:spacing w:after="0"/>
              <w:rPr>
                <w:rFonts w:ascii="Arial" w:cs="Arial" w:eastAsia="Arial" w:hAnsi="Arial"/>
                <w:sz w:val="18"/>
                <w:szCs w:val="18"/>
                <w:b w:val="1"/>
                <w:bCs w:val="1"/>
                <w:color w:val="auto"/>
              </w:rPr>
            </w:pPr>
            <w:hyperlink w:anchor="page79">
              <w:r>
                <w:rPr>
                  <w:rFonts w:ascii="Arial" w:cs="Arial" w:eastAsia="Arial" w:hAnsi="Arial"/>
                  <w:sz w:val="18"/>
                  <w:szCs w:val="18"/>
                  <w:b w:val="1"/>
                  <w:bCs w:val="1"/>
                  <w:color w:val="auto"/>
                </w:rPr>
                <w:t>PART IV</w:t>
              </w:r>
            </w:hyperlink>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79">
              <w:r>
                <w:rPr>
                  <w:rFonts w:ascii="Arial" w:cs="Arial" w:eastAsia="Arial" w:hAnsi="Arial"/>
                  <w:sz w:val="18"/>
                  <w:szCs w:val="18"/>
                  <w:color w:val="auto"/>
                  <w:w w:val="79"/>
                </w:rPr>
                <w:t>80</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6420" w:type="dxa"/>
            <w:vAlign w:val="bottom"/>
            <w:gridSpan w:val="9"/>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9580" w:type="dxa"/>
            <w:vAlign w:val="bottom"/>
            <w:gridSpan w:val="20"/>
          </w:tcPr>
          <w:p>
            <w:pPr>
              <w:spacing w:after="0"/>
              <w:rPr>
                <w:rFonts w:ascii="Arial" w:cs="Arial" w:eastAsia="Arial" w:hAnsi="Arial"/>
                <w:sz w:val="18"/>
                <w:szCs w:val="18"/>
                <w:color w:val="auto"/>
              </w:rPr>
            </w:pPr>
            <w:hyperlink w:anchor="page80">
              <w:r>
                <w:rPr>
                  <w:rFonts w:ascii="Arial" w:cs="Arial" w:eastAsia="Arial" w:hAnsi="Arial"/>
                  <w:sz w:val="18"/>
                  <w:szCs w:val="18"/>
                  <w:color w:val="auto"/>
                </w:rPr>
                <w:t>Exhibits and Financial Statement Schedules</w:t>
              </w:r>
            </w:hyperlink>
          </w:p>
        </w:tc>
        <w:tc>
          <w:tcPr>
            <w:tcW w:w="180" w:type="dxa"/>
            <w:vAlign w:val="bottom"/>
            <w:gridSpan w:val="2"/>
          </w:tcPr>
          <w:p>
            <w:pPr>
              <w:jc w:val="right"/>
              <w:spacing w:after="0"/>
              <w:rPr>
                <w:rFonts w:ascii="Arial" w:cs="Arial" w:eastAsia="Arial" w:hAnsi="Arial"/>
                <w:sz w:val="18"/>
                <w:szCs w:val="18"/>
                <w:color w:val="auto"/>
                <w:w w:val="79"/>
              </w:rPr>
            </w:pPr>
            <w:hyperlink w:anchor="page80">
              <w:r>
                <w:rPr>
                  <w:rFonts w:ascii="Arial" w:cs="Arial" w:eastAsia="Arial" w:hAnsi="Arial"/>
                  <w:sz w:val="18"/>
                  <w:szCs w:val="18"/>
                  <w:color w:val="auto"/>
                  <w:w w:val="79"/>
                </w:rPr>
                <w:t>80</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auto"/>
              </w:rPr>
            </w:pPr>
            <w:hyperlink w:anchor="page84">
              <w:r>
                <w:rPr>
                  <w:rFonts w:ascii="Arial" w:cs="Arial" w:eastAsia="Arial" w:hAnsi="Arial"/>
                  <w:sz w:val="18"/>
                  <w:szCs w:val="18"/>
                  <w:color w:val="auto"/>
                </w:rPr>
                <w:t>SIGNATURES</w:t>
              </w:r>
            </w:hyperlink>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84">
              <w:r>
                <w:rPr>
                  <w:rFonts w:ascii="Arial" w:cs="Arial" w:eastAsia="Arial" w:hAnsi="Arial"/>
                  <w:sz w:val="18"/>
                  <w:szCs w:val="18"/>
                  <w:color w:val="auto"/>
                  <w:w w:val="79"/>
                </w:rPr>
                <w:t>85</w:t>
              </w:r>
            </w:hyperlink>
          </w:p>
        </w:tc>
      </w:tr>
      <w:tr>
        <w:trPr>
          <w:trHeight w:val="50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gridSpan w:val="14"/>
          </w:tcPr>
          <w:p>
            <w:pPr>
              <w:jc w:val="center"/>
              <w:ind w:left="3690"/>
              <w:spacing w:after="0"/>
              <w:rPr>
                <w:sz w:val="20"/>
                <w:szCs w:val="20"/>
                <w:color w:val="auto"/>
              </w:rPr>
            </w:pPr>
            <w:r>
              <w:rPr>
                <w:rFonts w:ascii="Arial" w:cs="Arial" w:eastAsia="Arial" w:hAnsi="Arial"/>
                <w:sz w:val="18"/>
                <w:szCs w:val="18"/>
                <w:color w:val="auto"/>
                <w:w w:val="99"/>
              </w:rPr>
              <w:t>2</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2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2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customer, product and geographic mix of our product orders;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volume and timing of product orders and the timing of completion of our product deliveries and installations;</w:t>
      </w:r>
    </w:p>
    <w:p>
      <w:pPr>
        <w:spacing w:after="0" w:line="63" w:lineRule="exact"/>
        <w:rPr>
          <w:rFonts w:ascii="Arial" w:cs="Arial" w:eastAsia="Arial" w:hAnsi="Arial"/>
          <w:sz w:val="18"/>
          <w:szCs w:val="18"/>
          <w:i w:val="1"/>
          <w:iCs w:val="1"/>
          <w:color w:val="auto"/>
        </w:rPr>
      </w:pPr>
    </w:p>
    <w:p>
      <w:pPr>
        <w:ind w:left="900" w:right="620" w:hanging="325"/>
        <w:spacing w:after="0" w:line="277"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 such as the recent natural disasters in Japan and Thailand;</w:t>
      </w:r>
    </w:p>
    <w:p>
      <w:pPr>
        <w:spacing w:after="0" w:line="8"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and size of future restructuring plans and write-offs.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27"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Annual Report on Form 10-K or, in the case of any document incorporated by reference, the date of that document.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“we,” “us” and “our” in this Annual Report on Form 10-K.</w:t>
      </w:r>
    </w:p>
    <w:p>
      <w:pPr>
        <w:spacing w:after="0" w:line="127"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7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principal executive offices are located at 5200 Great America Parkway, Santa Clara, CA 95054, and our telephone number is (408) 567-7000. Our common stock is listed on the NASDAQ Global Market under the symbol AVNW. As of June 29, 2012, we employed approximately 980 people, compared with approximately 1,000 people as of July 1,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Description of the Business</w:t>
      </w:r>
    </w:p>
    <w:p>
      <w:pPr>
        <w:spacing w:after="0" w:line="94"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We design, manufacture and sell a range of wireless networking products, solutions and services to mobile and fixed operators, private network operators, government agencies, transportation and utility companies, public safety agencies and broadcast network operators around the world. We sell products and services directly to our customers and also use agents and distributors.</w:t>
      </w:r>
    </w:p>
    <w:p>
      <w:pPr>
        <w:spacing w:after="0" w:line="4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Our products include point-to-point (PTP) digital microwave transmission systems designed for first/last mile access, middle mile/backhaul, and long distance trunking applications. We also provide network management solutions to enable our customers to deploy, monitor and manage our systems, third party equipment such as antennas, routers, multiplexers, etc, necessary to build and deploy a complete wireless network, and a full suite of turnkey support services.</w:t>
      </w:r>
    </w:p>
    <w:p>
      <w:pPr>
        <w:spacing w:after="0" w:line="52"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Our wireless systems deliver regional and country-wide backbone in developing nations, where microwave radio installations provide 21st-century communications rapidly and economically. Rural communities, areas with rugged terrain and regions with extreme temperatures benefit from the ability to build an advanced, affordable communications infrastructure despite these challenges. A significant part of our international business consists of supplying wireless segments in small-pocket, remote, rural and metropolitan areas. High-capacity backhaul is one of the fastest growing wireless market segments and is a major opportunity for us. We see the increase in subscriber density and the forecasted growth and introduction of new bandwidth-hungry High Speed Packet Access (“HSPA”)/Long Term Evolution (“LTE”) mobile broadband services as major drivers for growth in this market.</w:t>
      </w:r>
    </w:p>
    <w:p>
      <w:pPr>
        <w:spacing w:after="0" w:line="11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Revenue from our North America and international regions represented approximately 37% and 63%, respectively, of our revenue in fiscal 2012, 35% and 65%, respectively, of our revenue in fiscal 2011, and 38% and 62%, respectively, of our revenue in fiscal 2010. Information about our revenue attributable to our geographic regions are set forth in “Item 7. Management’s Discussion and Analysis of Financial Condition and Results of Operations” and in Note 11 of the accompanying consolidated financial statements in this Annual Report on Form 10-K.</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Overview</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Wireless transmission networks currently are constructed using microwave radios and other equipment to interconnect cell sites, switching systems, wireline transmission systems and other fixed access facilities. Wireless transmission networks range in size from a single transmission link connecting two buildings to complex networks consisting of thousands of wireless links. The architecture of a network is influenced by several factors, including the available radio frequency spectrum, coordination of frequencies with existing infrastructure, application requirements, environmental factors and local geography.</w:t>
      </w:r>
    </w:p>
    <w:p>
      <w:pPr>
        <w:spacing w:after="0" w:line="13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recent years, there has been an increase in capital spending in the wireless telecommunications industry. In addition, the overall demand for high-speed wireless transmission products has been growing at a higher rate than the wireless industry as a whole. We believe that this growth in capital spending and demand is directly related to a growing global subscriber base for mobile wireless communications services, emergence of new high capacity mobile devices and data-intensive applications and need for new services delivered from next-generation networks capable of delivering broadband services. We see a variety of factors that drive demand for infrastructure investment and especially in microwave backhaul:</w:t>
      </w:r>
    </w:p>
    <w:p>
      <w:pPr>
        <w:spacing w:after="0" w:line="10" w:lineRule="exact"/>
        <w:rPr>
          <w:sz w:val="20"/>
          <w:szCs w:val="20"/>
          <w:color w:val="auto"/>
        </w:rPr>
      </w:pPr>
    </w:p>
    <w:p>
      <w:pPr>
        <w:ind w:left="980" w:right="62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Expanding mobile coverage. </w:t>
      </w:r>
      <w:r>
        <w:rPr>
          <w:rFonts w:ascii="Arial" w:cs="Arial" w:eastAsia="Arial" w:hAnsi="Arial"/>
          <w:sz w:val="18"/>
          <w:szCs w:val="18"/>
          <w:color w:val="auto"/>
        </w:rPr>
        <w:t>Mobile operators around the world are continually being challenged to meet the needs of a growing mobile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 base flooded by the tremendous growth of broadband applications and devices. They are installing more cell sites to expand geographic coverage and to fill in spots where user coverage is insufficient.</w:t>
      </w:r>
    </w:p>
    <w:p>
      <w:pPr>
        <w:spacing w:after="0" w:line="1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Upgrading mobile backhaul. </w:t>
      </w:r>
      <w:r>
        <w:rPr>
          <w:rFonts w:ascii="Arial" w:cs="Arial" w:eastAsia="Arial" w:hAnsi="Arial"/>
          <w:sz w:val="18"/>
          <w:szCs w:val="18"/>
          <w:color w:val="auto"/>
        </w:rPr>
        <w:t>Many mobile operators are modernizing their mobile radio access networks (RANs)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980" w:right="360"/>
        <w:spacing w:after="0" w:line="313" w:lineRule="auto"/>
        <w:rPr>
          <w:sz w:val="20"/>
          <w:szCs w:val="20"/>
          <w:color w:val="auto"/>
        </w:rPr>
      </w:pPr>
      <w:r>
        <w:rPr>
          <w:rFonts w:ascii="Arial" w:cs="Arial" w:eastAsia="Arial" w:hAnsi="Arial"/>
          <w:sz w:val="18"/>
          <w:szCs w:val="18"/>
          <w:color w:val="auto"/>
        </w:rPr>
        <w:t>with either 3G (HSPA) or 4G (HSPA+ and LTE) technologies. Mobile backhaul networks will also be upgraded with the RAN moving from T1/E1 copper to fiber or microwave to deliver higher user bandwidth.</w:t>
      </w:r>
    </w:p>
    <w:p>
      <w:pPr>
        <w:ind w:left="980" w:right="2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Increasing backhaul capacity: </w:t>
      </w:r>
      <w:r>
        <w:rPr>
          <w:rFonts w:ascii="Arial" w:cs="Arial" w:eastAsia="Arial" w:hAnsi="Arial"/>
          <w:sz w:val="18"/>
          <w:szCs w:val="18"/>
          <w:color w:val="auto"/>
        </w:rPr>
        <w:t>With RAN upgrades, operators are increasing cell site backhaul capacity from a typical 8 Mbps (4 E1/T1) at an</w:t>
      </w:r>
      <w:r>
        <w:rPr>
          <w:rFonts w:ascii="Arial" w:cs="Arial" w:eastAsia="Arial" w:hAnsi="Arial"/>
          <w:sz w:val="18"/>
          <w:szCs w:val="18"/>
          <w:i w:val="1"/>
          <w:iCs w:val="1"/>
          <w:color w:val="auto"/>
        </w:rPr>
        <w:t xml:space="preserve"> </w:t>
      </w:r>
      <w:r>
        <w:rPr>
          <w:rFonts w:ascii="Arial" w:cs="Arial" w:eastAsia="Arial" w:hAnsi="Arial"/>
          <w:sz w:val="18"/>
          <w:szCs w:val="18"/>
          <w:color w:val="auto"/>
        </w:rPr>
        <w:t>edge site to over 40 Mbps. At hubs or aggregation sites, where traffic from multiple edge sites is combined, backhaul capacity may need to be as high as 2 Gbps.</w:t>
      </w:r>
    </w:p>
    <w:p>
      <w:pPr>
        <w:spacing w:after="0" w:line="19" w:lineRule="exact"/>
        <w:rPr>
          <w:rFonts w:ascii="Arial" w:cs="Arial" w:eastAsia="Arial" w:hAnsi="Arial"/>
          <w:sz w:val="18"/>
          <w:szCs w:val="18"/>
          <w:color w:val="auto"/>
        </w:rPr>
      </w:pPr>
    </w:p>
    <w:p>
      <w:pPr>
        <w:ind w:left="980" w:right="200" w:hanging="324"/>
        <w:spacing w:after="0" w:line="286" w:lineRule="auto"/>
        <w:tabs>
          <w:tab w:leader="none" w:pos="9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Deploying small cells backhaul. </w:t>
      </w:r>
      <w:r>
        <w:rPr>
          <w:rFonts w:ascii="Arial" w:cs="Arial" w:eastAsia="Arial" w:hAnsi="Arial"/>
          <w:sz w:val="17"/>
          <w:szCs w:val="17"/>
          <w:color w:val="auto"/>
        </w:rPr>
        <w:t>More and more mobile operators are experiencing a capacity crunch. Outdoor small cells are gaining</w:t>
      </w:r>
      <w:r>
        <w:rPr>
          <w:rFonts w:ascii="Arial" w:cs="Arial" w:eastAsia="Arial" w:hAnsi="Arial"/>
          <w:sz w:val="17"/>
          <w:szCs w:val="17"/>
          <w:i w:val="1"/>
          <w:iCs w:val="1"/>
          <w:color w:val="auto"/>
        </w:rPr>
        <w:t xml:space="preserve"> </w:t>
      </w:r>
      <w:r>
        <w:rPr>
          <w:rFonts w:ascii="Arial" w:cs="Arial" w:eastAsia="Arial" w:hAnsi="Arial"/>
          <w:sz w:val="17"/>
          <w:szCs w:val="17"/>
          <w:color w:val="auto"/>
        </w:rPr>
        <w:t>momentum as one of the best ways to remedy this issue. Industry analysts forecast the main deployment of small cells will start in 2014-2015, and that microwave will be one of the preferred solutions for small cells backhaul to be widely used by mobile operators.</w:t>
      </w:r>
    </w:p>
    <w:p>
      <w:pPr>
        <w:spacing w:after="0" w:line="3" w:lineRule="exact"/>
        <w:rPr>
          <w:rFonts w:ascii="Arial" w:cs="Arial" w:eastAsia="Arial" w:hAnsi="Arial"/>
          <w:sz w:val="17"/>
          <w:szCs w:val="17"/>
          <w:i w:val="1"/>
          <w:iCs w:val="1"/>
          <w:color w:val="auto"/>
        </w:rPr>
      </w:pPr>
    </w:p>
    <w:p>
      <w:pPr>
        <w:ind w:left="980" w:right="360" w:hanging="324"/>
        <w:spacing w:after="0" w:line="27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Meeting government requirements. </w:t>
      </w:r>
      <w:r>
        <w:rPr>
          <w:rFonts w:ascii="Arial" w:cs="Arial" w:eastAsia="Arial" w:hAnsi="Arial"/>
          <w:sz w:val="18"/>
          <w:szCs w:val="18"/>
          <w:color w:val="auto"/>
        </w:rPr>
        <w:t>In some countries, governments require that service providers deploy 4G in underserved, rural areas as a</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of obtaining an LTE spectrum license.</w:t>
      </w:r>
    </w:p>
    <w:p>
      <w:pPr>
        <w:spacing w:after="0" w:line="8" w:lineRule="exact"/>
        <w:rPr>
          <w:rFonts w:ascii="Arial" w:cs="Arial" w:eastAsia="Arial" w:hAnsi="Arial"/>
          <w:sz w:val="18"/>
          <w:szCs w:val="18"/>
          <w:i w:val="1"/>
          <w:iCs w:val="1"/>
          <w:color w:val="auto"/>
        </w:rPr>
      </w:pPr>
    </w:p>
    <w:p>
      <w:pPr>
        <w:ind w:left="980" w:right="540" w:hanging="324"/>
        <w:spacing w:after="0" w:line="27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Using microwave in other vertical markets. </w:t>
      </w:r>
      <w:r>
        <w:rPr>
          <w:rFonts w:ascii="Arial" w:cs="Arial" w:eastAsia="Arial" w:hAnsi="Arial"/>
          <w:sz w:val="18"/>
          <w:szCs w:val="18"/>
          <w:color w:val="auto"/>
        </w:rPr>
        <w:t>In addition to mobile backhaul, we see increasing demand for microwave technology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vertical markets, such as utility, public safety, financial institution and broadcast, etc.</w:t>
      </w:r>
    </w:p>
    <w:p>
      <w:pPr>
        <w:spacing w:after="0" w:line="62" w:lineRule="exact"/>
        <w:rPr>
          <w:rFonts w:ascii="Arial" w:cs="Arial" w:eastAsia="Arial" w:hAnsi="Arial"/>
          <w:sz w:val="18"/>
          <w:szCs w:val="18"/>
          <w:i w:val="1"/>
          <w:iCs w:val="1"/>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62"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the public safety vertical market, whether it is for improving border patrol or emergency services for local or state police, access to timely information or enhanced communications is critical. Mobile video and access to centralized data servers at the scene of an incident requires a high bandwidth network. Such demands drive the need for new generation microwave radios with high reliability, high performance, maximum system redundancy and strong security.</w:t>
      </w:r>
    </w:p>
    <w:p>
      <w:pPr>
        <w:spacing w:after="0" w:line="78" w:lineRule="exact"/>
        <w:rPr>
          <w:rFonts w:ascii="Arial" w:cs="Arial" w:eastAsia="Arial" w:hAnsi="Arial"/>
          <w:sz w:val="18"/>
          <w:szCs w:val="18"/>
          <w:color w:val="auto"/>
        </w:rPr>
      </w:pPr>
    </w:p>
    <w:p>
      <w:pPr>
        <w:jc w:val="both"/>
        <w:ind w:left="1300" w:hanging="320"/>
        <w:spacing w:after="0" w:line="276"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New opportunities have emerged in some other niche markets in non-mobile sectors as well, such as the low latency application for high frequency trading in financial industry, for which demand has been growing at a higher rate than the wireless industry, as a whole. With lower latency and shorter line of sight distance between transmission sites than fiber, microwave technology has been selected over fiber by more and more financial institutions for such applications. There is also the broadcast market, where terrestrial TV broadcasting is progressively going digital on a global basis and has presented new opportunities for microwave vendors.</w:t>
      </w:r>
    </w:p>
    <w:p>
      <w:pPr>
        <w:spacing w:after="0" w:line="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These factors are combining to create a range of opportunities for continued investment in backhaul and transport networks favoring microwave technology. As we focus on our execution of the future generations of our technology, our goal is to make wireless a viable choice for an ever broadening range of network types.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Over the past year, we have made significant strides in transitioning our company to focus on our cost effective core microwave transmission business. We offer and will continue to improve upon our microwave transmission solutions that deliver the network performance needed to support next generation services and enable a smooth transition from legacy networks to all IP.</w:t>
      </w:r>
    </w:p>
    <w:p>
      <w:pPr>
        <w:spacing w:after="0" w:line="12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Newer generation 4G technologies require high-speed packet infrastructures. To address this requirement, we have enhanced our core product offering by building on our market leading Eclipse Packet Node platform by adding new features and enhancements and leveraging technology in third party products to provide a complete IP network solution.</w:t>
      </w:r>
    </w:p>
    <w:p>
      <w:pPr>
        <w:spacing w:after="0" w:line="12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look to retain our position as a wireless transmission technology leader with Eclipse Packet Node by ensuring our capabilities anticipate the evolving needs of our customers and the corresponding network technology use. The future roadmap for Eclipse evolves the platform toward a full convergence solution with embedded capabilities enabling a migration path to an all IP network. We believe that the Eclipse solution for evolution to IP is the lowest risk, lowest cost, and most flexible solution available because it builds incrementally on the customer's existing investment, delivering a smooth “hybrid” to full IP migration path for customers globally. The IP evolution capabilities are specifically enabled by the modular additions. This incremental plug-in approach allows operators to move toward an all IP based system at their own pace without the risk, downtime or expense associated with a complete replacement or the forced migration to another platform.</w:t>
      </w:r>
    </w:p>
    <w:p>
      <w:pPr>
        <w:spacing w:after="0" w:line="13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Our strategy includes partnering with companies with technical expertise in areas outside of our core competencies to meet our customers' demand for an end-to-end solution. Our partner product strategy enables us to go beyond wireless transmission to combat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R&amp;D efforts on core competency wireless innovations. Having a broader portfolio will enable us to further differentiate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offerings from other independent microwave equipment suppliers.</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expect to continue to serve and expand upon our existing customer base and develop business with new customers. We have sold more than 750,000 microwave radios in over 140 countries and are present in more than 300 mobile networks worldwide</w:t>
      </w:r>
      <w:r>
        <w:rPr>
          <w:rFonts w:ascii="Arial" w:cs="Arial" w:eastAsia="Arial" w:hAnsi="Arial"/>
          <w:sz w:val="18"/>
          <w:szCs w:val="18"/>
          <w:color w:val="FFFF00"/>
        </w:rPr>
        <w:t>.</w:t>
      </w:r>
      <w:r>
        <w:rPr>
          <w:rFonts w:ascii="Arial" w:cs="Arial" w:eastAsia="Arial" w:hAnsi="Arial"/>
          <w:sz w:val="18"/>
          <w:szCs w:val="18"/>
          <w:color w:val="auto"/>
        </w:rPr>
        <w:t xml:space="preserve"> We intend to leverage our customer base, our longstanding presence in many countries, our distribution channels, our comprehensive product line, our superior customer service and our turnkey solution capability to continue to sell existing and new products and services to current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9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offer a comprehensive product and solutions portfolio that meets the needs of service providers and network operators in every region of the world and addresses a broad range of applications, frequencies, capacities and network topologies. Our product categories include point-to-point microwave radios that are licensed (subject to local frequency regulatory requirements), lightly-licensed and license-exempt (operating in license-exempt frequencies), and element and network management software. In addition, we provide end-to-end turnkey broadband telecommunications systems, including complete design, deployment, maintenance, and managed network services, while being an attentive and adaptable partner for our customers — a key competitive differentiator for us.</w:t>
      </w:r>
    </w:p>
    <w:p>
      <w:pPr>
        <w:spacing w:after="0" w:line="31" w:lineRule="exact"/>
        <w:rPr>
          <w:sz w:val="20"/>
          <w:szCs w:val="20"/>
          <w:color w:val="auto"/>
        </w:rPr>
      </w:pPr>
    </w:p>
    <w:p>
      <w:pPr>
        <w:ind w:left="980" w:right="2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Broad product and solution portfolio. </w:t>
      </w:r>
      <w:r>
        <w:rPr>
          <w:rFonts w:ascii="Arial" w:cs="Arial" w:eastAsia="Arial" w:hAnsi="Arial"/>
          <w:sz w:val="18"/>
          <w:szCs w:val="18"/>
          <w:color w:val="auto"/>
        </w:rPr>
        <w:t>We offer a comprehensive suite of wireless transmission networking systems for microwave and</w:t>
      </w:r>
      <w:r>
        <w:rPr>
          <w:rFonts w:ascii="Arial" w:cs="Arial" w:eastAsia="Arial" w:hAnsi="Arial"/>
          <w:sz w:val="18"/>
          <w:szCs w:val="18"/>
          <w:i w:val="1"/>
          <w:iCs w:val="1"/>
          <w:color w:val="auto"/>
        </w:rPr>
        <w:t xml:space="preserve"> </w:t>
      </w:r>
      <w:r>
        <w:rPr>
          <w:rFonts w:ascii="Arial" w:cs="Arial" w:eastAsia="Arial" w:hAnsi="Arial"/>
          <w:sz w:val="18"/>
          <w:szCs w:val="18"/>
          <w:color w:val="auto"/>
        </w:rPr>
        <w:t>millimeter-wave networking applications. Our solution consists of tailored offerings of our own wireless products and our own integrated ancillary equipment or that of other manufacturers and providers of element and network management systems and professional services. These solutions address a wide range of transmission frequencies, ranging from 2.4 MHz to 90 GHz, and a wide range of transmission capacities, ranging up to 4 gigabits per second. The major product families included in these solutions are Eclipse, Aviat WTM 3000, Aviat WTM 6000 and ProVision, our network management software.</w:t>
      </w:r>
    </w:p>
    <w:p>
      <w:pPr>
        <w:spacing w:after="0" w:line="30" w:lineRule="exact"/>
        <w:rPr>
          <w:rFonts w:ascii="Arial" w:cs="Arial" w:eastAsia="Arial" w:hAnsi="Arial"/>
          <w:sz w:val="18"/>
          <w:szCs w:val="18"/>
          <w:color w:val="auto"/>
        </w:rPr>
      </w:pPr>
    </w:p>
    <w:p>
      <w:pPr>
        <w:ind w:left="980" w:right="20" w:hanging="324"/>
        <w:spacing w:after="0" w:line="29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Our wireless-based solutions offer a relatively low total cost of ownership, including savings on the combined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1" w:lineRule="exact"/>
        <w:rPr>
          <w:rFonts w:ascii="Arial" w:cs="Arial" w:eastAsia="Arial" w:hAnsi="Arial"/>
          <w:sz w:val="16"/>
          <w:szCs w:val="16"/>
          <w:color w:val="auto"/>
        </w:rPr>
      </w:pPr>
    </w:p>
    <w:p>
      <w:pPr>
        <w:ind w:left="980" w:right="2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Futureproof network. </w:t>
      </w:r>
      <w:r>
        <w:rPr>
          <w:rFonts w:ascii="Arial" w:cs="Arial" w:eastAsia="Arial" w:hAnsi="Arial"/>
          <w:sz w:val="18"/>
          <w:szCs w:val="18"/>
          <w:color w:val="auto"/>
        </w:rPr>
        <w:t>Our solutions are designed to protect the network operator’s investment by incorporating software-configurable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plug-in modules that provide a smooth migration path to emerging technologies, such as carrier Ethernet and IP-based networking, without the need for costly equipment substitutions and additions. Our products include key technologies we believe will be needed by operators for their network evolution to support new broadband services.</w:t>
      </w:r>
    </w:p>
    <w:p>
      <w:pPr>
        <w:spacing w:after="0" w:line="24"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Flexible, easily configurable products. </w:t>
      </w:r>
      <w:r>
        <w:rPr>
          <w:rFonts w:ascii="Arial" w:cs="Arial" w:eastAsia="Arial" w:hAnsi="Arial"/>
          <w:sz w:val="18"/>
          <w:szCs w:val="18"/>
          <w:color w:val="auto"/>
        </w:rPr>
        <w:t>We use flexible architectures with a high level of software configurable features. This design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network management. </w:t>
      </w:r>
      <w:r>
        <w:rPr>
          <w:rFonts w:ascii="Arial" w:cs="Arial" w:eastAsia="Arial" w:hAnsi="Arial"/>
          <w:sz w:val="18"/>
          <w:szCs w:val="18"/>
          <w:color w:val="auto"/>
        </w:rPr>
        <w:t>We offer a range of flexible network management solutions, from element management to enterprise-wide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management and service assurance that we can optimize to work with our wireless systems.</w:t>
      </w:r>
    </w:p>
    <w:p>
      <w:pPr>
        <w:spacing w:after="0" w:line="8" w:lineRule="exact"/>
        <w:rPr>
          <w:rFonts w:ascii="Arial" w:cs="Arial" w:eastAsia="Arial" w:hAnsi="Arial"/>
          <w:sz w:val="18"/>
          <w:szCs w:val="18"/>
          <w:color w:val="auto"/>
        </w:rPr>
      </w:pPr>
    </w:p>
    <w:p>
      <w:pPr>
        <w:jc w:val="both"/>
        <w:ind w:left="980" w:right="12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Complete professional services. </w:t>
      </w:r>
      <w:r>
        <w:rPr>
          <w:rFonts w:ascii="Arial" w:cs="Arial" w:eastAsia="Arial" w:hAnsi="Arial"/>
          <w:sz w:val="18"/>
          <w:szCs w:val="18"/>
          <w:color w:val="auto"/>
        </w:rPr>
        <w:t>In addition to our product offerings, we provide network planning and design, site surveys and builds,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210" w:lineRule="exact"/>
        <w:rPr>
          <w:sz w:val="20"/>
          <w:szCs w:val="20"/>
          <w:color w:val="auto"/>
        </w:rPr>
      </w:pPr>
    </w:p>
    <w:p>
      <w:pPr>
        <w:jc w:val="right"/>
        <w:ind w:right="9840"/>
        <w:spacing w:after="0"/>
        <w:rPr>
          <w:sz w:val="20"/>
          <w:szCs w:val="20"/>
          <w:color w:val="auto"/>
        </w:rPr>
      </w:pPr>
      <w:r>
        <w:rPr>
          <w:rFonts w:ascii="Arial" w:cs="Arial" w:eastAsia="Arial" w:hAnsi="Arial"/>
          <w:sz w:val="15"/>
          <w:szCs w:val="15"/>
          <w:b w:val="1"/>
          <w:bCs w:val="1"/>
          <w:color w:val="auto"/>
        </w:rPr>
        <w:t>Business Operations</w:t>
      </w:r>
    </w:p>
    <w:p>
      <w:pPr>
        <w:spacing w:after="0" w:line="129" w:lineRule="exact"/>
        <w:rPr>
          <w:sz w:val="20"/>
          <w:szCs w:val="20"/>
          <w:color w:val="auto"/>
        </w:rPr>
      </w:pPr>
    </w:p>
    <w:p>
      <w:pPr>
        <w:jc w:val="right"/>
        <w:ind w:right="9900"/>
        <w:spacing w:after="0"/>
        <w:rPr>
          <w:sz w:val="20"/>
          <w:szCs w:val="20"/>
          <w:color w:val="auto"/>
        </w:rPr>
      </w:pPr>
      <w:r>
        <w:rPr>
          <w:rFonts w:ascii="Arial" w:cs="Arial" w:eastAsia="Arial" w:hAnsi="Arial"/>
          <w:sz w:val="17"/>
          <w:szCs w:val="17"/>
          <w:b w:val="1"/>
          <w:bCs w:val="1"/>
          <w:i w:val="1"/>
          <w:iCs w:val="1"/>
          <w:color w:val="auto"/>
        </w:rPr>
        <w:t>Sales and Service</w:t>
      </w:r>
    </w:p>
    <w:p>
      <w:pPr>
        <w:spacing w:after="0" w:line="10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believe that a direct and continuing relationship with service providers is a competitive advantage in attracting new customers and satisfying existing ones. As a result, we offer our products and services through our own direct sales, service and support organization, which allows us to closely monitor the needs of our customers. We have offices in Canada and the United States in North America; Brazil, Argentina and Mexico in Central and South America; Slovenia, Poland, France, Austria, Amsterdam and the United Kingdom in Europe; Nigeria, Kenya, Ivory Coast, Algeria and South Africa in Africa; the United Arab Emirates, Saudi Arabia and Lebanon in the Middle East; and Australia, Bangladesh, India, New Zealand, Indonesia, China, Malaysia, the Philippines, Singapore and Thailand in the Asia Pacific region. Our local offices provide us with a better understanding of our customers’ needs and enable us to respond to local issues and unique local requirements.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We also have informal, and in some cases formal, relationships with original equipment manufacturers or OEMs and system integrators. Such relationships increase our ability to pursue a limited number of major contract awards each year. In addition, such relationships provide our customers with easier access to financing and integrated system providers with a variety of equipment and service capabilities. In selected countries, we also market our products through independent agents and distributors, as well as through system integrators.</w:t>
      </w:r>
    </w:p>
    <w:p>
      <w:pPr>
        <w:spacing w:after="0" w:line="11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have repair and service centers in India, Nigeria, Ghana, Brazil, Mexico, the Philippines, the United Kingdom and the United States. Our international headquarters in Singapore provides sales and customer support for the Asia Pacific region from this facility.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1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specific terms and conditions of our product warranties vary depending upon the product sold and country in which we do business. On direct sales, warranty periods generally start on the delivery date and continue for one to two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Manufacturing</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global manufacturing strategy is an entirely outsourced manufacturing model using multiple contract manufacturers in both the United States and Asia locations. Our strategy is to use a select number of contract manufacturers for all products. We continue to perform our system integration and customer acceptance and testing in an Aviat facility co-located with one of our contract manufacturers in the United States.</w:t>
      </w:r>
    </w:p>
    <w:p>
      <w:pPr>
        <w:spacing w:after="0" w:line="127"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backlog by geographic region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29, 2012</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1"/>
              </w:rPr>
              <w:t>July 1, 2011</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backlog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20" w:firstLine="432"/>
        <w:spacing w:after="0" w:line="312" w:lineRule="auto"/>
        <w:rPr>
          <w:sz w:val="20"/>
          <w:szCs w:val="20"/>
          <w:color w:val="auto"/>
        </w:rPr>
      </w:pPr>
      <w:r>
        <w:rPr>
          <w:rFonts w:ascii="Arial" w:cs="Arial" w:eastAsia="Arial" w:hAnsi="Arial"/>
          <w:sz w:val="16"/>
          <w:szCs w:val="16"/>
          <w:color w:val="auto"/>
        </w:rPr>
        <w:t>Backlog for our products generally consists of contracts or purchase orders for both product deliveries scheduled within the next 12 months and extended service warranty. We regularly review our backlog to ensure that our customers continue to honor their purchase commitments and have the financial means to purchase and deploy our products and services in accordance with the terms of their purchase contracts.</w:t>
      </w:r>
    </w:p>
    <w:p>
      <w:pPr>
        <w:spacing w:after="0" w:line="9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expect to substantially fill the entire backlog as of June 29, 2012 during fiscal 2013,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 The backlog figures exclude advance payments and unearned income amounts. As of June 29, 2012, no customers accounted for 10% or more of our total backlog.</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Principal customers for our products and services include domestic and international wireless/mobile service providers, OEMs, and private network users such as public safety agencies, government institutions, and utility, pipeline, railroad and other industrial enterprises that operate wireless networks.</w:t>
      </w:r>
    </w:p>
    <w:p>
      <w:pPr>
        <w:spacing w:after="0" w:line="7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fiscal 2012, the Mobile Telephone Networks Group, or MTN Group, in Africa accounted for 17% of our total revenue compared with 14% in fiscal 2011 and 17% in fiscal 2010. We have entered into separate and distinct contracts with MTN Group as well as separate arrangements with MTN Group subsidiaries. None of such other contracts on an individual basis are material to our operations. The loss of all MTN Group business could adversely affect our results of operations, cash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flows and financial position.</w:t>
      </w:r>
    </w:p>
    <w:p>
      <w:pPr>
        <w:spacing w:after="0" w:line="1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Although we have a large customer base, during any given fiscal year or quarter a small number of customers may account for a significant portion of our revenue. In certain circumstances, we sell our products to service providers through OEMs, which provide the service providers with access to financing and in some instances, protection from fluctuations in international currency exchange rates.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 Business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measures of our revenue in international markets as a percentage of total revenue and international revenue:</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87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63"/>
        </w:trPr>
        <w:tc>
          <w:tcPr>
            <w:tcW w:w="700" w:type="dxa"/>
            <w:vAlign w:val="bottom"/>
            <w:tcBorders>
              <w:bottom w:val="single" w:sz="8" w:color="auto"/>
            </w:tcBorders>
            <w:vMerge w:val="continue"/>
          </w:tcPr>
          <w:p>
            <w:pPr>
              <w:spacing w:after="0"/>
              <w:rPr>
                <w:sz w:val="13"/>
                <w:szCs w:val="13"/>
                <w:color w:val="auto"/>
              </w:rPr>
            </w:pPr>
          </w:p>
        </w:tc>
        <w:tc>
          <w:tcPr>
            <w:tcW w:w="8780" w:type="dxa"/>
            <w:vAlign w:val="bottom"/>
          </w:tcPr>
          <w:p>
            <w:pPr>
              <w:spacing w:after="0"/>
              <w:rPr>
                <w:sz w:val="13"/>
                <w:szCs w:val="13"/>
                <w:color w:val="auto"/>
              </w:rPr>
            </w:pPr>
          </w:p>
        </w:tc>
        <w:tc>
          <w:tcPr>
            <w:tcW w:w="1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Total Revenue</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Revenue from U.S. exports or manufactured abroad: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Fiscal 2012</w:t>
            </w:r>
          </w:p>
        </w:tc>
        <w:tc>
          <w:tcPr>
            <w:tcW w:w="1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2011</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Fiscal 2010</w:t>
            </w:r>
          </w:p>
        </w:tc>
        <w:tc>
          <w:tcPr>
            <w:tcW w:w="1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504"/>
        </w:trPr>
        <w:tc>
          <w:tcPr>
            <w:tcW w:w="9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8"/>
        </w:trPr>
        <w:tc>
          <w:tcPr>
            <w:tcW w:w="9520" w:type="dxa"/>
            <w:vAlign w:val="bottom"/>
            <w:gridSpan w:val="3"/>
            <w:vMerge w:val="continue"/>
          </w:tcPr>
          <w:p>
            <w:pPr>
              <w:spacing w:after="0"/>
              <w:rPr>
                <w:sz w:val="13"/>
                <w:szCs w:val="13"/>
                <w:color w:val="auto"/>
              </w:rPr>
            </w:pPr>
          </w:p>
        </w:tc>
        <w:tc>
          <w:tcPr>
            <w:tcW w:w="1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Non U.S. 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87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 from U.S. exports:</w:t>
            </w: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Fiscal 2012</w:t>
            </w: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2011</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Fiscal 2010</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504"/>
        </w:trPr>
        <w:tc>
          <w:tcPr>
            <w:tcW w:w="9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8"/>
        </w:trPr>
        <w:tc>
          <w:tcPr>
            <w:tcW w:w="9520" w:type="dxa"/>
            <w:vAlign w:val="bottom"/>
            <w:gridSpan w:val="3"/>
            <w:vMerge w:val="continue"/>
          </w:tcPr>
          <w:p>
            <w:pPr>
              <w:spacing w:after="0"/>
              <w:rPr>
                <w:sz w:val="13"/>
                <w:szCs w:val="13"/>
                <w:color w:val="auto"/>
              </w:rPr>
            </w:pPr>
          </w:p>
        </w:tc>
        <w:tc>
          <w:tcPr>
            <w:tcW w:w="1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87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 from operations conducted in local international currencies:</w:t>
            </w: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Fiscal 2012</w:t>
            </w: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2011</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Fiscal 2010</w:t>
            </w: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504"/>
        </w:trPr>
        <w:tc>
          <w:tcPr>
            <w:tcW w:w="9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8"/>
        </w:trPr>
        <w:tc>
          <w:tcPr>
            <w:tcW w:w="9520" w:type="dxa"/>
            <w:vAlign w:val="bottom"/>
            <w:gridSpan w:val="3"/>
            <w:vMerge w:val="continue"/>
          </w:tcPr>
          <w:p>
            <w:pPr>
              <w:spacing w:after="0"/>
              <w:rPr>
                <w:sz w:val="13"/>
                <w:szCs w:val="13"/>
                <w:color w:val="auto"/>
              </w:rPr>
            </w:pPr>
          </w:p>
        </w:tc>
        <w:tc>
          <w:tcPr>
            <w:tcW w:w="1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87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 from non-U.S. countries representing more than 5% of total revenue:</w:t>
            </w: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Fiscal 2012 Nigeria</w:t>
            </w: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2012 France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Fiscal 2011 Nigeria</w:t>
            </w:r>
          </w:p>
        </w:tc>
        <w:tc>
          <w:tcPr>
            <w:tcW w:w="1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2010 Nigeria</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Fiscal 2010 Saudi Arabia</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functional currency of our subsidiaries located in the United Kingdom, Singapore, Mexico, Algeria and New Zealand is the U.S. dollar so the effect of foreign currency changes have not had a significant effect on our revenue from those countries. Direct export sales, as well as sales from international subsidiaries, are primarily denominated in U.S. dollars. International operations represented 38% and 43% of our long-lived assets as of June 29, 2012 and as of July 1, 2011.</w:t>
      </w:r>
    </w:p>
    <w:p>
      <w:pPr>
        <w:spacing w:after="0" w:line="13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conduct international marketing activities through subsidiaries operating in Europe, Central and South America, Africa and Asia. We also have established marketing organizations and several regional sales offices in these same geographic areas.</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use indirect sales channels, including dealers, distributors and sales representatives, in the marketing and sale of some lines of products and equipment internationally.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A significant portion of our exports are paid from letters of credit issued to us, with the balance carried on an open account. In addition, significant international government contracts generally require us to provide performance guarantees. We have not historically had to pay out on the performance guarantees.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particular economic, social and political conditions for business conducted outside the U.S. differ from those encountered by domestic businesses.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overall business risk for our international business as a whole is somewhat greater than that faced by our domestic operations as a whole.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the risks we are subject to as a result of our international operations, see “Item 1A. Risk Factors” in this Annual Report on Form 10-K.</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The wireless access, backhaul and interconnection business is a specialized segment of the wireless telecommunications industry that is sensitive to technological advancements and is extremely competitive. Some of our competitors have more extensive engineering, manufacturing and marketing capabilities and greater financial, technical and personnel resources than us. Many of our competitors may have greater name recognition, broader product lines (some including non-wireless telecommunications equipment and managed services), a larger installed base of products and longer-standing customer relationships. In addition, some competitors offer seller financing which is a competitive advantage in the current economic environment.</w:t>
      </w:r>
    </w:p>
    <w:p>
      <w:pPr>
        <w:spacing w:after="0" w:line="104" w:lineRule="exact"/>
        <w:rPr>
          <w:sz w:val="20"/>
          <w:szCs w:val="20"/>
          <w:color w:val="auto"/>
        </w:rPr>
      </w:pPr>
    </w:p>
    <w:p>
      <w:pPr>
        <w:ind w:right="360" w:firstLine="432"/>
        <w:spacing w:after="0" w:line="302" w:lineRule="auto"/>
        <w:rPr>
          <w:sz w:val="20"/>
          <w:szCs w:val="20"/>
          <w:color w:val="auto"/>
        </w:rPr>
      </w:pPr>
      <w:r>
        <w:rPr>
          <w:rFonts w:ascii="Arial" w:cs="Arial" w:eastAsia="Arial" w:hAnsi="Arial"/>
          <w:sz w:val="16"/>
          <w:szCs w:val="16"/>
          <w:color w:val="auto"/>
        </w:rPr>
        <w:t>Although successful product and systems development is not necessarily dependent on substantial financial resources, many of our competitors are significantly larger than us and can maintain higher levels of expenditures for research and development. In addition, a portion of our overall market is addressed by large mobile infrastructure providers who bundle microwave radios with other mobile network equipment, such as cellular base stations or switching systems, and offer a full range of services. This part of the market is generally not open to independent microwave suppliers like us.</w:t>
      </w:r>
    </w:p>
    <w:p>
      <w:pPr>
        <w:spacing w:after="0" w:line="10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also compete with a number of smaller independent private and public specialist companies, who typically leverage new technologies and low-cost models, but usually are not able to offer a complete solution including turnkey services in all regions of the world.</w:t>
      </w:r>
    </w:p>
    <w:p>
      <w:pPr>
        <w:spacing w:after="0" w:line="116"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Our principal microwave competitors include large mobile infrastructure manufacturers such as Alcatel-Lucent, Ericsson, NEC, Huawei and ZTE , as well as a number of other smaller public and private microwave specialists companies such as Ceragon, DragonWave, SAIE and Exalt. Some of our competitors are OEMs or systems integrators through which we sometimes distribute and sell products and services to end users.</w:t>
      </w:r>
    </w:p>
    <w:p>
      <w:pPr>
        <w:spacing w:after="0" w:line="11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two major product areas: backhaul solutions and network management systems. In addition, we are investing in key innovation that will help separate these products from the competition. The majority of such research and development resources will be used for point-to-point digital microwave radio systems for access, backhaul, trunking and license-exempt applications.</w:t>
      </w:r>
    </w:p>
    <w:p>
      <w:pPr>
        <w:spacing w:after="0" w:line="11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research, development and engineering expenditures totaled $36.0 million, or 8.1% of revenue in fiscal 2012, $40.5 million, or 9.0% of revenue in fiscal 2011, and $31.1 million, or 6.7% of revenue in fiscal 2010.</w:t>
      </w:r>
    </w:p>
    <w:p>
      <w:pPr>
        <w:spacing w:after="0" w:line="11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Research, development and engineering are primarily directed to the development of new products and to building technological capability. We are an industry innovator and intend to continue to focus significant resources on product development in an effort to maintain our competitiveness and support our entry into new markets. We maintain development programs intended to result in new products, such as additions to our WTM3000 and Eclipse product platforms</w:t>
      </w:r>
      <w:r>
        <w:rPr>
          <w:rFonts w:ascii="Arial" w:cs="Arial" w:eastAsia="Arial" w:hAnsi="Arial"/>
          <w:sz w:val="18"/>
          <w:szCs w:val="18"/>
          <w:b w:val="1"/>
          <w:bCs w:val="1"/>
          <w:color w:val="auto"/>
        </w:rPr>
        <w:t>.</w:t>
      </w:r>
    </w:p>
    <w:p>
      <w:pPr>
        <w:spacing w:after="0" w:line="133"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Our product development team numbered 224 as of June 29, 2012, located in Santa Clara, California; Wellington, New Zealand; Singapore and Ljubljana, Slovenia.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Raw Materials and Supplies</w:t>
      </w:r>
    </w:p>
    <w:p>
      <w:pPr>
        <w:spacing w:after="0" w:line="90"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Because of the range of our products and services, as well as the wide geographic dispersion of our facilities, we use numerous sources for the wide array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10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and MMICs (a type of integrated circuit used in manufacturing microwave radios), which we procure at volume discount from a single source. Our supply chain plan includes mitigation plans for alternative manufacturing sources and identified alternate suppliers.</w:t>
      </w:r>
    </w:p>
    <w:p>
      <w:pPr>
        <w:spacing w:after="0" w:line="12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While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They are due primarily to the highly technical nature of many of our purchased components.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Looking ahead, we anticipate standard lead times for our raw materials and supplies.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Patents and Other Intellectual Property</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August 15, 2012, we held 119 U.S. patents and 114 international patents and had 58 U.S. patent applications pending and 87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3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While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and Other Regulations</w:t>
      </w:r>
    </w:p>
    <w:p>
      <w:pPr>
        <w:spacing w:after="0" w:line="90"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11" w:lineRule="exact"/>
        <w:rPr>
          <w:sz w:val="20"/>
          <w:szCs w:val="20"/>
          <w:color w:val="auto"/>
        </w:rPr>
      </w:pPr>
    </w:p>
    <w:p>
      <w:pPr>
        <w:jc w:val="both"/>
        <w:ind w:right="600" w:firstLine="432"/>
        <w:spacing w:after="0" w:line="286" w:lineRule="auto"/>
        <w:rPr>
          <w:sz w:val="20"/>
          <w:szCs w:val="20"/>
          <w:color w:val="auto"/>
        </w:rPr>
      </w:pPr>
      <w:r>
        <w:rPr>
          <w:rFonts w:ascii="Arial" w:cs="Arial" w:eastAsia="Arial" w:hAnsi="Arial"/>
          <w:sz w:val="17"/>
          <w:szCs w:val="17"/>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also could impact our business, financial condition and results of operations.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As of June 29, 2012 we employed approximately 980 people, compared with 1,000 as of the end of fiscal year 2011 and 1,380 as of the end of fiscal 2010. Approximately 455 of our employees are located in the U.S. We also utilized approximately 76 independent contractors as of June 29, 2012. None of our employees in the U.S. are represented by a labor union. In certain international subsidiaries, our employees are represented by workers’ councils or statutory labor unions. In general, we believe that our relations with our employees are good.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2012, are as follows:</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25" w:right="31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Name and Age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A. Pangia,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Edward J. ("Ned") Hayes, 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2520"/>
        <w:spacing w:after="0"/>
        <w:rPr>
          <w:sz w:val="20"/>
          <w:szCs w:val="20"/>
          <w:color w:val="auto"/>
        </w:rPr>
      </w:pPr>
      <w:r>
        <w:rPr>
          <w:rFonts w:ascii="Arial" w:cs="Arial" w:eastAsia="Arial" w:hAnsi="Arial"/>
          <w:sz w:val="14"/>
          <w:szCs w:val="14"/>
          <w:b w:val="1"/>
          <w:bCs w:val="1"/>
          <w:u w:val="single" w:color="auto"/>
          <w:color w:val="auto"/>
        </w:rPr>
        <w:t>Position Currently Held and Past Business Experience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Pangia has been our President and Chief Executive Officer and a member of the Board since July 18, 2011. From March 2009 to July 2011, he served as our Chief Sales Officer responsible for company-wide operations of the global sales and services organization. Prior to joining Aviat Networks, from 2008 to 2009, Mr. Pangia served as Senior Vice President, global sales operations and strategy at Nortel, where he was responsible for all operational aspects of the global sales function. From 2006 to 2008, he was President of Nortel’s Asia region where his key responsibilities included sales and overall business management for all countries where Nortel did business in the region.</w:t>
      </w:r>
    </w:p>
    <w:p>
      <w:pPr>
        <w:spacing w:after="0" w:line="23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Mr. Hayes joined Aviat Networks in October 2011 and serves as our Senior Vice President and Chief Financial Officer responsible for the finance and IT organizations. Prior to joining Aviat Networks, from 2006 through October 2011, Mr. Hayes was the Chief Financial Officer at Pillar Data Systems, Inc., an enterprise data storage company, which was acquired by Oracle Corporation. Before joining Pillar Data, he served as Executive Vice President and Chief Financial Officer of Quantum Corporation, a data storage company. Mr. Hayes currently serves as a senior advisor to the CEO of Super Micro Computer, Inc., where he previously served as an independent director and Chair of the Audit Committee. He also currently served as an independent director and non-executive Chairman of the Board of Alaska Communications Systems, a provider of high-speed wireless, mobile broadband, internet, local, long-distance and advanced broadband solutions for businesses and consumers in Alaska.</w:t>
      </w:r>
    </w:p>
    <w:p>
      <w:pPr>
        <w:spacing w:after="0" w:line="200" w:lineRule="exact"/>
        <w:rPr>
          <w:sz w:val="20"/>
          <w:szCs w:val="20"/>
          <w:color w:val="auto"/>
        </w:rPr>
      </w:pPr>
    </w:p>
    <w:p>
      <w:pPr>
        <w:sectPr>
          <w:pgSz w:w="11900" w:h="16838" w:orient="portrait"/>
          <w:cols w:equalWidth="0" w:num="2">
            <w:col w:w="2280" w:space="720"/>
            <w:col w:w="8420"/>
          </w:cols>
          <w:pgMar w:left="240" w:top="125" w:right="239" w:bottom="1440" w:gutter="0" w:footer="0" w:header="0"/>
          <w:type w:val="continuous"/>
        </w:sectPr>
      </w:pPr>
    </w:p>
    <w:p>
      <w:pPr>
        <w:spacing w:after="0" w:line="7"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Paul A. Kennard, 61</w:t>
      </w:r>
      <w:r>
        <w:rPr>
          <w:sz w:val="20"/>
          <w:szCs w:val="20"/>
          <w:color w:val="auto"/>
        </w:rPr>
        <w:tab/>
      </w:r>
      <w:r>
        <w:rPr>
          <w:rFonts w:ascii="Arial" w:cs="Arial" w:eastAsia="Arial" w:hAnsi="Arial"/>
          <w:sz w:val="16"/>
          <w:szCs w:val="16"/>
          <w:color w:val="auto"/>
        </w:rPr>
        <w:t>Mr. Kennard joined our company as Chief Technology Officer in January 2007 when Harris Corporation’s</w:t>
      </w:r>
    </w:p>
    <w:p>
      <w:pPr>
        <w:spacing w:after="0" w:line="23" w:lineRule="exact"/>
        <w:rPr>
          <w:sz w:val="20"/>
          <w:szCs w:val="20"/>
          <w:color w:val="auto"/>
        </w:rPr>
      </w:pPr>
    </w:p>
    <w:p>
      <w:pPr>
        <w:ind w:left="3000" w:right="460"/>
        <w:spacing w:after="0" w:line="261" w:lineRule="auto"/>
        <w:rPr>
          <w:sz w:val="20"/>
          <w:szCs w:val="20"/>
          <w:color w:val="auto"/>
        </w:rPr>
      </w:pPr>
      <w:r>
        <w:rPr>
          <w:rFonts w:ascii="Arial" w:cs="Arial" w:eastAsia="Arial" w:hAnsi="Arial"/>
          <w:sz w:val="18"/>
          <w:szCs w:val="18"/>
          <w:color w:val="auto"/>
        </w:rPr>
        <w:t>Microwave Communications Division (“MCD”) and Stratex Networks, Inc. merged. In 1996 he joined Stratex Networks as Vice President, Engineering.</w:t>
      </w:r>
    </w:p>
    <w:p>
      <w:pPr>
        <w:spacing w:after="0" w:line="143"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Meena L. Elliott, 49</w:t>
      </w:r>
      <w:r>
        <w:rPr>
          <w:sz w:val="20"/>
          <w:szCs w:val="20"/>
          <w:color w:val="auto"/>
        </w:rPr>
        <w:tab/>
      </w:r>
      <w:r>
        <w:rPr>
          <w:rFonts w:ascii="Arial" w:cs="Arial" w:eastAsia="Arial" w:hAnsi="Arial"/>
          <w:sz w:val="16"/>
          <w:szCs w:val="16"/>
          <w:color w:val="auto"/>
        </w:rPr>
        <w:t>Ms. Elliott was appointed Senior Vice President, General Counsel and Secretary on September 1, 2011. Since July</w:t>
      </w:r>
    </w:p>
    <w:p>
      <w:pPr>
        <w:spacing w:after="0" w:line="23" w:lineRule="exact"/>
        <w:rPr>
          <w:sz w:val="20"/>
          <w:szCs w:val="20"/>
          <w:color w:val="auto"/>
        </w:rPr>
      </w:pPr>
    </w:p>
    <w:p>
      <w:pPr>
        <w:ind w:left="3000" w:right="140"/>
        <w:spacing w:after="0" w:line="254" w:lineRule="auto"/>
        <w:rPr>
          <w:sz w:val="20"/>
          <w:szCs w:val="20"/>
          <w:color w:val="auto"/>
        </w:rPr>
      </w:pPr>
      <w:r>
        <w:rPr>
          <w:rFonts w:ascii="Arial" w:cs="Arial" w:eastAsia="Arial" w:hAnsi="Arial"/>
          <w:sz w:val="18"/>
          <w:szCs w:val="18"/>
          <w:color w:val="auto"/>
        </w:rPr>
        <w:t>2009, she has served as Vice President, General Counsel and Secretary. She joined our company as Associate General Counsel and Assistant Secretary in January 2007 when Harris MCD and Stratex Networks merged. Ms. Elliott joined Harris Corporation’s MCD as Division Counsel in March 2006. Prior to joining MCD, she was Chief Counsel at the Department of Commerce from 2002 to 2006.</w:t>
      </w:r>
    </w:p>
    <w:p>
      <w:pPr>
        <w:spacing w:after="0" w:line="149"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Heinz H. Stumpe, 57</w:t>
      </w:r>
      <w:r>
        <w:rPr>
          <w:sz w:val="20"/>
          <w:szCs w:val="20"/>
          <w:color w:val="auto"/>
        </w:rPr>
        <w:tab/>
      </w:r>
      <w:r>
        <w:rPr>
          <w:rFonts w:ascii="Arial" w:cs="Arial" w:eastAsia="Arial" w:hAnsi="Arial"/>
          <w:sz w:val="16"/>
          <w:szCs w:val="16"/>
          <w:color w:val="auto"/>
        </w:rPr>
        <w:t>Mr. Stumpe was appointed Chief Sales Officer on June 25, 2012. Before his appointment as Chief Sales Officer,</w:t>
      </w:r>
    </w:p>
    <w:p>
      <w:pPr>
        <w:spacing w:after="0" w:line="23" w:lineRule="exact"/>
        <w:rPr>
          <w:sz w:val="20"/>
          <w:szCs w:val="20"/>
          <w:color w:val="auto"/>
        </w:rPr>
      </w:pPr>
    </w:p>
    <w:p>
      <w:pPr>
        <w:ind w:left="3000" w:right="380"/>
        <w:spacing w:after="0" w:line="273" w:lineRule="auto"/>
        <w:rPr>
          <w:sz w:val="20"/>
          <w:szCs w:val="20"/>
          <w:color w:val="auto"/>
        </w:rPr>
      </w:pPr>
      <w:r>
        <w:rPr>
          <w:rFonts w:ascii="Arial" w:cs="Arial" w:eastAsia="Arial" w:hAnsi="Arial"/>
          <w:sz w:val="17"/>
          <w:szCs w:val="17"/>
          <w:color w:val="auto"/>
        </w:rPr>
        <w:t>Mr. Stumpe was our Senior Vice President and Chief Operating Officer since June 30, 2008. Previously, he was Vice President, Global Operations for Aviat Networks and Stratex Networks. He joined Stratex Networks as Director, Marketing in 1996. He was promoted to Vice President, Global Accounts in 1999, Vice President, Strategic Accounts in 2002 and Vice President, Global Operations in April 2006.</w:t>
      </w:r>
    </w:p>
    <w:p>
      <w:pPr>
        <w:spacing w:after="0" w:line="136"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Shaun McFall, 52</w:t>
      </w:r>
      <w:r>
        <w:rPr>
          <w:sz w:val="20"/>
          <w:szCs w:val="20"/>
          <w:color w:val="auto"/>
        </w:rPr>
        <w:tab/>
      </w:r>
      <w:r>
        <w:rPr>
          <w:rFonts w:ascii="Arial" w:cs="Arial" w:eastAsia="Arial" w:hAnsi="Arial"/>
          <w:sz w:val="16"/>
          <w:szCs w:val="16"/>
          <w:color w:val="auto"/>
        </w:rPr>
        <w:t>Mr. McFall has been our Chief Marketing Officer since July 2008. Previously, from 2000 to 2008, he served as</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Vice President, Marketing for Aviat Networks and Stratex Networks. He has been with us since 1989.</w:t>
      </w:r>
    </w:p>
    <w:p>
      <w:pPr>
        <w:spacing w:after="0" w:line="40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Web site Access to Aviat Networks’ Reports; Available Information</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maintain an Internet Web site at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http://www.aviatnetworks.com.</w:t>
      </w:r>
      <w:r>
        <w:rPr>
          <w:rFonts w:ascii="Arial" w:cs="Arial" w:eastAsia="Arial" w:hAnsi="Arial"/>
          <w:sz w:val="18"/>
          <w:szCs w:val="18"/>
          <w:i w:val="1"/>
          <w:iCs w:val="1"/>
          <w:color w:val="auto"/>
        </w:rPr>
        <w:t xml:space="preserve"> </w:t>
      </w:r>
      <w:r>
        <w:rPr>
          <w:rFonts w:ascii="Arial" w:cs="Arial" w:eastAsia="Arial" w:hAnsi="Arial"/>
          <w:sz w:val="18"/>
          <w:szCs w:val="18"/>
          <w:color w:val="auto"/>
        </w:rPr>
        <w:t>Our annual reports on Form 10-K, proxy statements, quarterly reports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 current reports on Form 8-K and amendments to such reports, filed or furnished pursuant to Section 13(a) or 15(d) of the Securities Exchange Act of 1934, are available free of charge on our Web 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will also provide the reports in electronic or paper form, free of charge upon request. All reports we file with or furnish to the SEC are also available free of charge via EDGAR through the SEC’s website at http://www.sec.gov.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1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that we are not aware of or focused on may also impair our business operations. If any of these risks actually occur, our financial condition and results of operations could be materially and adversely affected.</w:t>
      </w:r>
    </w:p>
    <w:p>
      <w:pPr>
        <w:spacing w:after="0" w:line="13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1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market for our products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Another factor impacting our future success is the growth in the customer demand of our new products. Rapidly changing technology, frequent new products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41" w:lineRule="exact"/>
        <w:rPr>
          <w:sz w:val="20"/>
          <w:szCs w:val="20"/>
          <w:color w:val="auto"/>
        </w:rPr>
      </w:pPr>
    </w:p>
    <w:p>
      <w:pPr>
        <w:ind w:right="80" w:firstLine="432"/>
        <w:spacing w:after="0" w:line="289" w:lineRule="auto"/>
        <w:rPr>
          <w:sz w:val="20"/>
          <w:szCs w:val="20"/>
          <w:color w:val="auto"/>
        </w:rPr>
      </w:pPr>
      <w:r>
        <w:rPr>
          <w:rFonts w:ascii="Arial" w:cs="Arial" w:eastAsia="Arial" w:hAnsi="Arial"/>
          <w:sz w:val="17"/>
          <w:szCs w:val="17"/>
          <w:color w:val="auto"/>
        </w:rPr>
        <w:t>As we transition to new product platforms, we may face significant risk that the development of our new products may not be accepted by our current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been profitable and must increase our revenues and reduce costs if we hope to achieve sustainable profitability.</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measured under U.S. generally accepted accounting principles (“U.S. GAAP”), we have incurred a net loss in each of the last 6 fiscal years. We incurred net losses of $24.1 million in fiscal 2012, $90.5 million in fiscal 2011 and $130.2 million in fiscal 2010 and have been unprofitable since we became a public company in January 2007. We also have consistently reported losses from operations, although we have generated cash from operations in fiscal 2012, 2010 and 2009.</w:t>
      </w:r>
    </w:p>
    <w:p>
      <w:pPr>
        <w:spacing w:after="0" w:line="13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Throughout fiscal 2012 we experienced strong price competition for new business in all regions while major customer consolidations also put pressure on revenue and gross margin. We saw pricing pressures in all markets, particularly in international markets where we compete for the business of large, carrier customers. In all markets, telecommunication operating companies consolidated through mergers or acquisitions, leading to fewer, but larger customers. In order to counter pricing pressures, we invested heavily in product improvements to reduce unit costs and enhance product features, exited manufacturing facilities and shifted production to contract manufacturers, and worked with our vendors to attain more favorable pricing. If we are unable to reduce product unit costs associated with enhanced product features, including payments to contract manufacturers and other suppliers, we may not achieve profitability.</w:t>
      </w:r>
    </w:p>
    <w:p>
      <w:pPr>
        <w:spacing w:after="0" w:line="13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cannot be certain that these actions or others that we may take in the future will result in operating profitability or net income as determined under U.S. GAAP.</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We face strong competition for maintaining and improving our position in the market, which can adversely affect our revenue growth and operating results.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The wireless access, interconnection and backhaul business is a specialized segment of the wireless telecommunications industry and is extremely competitive. We expect competition in this segment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Alcatel-Lucent, Eltek ASA, Ericsson, NEC, Huawei and ZTE, as well as a number of other public and private companies such as Ceragon, DragonWave, SAIE and Exalt.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1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competitions.</w:t>
      </w:r>
    </w:p>
    <w:p>
      <w:pPr>
        <w:spacing w:after="0" w:line="12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average sales prices may decline in the future.</w:t>
      </w:r>
    </w:p>
    <w:p>
      <w:pPr>
        <w:spacing w:after="0" w:line="17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Currently, we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reduce costs of materials used in our products, and to continue to introduce new lower-cost products and product enhancements.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13"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b w:val="1"/>
          <w:bCs w:val="1"/>
          <w:i w:val="1"/>
          <w:iCs w:val="1"/>
          <w:color w:val="auto"/>
        </w:rPr>
        <w:t>The effects of the global financial and economic downturn may have significant effects on our customers and suppliers that would result in material adverse effects on our business, operating results, financial condition and stock price.</w:t>
      </w:r>
    </w:p>
    <w:p>
      <w:pPr>
        <w:spacing w:after="0" w:line="11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effects of the global financial and economic downturn include, among other things, significant reductions in available capital and liquidity from banks and other providers of credit, substantial reductions and/or fluctuations in equity and currency values worldwide, and concerns that the worldwide economy has entered into or may enter into a further prolonged recessionary period.</w:t>
      </w:r>
    </w:p>
    <w:p>
      <w:pPr>
        <w:spacing w:after="0" w:line="127"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This financial downturn has adversely affected and may continue to materially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affectively compete or we may chose not to compete due to unacceptable margins.</w:t>
      </w:r>
    </w:p>
    <w:p>
      <w:pPr>
        <w:spacing w:after="0" w:line="13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addition, the financial crisis may materially adversely affect our suppliers’ access to capital and liquidity with which to maintain their inventories, production levels, and/or product quality, could cause them to raise prices or lower production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levels, or result in their ceasing operations. Further, with respect to the credit facility discussed under “Liquidity, Capital Resources and Financial Strategies” in Item 7 of this Annual Report on form 10-K, if the global financial crisis adversely affects Silicon Valley Bank, our ability to access the funds available under the credit facility could be materially adversely affected.</w:t>
      </w:r>
    </w:p>
    <w:p>
      <w:pPr>
        <w:spacing w:after="0" w:line="12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therefore,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1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Part of our inventory may be written off, which would increase our cost of revenues. In addition, we may be exposed to inventory-related losses on inventories purchased by our contract manufacturers.</w:t>
      </w:r>
    </w:p>
    <w:p>
      <w:pPr>
        <w:spacing w:after="0" w:line="116" w:lineRule="exact"/>
        <w:rPr>
          <w:sz w:val="20"/>
          <w:szCs w:val="20"/>
          <w:color w:val="auto"/>
        </w:rPr>
      </w:pPr>
    </w:p>
    <w:p>
      <w:pPr>
        <w:ind w:right="480" w:firstLine="432"/>
        <w:spacing w:after="0" w:line="312" w:lineRule="auto"/>
        <w:rPr>
          <w:sz w:val="20"/>
          <w:szCs w:val="20"/>
          <w:color w:val="auto"/>
        </w:rPr>
      </w:pPr>
      <w:r>
        <w:rPr>
          <w:rFonts w:ascii="Arial" w:cs="Arial" w:eastAsia="Arial" w:hAnsi="Arial"/>
          <w:sz w:val="16"/>
          <w:szCs w:val="16"/>
          <w:color w:val="auto"/>
        </w:rPr>
        <w:t>During fiscal 2012, 2011 and 2010, we recorded charges to reduce the carrying value of our inventory to the lower of cost or market totaling $3.4 million , $14.5 million and $29.6 million, respectively. Such charges equaled 0.8%, 3.2%, and 6.4% of our revenue in fiscal 2012, 2011 and 2010, respectively. These charges were primarily due to excess and obsolete inventory resulting from product transitioning and discontinuance.</w:t>
      </w:r>
    </w:p>
    <w:p>
      <w:pPr>
        <w:spacing w:after="0" w:line="9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Inventory of raw materials, work in-process or finished products may accumulate in the future, and we may encounter losses due to a variety of factors, including:</w:t>
      </w:r>
    </w:p>
    <w:p>
      <w:pPr>
        <w:spacing w:after="0" w:line="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 technological change in the wireless telecommunications industry resulting in frequent product changes;</w:t>
      </w:r>
    </w:p>
    <w:p>
      <w:pPr>
        <w:spacing w:after="0" w:line="63" w:lineRule="exact"/>
        <w:rPr>
          <w:rFonts w:ascii="Arial" w:cs="Arial" w:eastAsia="Arial" w:hAnsi="Arial"/>
          <w:sz w:val="18"/>
          <w:szCs w:val="18"/>
          <w:color w:val="auto"/>
        </w:rPr>
      </w:pPr>
    </w:p>
    <w:p>
      <w:pPr>
        <w:ind w:left="980" w:right="80" w:hanging="324"/>
        <w:spacing w:after="0" w:line="29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need of our contract manufacturers to order raw materials that have long lead times and our inability to estimate exact amounts and types of items thus needed, especially with regard to the frequencies in which the final products ordered will operate; and</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reduction initiatives resulting in component changes within the products.</w:t>
      </w:r>
    </w:p>
    <w:p>
      <w:pPr>
        <w:spacing w:after="0" w:line="17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Further, our inventory of finished products may accumulate as the result of cancellation of customer orders or our customers’ refusal to confirm the acceptance of our products. Our contract manufacturers are required to purchase inventory based on manufacturing projections we provide to them. If actual orders from our customers are lower than these manufacturing projections, our contract manufacturers will have excess inventory of raw materials or finished products which we would be required to purchase. In addition, we require our contract manufacturers from time to time to purchase more inventory than is immediately required, and to partially assemble components, in order to shorten our delivery time in case of an increase in demand for our products. In the absence of such increase in demand, we may need to compensate our contract manufacturers. If we are required to purchase excess inventory from our contract manufacturers or otherwise compensate our contract manufacturers for purchasing excess inventory, our business, financial condition and results of operations could be materially adversely affected. We also may purchase components or raw materials from time to time for use by our contract manufacturers in the manufacturing of our products. These purchases are based on our own manufacturing projections. If our actual orders are lower than these manufacturing projections, we may accumulate excess inventory which we may be required to write-off. If we are forced to write-off this inventory other than in the normal course of business, our business, financial condition, results of operations could be materially adversely affected.</w:t>
      </w:r>
    </w:p>
    <w:p>
      <w:pPr>
        <w:spacing w:after="0" w:line="11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16"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may also have other customers and may not have sufficient capacity to meet all of their customer’s needs, including ours, during periods of excess demand.</w:t>
      </w:r>
    </w:p>
    <w:p>
      <w:pPr>
        <w:spacing w:after="0" w:line="11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Our sales cycle may be lengthy, and the time for installation and implementation of our products within our customers’ networks may extend over more than one period, which can make our operating results difficult to predict.</w:t>
      </w:r>
    </w:p>
    <w:p>
      <w:pPr>
        <w:spacing w:after="0" w:line="116"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anticipate difficulty in accurately predicting the timing and amounts of revenue generated from sales of our products. The establishment of a business relationship with a potential customer is a lengthy process, generally taking several months and sometimes longer. Following the establishment of the relationship, the negotiation of purchase terms can be time-consuming, and a potential customer may require an extended evaluation and testing period.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expect that our product sales cycle, which results in our products being designed into our customers’ networks, could take 12 to 24 months. A number of factors can contribute to the length of the sales cycle, including technical evaluations of our products and the design process required to integrate our products into our customers’ networks.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our receipt of revenue from our selling efforts may be substantially delayed, our ability to forecast our future revenue may be more limited and our revenue may fluctuate significantly from quarter to quarter.</w:t>
      </w:r>
    </w:p>
    <w:p>
      <w:pPr>
        <w:spacing w:after="0" w:line="1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Once a purchase agreement has been executed, the timing and amount of revenue, if applicable, may remain difficult to predict. The completion of the installation and testing of the customer’s networks and the completion of all other suppliers network elements are subject to the customer’s timing and efforts, and other factors outside our control which may prevent us from making predictions of revenue with any certainty and could cause us to experience substantial period-to-period fluctuations in our operating results.</w:t>
      </w:r>
    </w:p>
    <w:p>
      <w:pPr>
        <w:spacing w:after="0" w:line="13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7"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become increasingly dependent on contract manufacturers to provide these manufacturing services or that we will be able to replace a contract manufacturer that is not able to meet our demand.</w:t>
      </w:r>
    </w:p>
    <w:p>
      <w:pPr>
        <w:spacing w:after="0" w:line="113"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3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1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adversely affected to a material degree.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 and commercial risks and exposures could increase if the financial condition of our customers declines.</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We expect that we may provide or commit to financing where appropriate for our business. Our ability to arrange or provide financing for our customers will depend on a number of factors, including our credit rating, our level of available credit and our ability to sell off commitments on acceptable terms. In addition, if local currencies cannot be hedged, we have an inherent exposure in our ability to convert monies at favorable rates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reorganization laws of the applicable jurisdiction, or have experienced financial difficulties. As a result of the more challenging economic environment, we have seen an increase in the number of our customers experiencing such difficulties since 2008, and we expect that trend to continue if the global economy deteriorates further in 2013. That trend may be exacerbated in many emerging markets, where our customers are being affected not only by recession, but by deteriorating local currencies and a lack of credit. Upon the financial failure of a customer, we may experience losses on credit extended and loans made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3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11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 xml:space="preserve">Our business requires extensive credit risk management that may not be adequate to protect against customer nonpayment. A risk of non-payment by customers is a significant focus of our business. We expect a significant amount of future revenue to come from international customers, many of whom will be startup telecom operators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factor below titled </w:t>
      </w:r>
      <w:r>
        <w:rPr>
          <w:rFonts w:ascii="Arial" w:cs="Arial" w:eastAsia="Arial" w:hAnsi="Arial"/>
          <w:sz w:val="18"/>
          <w:szCs w:val="18"/>
          <w:i w:val="1"/>
          <w:iCs w:val="1"/>
          <w:color w:val="auto"/>
        </w:rPr>
        <w:t>“Because a significant amount of our revenue may come from a limited number of customers, the termination of any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these customer relationships may adversely affect our business.” </w:t>
      </w:r>
      <w:r>
        <w:rPr>
          <w:rFonts w:ascii="Arial" w:cs="Arial" w:eastAsia="Arial" w:hAnsi="Arial"/>
          <w:sz w:val="18"/>
          <w:szCs w:val="18"/>
          <w:color w:val="auto"/>
        </w:rPr>
        <w:t>Our historical accounts receivable balances have been concentrated in a small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effective tax rate could be highly volatile and could adversely affect our operating results.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future effective tax rate may be adversely affected by a number of factors, many of which are outside of our control, including:</w:t>
      </w:r>
    </w:p>
    <w:p>
      <w:pPr>
        <w:spacing w:after="0" w:line="6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adjustments to estimated taxes upon finalization of various tax returns;</w:t>
      </w:r>
    </w:p>
    <w:p>
      <w:pPr>
        <w:spacing w:after="0" w:line="63"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in-process research and development and impairment of goodwill in connection with acquisitions;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share-based compensation expense;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domestic or international tax laws or the interpretation of such tax laws;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tax effects of purchase accounting for acquisitions and restructuring charges that may cause fluctuations between reporting periods; and</w:t>
      </w:r>
    </w:p>
    <w:p>
      <w:pPr>
        <w:spacing w:after="0" w:line="86"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taxes that may be incurred upon a repatriation of cash from foreign operations.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significant increase in our future effective tax rates could impact our results of operations for future periods adversely.</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1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We had revenue from a single external customer that exceeded 10% of our total revenue during fiscal 2012, 2011 and 2010. Although we have a large customer base, during any given quarter a small number of customers may account for a significant portion of our revenue.</w:t>
      </w:r>
    </w:p>
    <w:p>
      <w:pPr>
        <w:spacing w:after="0" w:line="11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It is possible that a significant portion of our future product sales also could be concentrated in a limited number of customers. In addition, product sales to major customers have varied widely from period to period. The loss of any existing customer, a significant reduction in the level of sales to any existing customer, or our inability to gain additional customers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could result in declines in our revenue or an inability to grow revenue. In addition,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quarterly results may be volatile, which can adversely affect the trading price of our common stock.</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quarterly operating results may vary significantly for a variety of reasons, many of which are outside our control. These factors could harm our business and include, among others:</w:t>
      </w:r>
    </w:p>
    <w:p>
      <w:pPr>
        <w:spacing w:after="0" w:line="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volume and timing of product orders and the timing of completion of our product deliveries and installations;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and the ability of our key suppliers to respond to changes on demand as needed;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margin variability;</w:t>
      </w:r>
    </w:p>
    <w:p>
      <w:pPr>
        <w:spacing w:after="0" w:line="63"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retention of key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sales cycles can be lengthy;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costs and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timely rollout of new product functionality and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resulting in downward pressures on the price of our products and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delays in the schedule for shipments of existing products and new generations of the existing platforms;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realize expected cost improvement throughout our supply chain;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 cancellations or postponements in product deliveries resulting in delayed 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and organization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customers to obtain financing to enable their purchase of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developments including denial of export and import licenses;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worldwide that affect demand and financing for microwave telecommunications networks;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size of future restructuring plans and write-offs.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competition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Due to the significant volume of international sales we expect, we may be susceptible to a number of political, economic and geographic risks that could harm our business.</w:t>
      </w:r>
    </w:p>
    <w:p>
      <w:pPr>
        <w:spacing w:after="0" w:line="11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are highly dependent on sales to customers outside the U.S. In fiscal 2012, 2011 and 2010, our sales to international customers accounted for 64%, 67% and 67%, respectively, of total revenue. Also,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that adversely affects our business could result in a significant decline in revenue. In addition, compliance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of the risks and challenges of doing business internationally include:</w:t>
      </w:r>
    </w:p>
    <w:p>
      <w:pPr>
        <w:spacing w:after="0" w:line="6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63"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 including its impact on unhedgeable currencies and our forecast variations for hedgeable currencies;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and operation of an enterprise spread over various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burden of complying with a variety of laws and regulations in various countries;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inflation and trade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kidnapping and high crime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controls;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export regulations.</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1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We may undertake further restructuring activities which may adversely impact our operations, and we may not realize all of the anticipated benefits of these activities or any future restructurings.</w:t>
      </w:r>
    </w:p>
    <w:p>
      <w:pPr>
        <w:spacing w:after="0" w:line="116"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continue to evaluate our business to determine the potential need to realign our resources as we continue to transform our business in order to achieve desired cost savings in an increasingly competitive market. In prior years, we have undertaken a series of restructuring of our operations involving, among other things and depending on the year, reductions of our workforce, the relocation of our corporate headquarters and the reduction and outsourcing of manufacturing activities. We incurred restructuring charges of $2.3 million, $15.4 million and $7.1 million, respectively, in fiscal 2012, 2011 and 2010.</w:t>
      </w:r>
    </w:p>
    <w:p>
      <w:pPr>
        <w:spacing w:after="0" w:line="100"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We have based our restructuring efforts on assumptions and plans regarding the appropriate cost structure of our businesses based on our product mix and projected sales among other factors. These assumptions may not be correct and we may not be able to operate in accordance with our plans. Should this occur we may determine that we must incur additional restructuring charges in the future. Moreover, we cannot assure you that we will realize all of the anticipated benefits of the restructuring or that we will not further reduce or otherwise adjust our workforce or exit, or disposal of, certain businesses and protect lines. Any decision to further limit investment, exit, or dispose of businesses may result in the recording of additional restructuring charges. As a result, the costs actually incurred in connection with the restructuring efforts may be higher than originally planned and may not lead to the anticipated cost savings and/or improved results. For example, if we consolidate additional facilities in the future, we may incur additional restructuring and related expenses, which could have a material adverse effect on our business, financial condition or results of operations.</w:t>
      </w:r>
    </w:p>
    <w:p>
      <w:pPr>
        <w:spacing w:after="0" w:line="12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In addition, employees, whether or not directly affected by restructuring, may seek employment with our business partners, customers or competitors. We cannot assure you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ongoing business.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Consolidation within the telecommunications industry could result in a decrease in our revenue.</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 xml:space="preserve">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In addition, see the risks discussed in the factor above titled </w:t>
      </w:r>
      <w:r>
        <w:rPr>
          <w:rFonts w:ascii="Arial" w:cs="Arial" w:eastAsia="Arial" w:hAnsi="Arial"/>
          <w:sz w:val="16"/>
          <w:szCs w:val="16"/>
          <w:i w:val="1"/>
          <w:iCs w:val="1"/>
          <w:color w:val="auto"/>
        </w:rPr>
        <w:t>“Because a significant amount of our</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may come from a limited number of customers, the termination of any of these customer relationships may adversely affect our business.”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fail to develop and maintain distribution and licensing relationships, our revenue may decrease.</w:t>
      </w:r>
    </w:p>
    <w:p>
      <w:pPr>
        <w:spacing w:after="0" w:line="171"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Although a majority of our sales are made through our direct sales force, we also will market our products through indirect sales channels such as independent agents, distributors,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and develop additional relationships,however,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If sufficient radio frequency spectrum is not allocated for use by our products, and we fail to obtain regulatory approval for our products, our ability to market our products may be restricted.</w:t>
      </w:r>
    </w:p>
    <w:p>
      <w:pPr>
        <w:spacing w:after="0" w:line="11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9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In addition, we will be affected by the allocation and auction of the radio frequency spectrum by governmental authorities both in the U.S. and internationally. Such governmental authorities may not allocate sufficient radio frequency spectrum for use by our products or we may not be successful in obtaining regulatory approval for our 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12"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 of corporate governance, public disclosure, and anti-bribery measures that have resulted in increased costs and may continue to result in additional costs in the future and/or potential liabilities.</w:t>
      </w:r>
    </w:p>
    <w:p>
      <w:pPr>
        <w:spacing w:after="0" w:line="116"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are subject to rules and regulations of federal and state regulatory authorities, The NASDAQ Stock Market LLC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the government of the United Kingdom, have issued requirements, laws and regulations and continue to develop additional requirements, laws and regulations, such as those in response to laws enacted by Congress,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1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governance practices. Finally, if we are unable to ensure compliance with such requirements, laws, or regulations, we may be subject to costly prosecution and liability, and resulting reputational harm, from such noncompliance.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products are used in critical communications networks which may subject us to significant liability claims.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Because our products are used in critical communications networks, we may be subject to significant liability claims if our products do not work properly. The provisions in our agreements with customers that are intended to limit our exposure to liability claims may not preclude all potential claims. In addition, any insurance policies we have may not adequately limit our exposure with respect to such claims. We warrant to our current customers that our products will operate in accordance with our product specifications. If our products fail to conform to these specifications, our customers could require us to remedy the failure or could assert claims for damages.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1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have significant operations in the U.S., United Kingdom, Singapore and New Zealand, and outsourcing arrangements in Asia and the U.S.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12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b w:val="1"/>
          <w:bCs w:val="1"/>
          <w:i w:val="1"/>
          <w:iCs w:val="1"/>
          <w:color w:val="auto"/>
        </w:rPr>
        <w:t>We may be subject to litigation regarding intellectual property associated with our wireless business; this litigation could be costly to defend and resolve, and could prevent us from using or selling the challenged technology.</w:t>
      </w:r>
    </w:p>
    <w:p>
      <w:pPr>
        <w:spacing w:after="0" w:line="11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4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and provisions in our amended and restated certificate of incorporation and amended and restated bylaws could make a third-party acquisition of us difficult.</w:t>
      </w:r>
    </w:p>
    <w:p>
      <w:pPr>
        <w:spacing w:after="0" w:line="11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beneficial to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and amended and restated bylaws also contain certain provisions that may make a third-party acquisition of us difficult, including the ability of the board of directors to issue preferred stock and the requirement that nominations for directors and other proposals by stockholders must be made in advance of the meeting at which directors are elected or the proposals are voted upon.</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face risks related to pending litigation over the restatement of our financial statements.</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connection with our identification of the material weaknesses in internal control described in our fiscal 2008 Annual Report on Form 10-K filed with the Securities and Exchange Commission on September 25, 2008, we have had to restate our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interim consolidated financial statements for the first three fiscal quarters of fiscal 2008 (the quarters ended March 28, 2008, December 28, 2007 and September 28, 2007) and our consolidated financial statements for the fiscal years ended June 29, 2007, June 30, 2006 and July 1, 2005 in order to correct errors contained in those financial statements. We also announced on July 30, 2008 that investors should no longer rely on our previously issued financial statements for those periods.</w:t>
      </w:r>
    </w:p>
    <w:p>
      <w:pPr>
        <w:spacing w:after="0" w:line="1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and certain of our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stockholders of Stratex Networks, Inc. who exchanged shares of Stratex Networks, Inc. for our shares as part of the merger between Stratex Networks and the Microwave Communications Division of Harris Corporation (“MCD”). That action related to the restatement of our prior financial statements as discussed in our fiscal 2008 Annual Report on Form 10-K filed with the Securities and Exchange Commission on September 25, 2008. The actions were consolidated on June 5, 2009 and a consolidated class action complaint was filed on July 29, 2009 (“Dutton”).</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On May 31, 2011, the Company and the other named defendants entered into a stipulation of settlement (“Stipulation”) with respect to the </w:t>
      </w:r>
      <w:r>
        <w:rPr>
          <w:rFonts w:ascii="Arial" w:cs="Arial" w:eastAsia="Arial" w:hAnsi="Arial"/>
          <w:sz w:val="18"/>
          <w:szCs w:val="18"/>
          <w:i w:val="1"/>
          <w:iCs w:val="1"/>
          <w:color w:val="auto"/>
        </w:rPr>
        <w:t>Dutton</w:t>
      </w:r>
      <w:r>
        <w:rPr>
          <w:rFonts w:ascii="Arial" w:cs="Arial" w:eastAsia="Arial" w:hAnsi="Arial"/>
          <w:sz w:val="18"/>
          <w:szCs w:val="18"/>
          <w:color w:val="auto"/>
        </w:rPr>
        <w:t xml:space="preserve"> action, pursuant to which the Company caused $8.9 million to be paid into a settlement fund. The entire settlement amount was covered by insurance and was assumed by the insurance company. The hearing for final approval of the settlement took place on September 16, 2011 and the Court entered a judgment and Order of Dismissal with Prejudice on October 11, 2011.</w:t>
      </w:r>
    </w:p>
    <w:p>
      <w:pPr>
        <w:spacing w:after="0" w:line="13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Certain of our former executive officers and directors were named in a complaint filed on July 18, 2011 in the United States District Cour for the District of Delaware by plaintiff Howard Taylor. Plaintiff purportedly brought this action derivatively on behalf of Aviat Networks, Inc. which is named as a nominal defendant. Plaintiff brings a claim for breach of fiduciary duty against the officer and director defendants based on the allegations of securities law violation alleged in the class action described above and also alleges that the defendants caused us to acquire MCD at an inflated price. Plaintiff sees to recover unspecified damages and other relief on behalf of Aviat Networks, as well as payment for costs and attorneys' fees. We filed a motion to dismiss on October 3, 2011 and are waiting for the court decision following the hearing on our motion to dismiss which was held on June 4, 2012. We intend to defend our interests in the litigation vigorously. Currently, we are unable to determine whether a loss is probable or to reasonably estimate the loss amount related to this matter. See “Item 3. Legal Proceedings” in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right="300" w:firstLine="432"/>
        <w:spacing w:after="0" w:line="255" w:lineRule="auto"/>
        <w:rPr>
          <w:sz w:val="20"/>
          <w:szCs w:val="20"/>
          <w:color w:val="auto"/>
        </w:rPr>
      </w:pPr>
      <w:r>
        <w:rPr>
          <w:rFonts w:ascii="Arial" w:cs="Arial" w:eastAsia="Arial" w:hAnsi="Arial"/>
          <w:sz w:val="18"/>
          <w:szCs w:val="18"/>
          <w:color w:val="auto"/>
        </w:rPr>
        <w:t>As of June 29, 2012, we lease approximately 319,000 square feet of facilities worldwide, with approximately 61% in North America, mostly in California, Texas and North Carolina. Our corporate headquarters are located in Santa Clara, California, and consist of a building approximately 129,000 square feet. The lease for our headquarters expires in April 2020. We also lease approximately 52,000 square feet of office and assembly facilities in San Antonio and Austin, Texas. Internationally, we lease approximately 125,000 square feet of facilities throughout Europe, Central America, South America, Africa and Asia regions, including offices in Singapore, Slovenia, Philippine Islands, India, Mexico, South Africa, Nigeria, Ivory Coast, France, Kenya, Poland, Australia and Bangladesh. In addition, we own approximately 110,000 square feet of facilities in Wellington, New Zealand and Lanarkshire, Scotland.</w:t>
      </w:r>
    </w:p>
    <w:p>
      <w:pPr>
        <w:spacing w:after="0" w:line="13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During fiscal 2011, we announced the closing of our 60,000 square-foot Morrisville, North Carolina office which formerly served as our headquarters. A sub-tenant for the entire 60,000 square feet of space took occupancy of the premises in early fiscal 2012. We continue to have an on-going lease commitment for this location ending in fiscal 2015. Also during fiscal 2011, we vacated approximately 29,000 square feet of our 40,000 square-foot Bangalore, India facility as result of our moving R&amp;D functions from Bangalore to Trzin, Slovenia. A sub-tenant now occupies all 29,000 square feet of available space. We continue to have an on-going lease commitment for this location ending in fiscal 2013.</w:t>
      </w:r>
    </w:p>
    <w:p>
      <w:pPr>
        <w:spacing w:after="0" w:line="11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For more information about our lease obligations, see “Note 14. Commitments and Contingencies” of notes to consolidated financial statements, which are included in Item 8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of our former executive officers and directors were named in a complaint filed on July 18, 2011 in the United States District Court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District of Delaware by plaintiff Howard Taylor. Plaintiff purports to bring this action derivatively on behalf of Aviat Networks, which is named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defendant. Plaintiff brings a claim for breach of fiduciary duty against the officer and director defendants based on the allegations of securities law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violations alleged in the class action described above and also alleges that the defendants caused us to acquire MCD at an inflated price. Plaintiff seeks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recover unspecified damages and other relief on behalf of Aviat Networks, as well as payment of costs and attorneys fees. We filed a motion to dismiss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3, 2011 and are waiting for the court decision following the hearing on our motion to dismiss which was held on June 4, 2012. We intend to defend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interests in the litigation vigorously. Currently we are unable to determine whether a loss is probable or to reasonably estimate the loss amount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matter.</w:t>
      </w:r>
    </w:p>
    <w:p>
      <w:pPr>
        <w:spacing w:after="0" w:line="21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60"/>
        <w:spacing w:after="0" w:line="346"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and Price Range of Common Stock</w:t>
      </w:r>
    </w:p>
    <w:p>
      <w:pPr>
        <w:spacing w:after="0" w:line="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Common Stock, with a par value of $0.01 per share, is listed and primarily traded on the NASDAQ Global Market (“NASDAQ”), under the ticker symbol AVNW (prior to January 28, 2010 our ticker symbol was HSTX). There was no established trading market for shares of our Common Stock prior to January 29, 2007.</w:t>
      </w:r>
    </w:p>
    <w:p>
      <w:pPr>
        <w:spacing w:after="0" w:line="127"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According to the records of our transfer agent, as of August 15, 2012, there were approximately 5,295 holders of record of our Common Stock. The following table sets forth the high and low closing prices for a share of our Common Stock on NASDAQ Global Market system for the periods indicated during our fiscal years 2012 and 2011:</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8"/>
              </w:rPr>
              <w:t>Fiscal 2012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6"/>
              </w:rPr>
              <w:t>Fiscal 2011</w:t>
            </w:r>
          </w:p>
        </w:tc>
        <w:tc>
          <w:tcPr>
            <w:tcW w:w="78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1640" w:type="dxa"/>
            <w:vAlign w:val="bottom"/>
            <w:gridSpan w:val="3"/>
          </w:tcPr>
          <w:p>
            <w:pPr>
              <w:ind w:left="420"/>
              <w:spacing w:after="0"/>
              <w:rPr>
                <w:sz w:val="20"/>
                <w:szCs w:val="20"/>
                <w:color w:val="auto"/>
              </w:rPr>
            </w:pPr>
            <w:r>
              <w:rPr>
                <w:rFonts w:ascii="Arial" w:cs="Arial" w:eastAsia="Arial" w:hAnsi="Arial"/>
                <w:sz w:val="14"/>
                <w:szCs w:val="14"/>
                <w:b w:val="1"/>
                <w:bCs w:val="1"/>
                <w:color w:val="auto"/>
              </w:rPr>
              <w:t>High</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1600" w:type="dxa"/>
            <w:vAlign w:val="bottom"/>
            <w:gridSpan w:val="3"/>
          </w:tcPr>
          <w:p>
            <w:pPr>
              <w:ind w:left="420"/>
              <w:spacing w:after="0"/>
              <w:rPr>
                <w:sz w:val="20"/>
                <w:szCs w:val="20"/>
                <w:color w:val="auto"/>
              </w:rPr>
            </w:pPr>
            <w:r>
              <w:rPr>
                <w:rFonts w:ascii="Arial" w:cs="Arial" w:eastAsia="Arial" w:hAnsi="Arial"/>
                <w:sz w:val="14"/>
                <w:szCs w:val="14"/>
                <w:b w:val="1"/>
                <w:bCs w:val="1"/>
                <w:color w:val="auto"/>
              </w:rPr>
              <w:t>High</w:t>
            </w:r>
          </w:p>
        </w:tc>
        <w:tc>
          <w:tcPr>
            <w:tcW w:w="780" w:type="dxa"/>
            <w:vAlign w:val="bottom"/>
          </w:tcPr>
          <w:p>
            <w:pPr>
              <w:jc w:val="right"/>
              <w:ind w:right="356"/>
              <w:spacing w:after="0"/>
              <w:rPr>
                <w:sz w:val="20"/>
                <w:szCs w:val="20"/>
                <w:color w:val="auto"/>
              </w:rPr>
            </w:pPr>
            <w:r>
              <w:rPr>
                <w:rFonts w:ascii="Arial" w:cs="Arial" w:eastAsia="Arial" w:hAnsi="Arial"/>
                <w:sz w:val="14"/>
                <w:szCs w:val="14"/>
                <w:b w:val="1"/>
                <w:bCs w:val="1"/>
                <w:color w:val="auto"/>
              </w:rPr>
              <w:t>Low</w:t>
            </w:r>
          </w:p>
        </w:tc>
      </w:tr>
      <w:tr>
        <w:trPr>
          <w:trHeight w:val="250"/>
        </w:trPr>
        <w:tc>
          <w:tcPr>
            <w:tcW w:w="6520" w:type="dxa"/>
            <w:vAlign w:val="bottom"/>
          </w:tcPr>
          <w:p>
            <w:pPr>
              <w:spacing w:after="0"/>
              <w:rPr>
                <w:sz w:val="21"/>
                <w:szCs w:val="21"/>
                <w:color w:val="auto"/>
              </w:rPr>
            </w:pPr>
          </w:p>
        </w:tc>
        <w:tc>
          <w:tcPr>
            <w:tcW w:w="1160" w:type="dxa"/>
            <w:vAlign w:val="bottom"/>
            <w:tcBorders>
              <w:top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4.00</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3.70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 We intend to retain any earnings for use in our business. In addition, the covenants of our $40.0 million credit facility may restrict us from paying dividends or making other distributions to our stockholders under certain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fourth quarter of fiscal 2012, we did not issue or sell any unregistered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fourth quarter of fiscal 2012, we did not repurchase any equity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following graph and accompanying data compares the cumulative total return on our Common Stock with the cumulative total return of the Total Return Index for The NASDAQ Composite Market (U.S. Companies) and the NASDAQ Telecommunications Index for the five-year period ended June 29, 2012. The stock price performance shown on the graph below is not necessarily indicative of future price performance. Note that this graph and accompanying data is “furnished,” not “filed,” with the Securities and Exchange Commission.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Aviat Networks,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125730</wp:posOffset>
            </wp:positionV>
            <wp:extent cx="5265420" cy="2607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6542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880" w:type="dxa"/>
            <w:vAlign w:val="bottom"/>
          </w:tcPr>
          <w:p>
            <w:pPr>
              <w:jc w:val="right"/>
              <w:ind w:right="354"/>
              <w:spacing w:after="0"/>
              <w:rPr>
                <w:sz w:val="20"/>
                <w:szCs w:val="20"/>
                <w:color w:val="auto"/>
              </w:rPr>
            </w:pPr>
            <w:r>
              <w:rPr>
                <w:rFonts w:ascii="Arial" w:cs="Arial" w:eastAsia="Arial" w:hAnsi="Arial"/>
                <w:sz w:val="14"/>
                <w:szCs w:val="14"/>
                <w:b w:val="1"/>
                <w:bCs w:val="1"/>
                <w:color w:val="auto"/>
              </w:rPr>
              <w:t>6/29/2007</w:t>
            </w:r>
          </w:p>
        </w:tc>
        <w:tc>
          <w:tcPr>
            <w:tcW w:w="1280" w:type="dxa"/>
            <w:vAlign w:val="bottom"/>
          </w:tcPr>
          <w:p>
            <w:pPr>
              <w:jc w:val="right"/>
              <w:ind w:right="354"/>
              <w:spacing w:after="0"/>
              <w:rPr>
                <w:sz w:val="20"/>
                <w:szCs w:val="20"/>
                <w:color w:val="auto"/>
              </w:rPr>
            </w:pPr>
            <w:r>
              <w:rPr>
                <w:rFonts w:ascii="Arial" w:cs="Arial" w:eastAsia="Arial" w:hAnsi="Arial"/>
                <w:sz w:val="14"/>
                <w:szCs w:val="14"/>
                <w:b w:val="1"/>
                <w:bCs w:val="1"/>
                <w:color w:val="auto"/>
              </w:rPr>
              <w:t>6/27/2008</w:t>
            </w: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7/3/2009</w:t>
            </w: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7/2/2010</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7/1/2011</w:t>
            </w: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rPr>
              <w:t>6/29/2012</w:t>
            </w: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 Networks, Inc.</w:t>
            </w:r>
          </w:p>
        </w:tc>
        <w:tc>
          <w:tcPr>
            <w:tcW w:w="18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100.00</w:t>
            </w:r>
          </w:p>
        </w:tc>
        <w:tc>
          <w:tcPr>
            <w:tcW w:w="12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53.28</w:t>
            </w:r>
          </w:p>
        </w:tc>
        <w:tc>
          <w:tcPr>
            <w:tcW w:w="12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34.20</w:t>
            </w:r>
          </w:p>
        </w:tc>
        <w:tc>
          <w:tcPr>
            <w:tcW w:w="12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19.47</w:t>
            </w:r>
          </w:p>
        </w:tc>
        <w:tc>
          <w:tcPr>
            <w:tcW w:w="12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22.02</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15.57</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1880" w:type="dxa"/>
            <w:vAlign w:val="bottom"/>
          </w:tcPr>
          <w:p>
            <w:pPr>
              <w:jc w:val="right"/>
              <w:ind w:right="194"/>
              <w:spacing w:after="0"/>
              <w:rPr>
                <w:sz w:val="20"/>
                <w:szCs w:val="20"/>
                <w:color w:val="auto"/>
              </w:rPr>
            </w:pPr>
            <w:r>
              <w:rPr>
                <w:rFonts w:ascii="Arial" w:cs="Arial" w:eastAsia="Arial" w:hAnsi="Arial"/>
                <w:sz w:val="18"/>
                <w:szCs w:val="18"/>
                <w:color w:val="auto"/>
              </w:rPr>
              <w:t>100.00</w:t>
            </w: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84.54</w:t>
            </w:r>
          </w:p>
        </w:tc>
        <w:tc>
          <w:tcPr>
            <w:tcW w:w="1240" w:type="dxa"/>
            <w:vAlign w:val="bottom"/>
          </w:tcPr>
          <w:p>
            <w:pPr>
              <w:jc w:val="right"/>
              <w:ind w:right="174"/>
              <w:spacing w:after="0"/>
              <w:rPr>
                <w:sz w:val="20"/>
                <w:szCs w:val="20"/>
                <w:color w:val="auto"/>
              </w:rPr>
            </w:pPr>
            <w:r>
              <w:rPr>
                <w:rFonts w:ascii="Arial" w:cs="Arial" w:eastAsia="Arial" w:hAnsi="Arial"/>
                <w:sz w:val="18"/>
                <w:szCs w:val="18"/>
                <w:color w:val="auto"/>
              </w:rPr>
              <w:t>73.03</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82.88</w:t>
            </w: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110.33</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115.30</w:t>
            </w:r>
          </w:p>
        </w:tc>
      </w:tr>
      <w:tr>
        <w:trPr>
          <w:trHeight w:val="27"/>
        </w:trPr>
        <w:tc>
          <w:tcPr>
            <w:tcW w:w="3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Telecommunications</w:t>
            </w:r>
          </w:p>
        </w:tc>
        <w:tc>
          <w:tcPr>
            <w:tcW w:w="18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100.00</w:t>
            </w:r>
          </w:p>
        </w:tc>
        <w:tc>
          <w:tcPr>
            <w:tcW w:w="12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71.08</w:t>
            </w:r>
          </w:p>
        </w:tc>
        <w:tc>
          <w:tcPr>
            <w:tcW w:w="12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59.76</w:t>
            </w:r>
          </w:p>
        </w:tc>
        <w:tc>
          <w:tcPr>
            <w:tcW w:w="12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66.94</w:t>
            </w:r>
          </w:p>
        </w:tc>
        <w:tc>
          <w:tcPr>
            <w:tcW w:w="12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80.70</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64.56</w:t>
            </w:r>
          </w:p>
        </w:tc>
      </w:tr>
      <w:tr>
        <w:trPr>
          <w:trHeight w:val="230"/>
        </w:trPr>
        <w:tc>
          <w:tcPr>
            <w:tcW w:w="344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1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33" w:lineRule="exact"/>
        <w:rPr>
          <w:sz w:val="20"/>
          <w:szCs w:val="20"/>
          <w:color w:val="auto"/>
        </w:rPr>
      </w:pPr>
    </w:p>
    <w:p>
      <w:pPr>
        <w:ind w:left="500" w:right="360" w:hanging="465"/>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(i) $100 invested on June 29, 2007 in Aviat Networks, Inc. Common Stock, the Total Return Index for The NASDAQ Composite Market (U.S. companies) and the NASDAQ Telecommunications Index; and (ii) immediate reinvestment of all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following table summarizes our selected historical financial information for each of the last five fiscal years that has been derived from our audited consolidated financial statements. Data presented for fiscal years 2012, 2011 and 2010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June 29, 2012</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July 1, 2011</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1"/>
              </w:rPr>
              <w:t>July 2, 2010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July 3, 2009</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June 27, 2008</w:t>
            </w:r>
          </w:p>
        </w:tc>
      </w:tr>
      <w:tr>
        <w:trPr>
          <w:trHeight w:val="19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 and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product sales and services</w:t>
            </w:r>
          </w:p>
        </w:tc>
        <w:tc>
          <w:tcPr>
            <w:tcW w:w="1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312.3</w:t>
            </w:r>
          </w:p>
        </w:tc>
        <w:tc>
          <w:tcPr>
            <w:tcW w:w="2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324.0</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332.7</w:t>
            </w:r>
          </w:p>
        </w:tc>
        <w:tc>
          <w:tcPr>
            <w:tcW w:w="2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503.8</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528.2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(130.2)</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(355.0)</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648"/>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June 29, 2012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9"/>
              </w:rPr>
              <w:t>July 1, 2011</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July 2, 2010</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July 3, 2009</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June 27, 2008</w:t>
            </w:r>
          </w:p>
        </w:tc>
      </w:tr>
      <w:tr>
        <w:trPr>
          <w:trHeight w:val="19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assets</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157.5</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177.7</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263.2</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387.9</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748.2</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certain charges, expenses and gains included in our net losses for each of the fiscal years in the five-year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29, 2012: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29, 2012</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1, 2011</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2, 2010</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3, 2009</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4"/>
              </w:rPr>
              <w:t>June 27, 2008</w:t>
            </w:r>
          </w:p>
        </w:tc>
      </w:tr>
      <w:tr>
        <w:trPr>
          <w:trHeight w:val="19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impairment charges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Rebranding and transitional costs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Charges for product transition, product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discontinuances and inventory mark-downs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purchased technology and intangible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the fair value adjustments related to</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fixed assets and inventory</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Cost of integration activities undertaken in</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connection with the Stratex merger</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from sale of building and Telsima acquisition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price settlement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NetBoss bad debt expenses and other</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Transactional tax assessments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Liquidation of entities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charges or adjustments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37"/>
        </w:trPr>
        <w:tc>
          <w:tcPr>
            <w:tcW w:w="4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2012 and 2013 Results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ended June 29, 2012 is referred to as “fiscal 2012” or “2012”; fiscal year ended July 1, 2011 as “fiscal 2011” or “2011” and fiscal year ended July 2, 2010 as “fiscal 2010” or “2010.”</w:t>
      </w:r>
    </w:p>
    <w:p>
      <w:pPr>
        <w:spacing w:after="0" w:line="133"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Our strategic focus in the next fiscal year will be to continue to accelerate innovation and optimize our product portfolio, improve costs and operational efficiencies, grow our revenue and create a sustainable, profitable business model. To do this, we have examined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Seasonality is a factor that impacts our business. Our fiscal third quarter revenue and orders have historically been lower than the revenue and orders in the immediately preceding second quarter because many of our customers utilize a significant portion of their capital budgets at the end of their fiscal year.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factors, including changes in the global economy and other factors. Please refer to the section entitled “Risk Factors” in Item 1A in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During fiscal 2012, we secured orders and expanded our footprint with our customers in the mobile operator market using our current technology and service capabilities. We believe that there is steady growth in this market and that it will continue growing over the long term as mobile operators build network capacity to address increasing demands for bandwidth, tempered by the global financial and economic environment. In order to significantly expand our mobile operator customer base and displace competitors we plan to bring our next generation of products to market in the next fiscal year. The signs of growth in non-mobile operator market segments exist today, mostly in North America, but increasingly in other parts of the world. Typical applications of our products are in utility and public safety networks where the emphasis is on quality, service, reliability and network security.</w:t>
      </w:r>
    </w:p>
    <w:p>
      <w:pPr>
        <w:spacing w:after="0" w:line="11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During September 2011, one of our contract manufacturers in Thailand was affected by flooding in that country. Our logistics and supply chain staff worked closely with that supplier and jointly were successful in mitigating and minimizing the delivery impact to our customers during the second and third quarters of fiscal 2012. We </w:t>
      </w:r>
      <w:r>
        <w:rPr>
          <w:rFonts w:ascii="Arial" w:cs="Arial" w:eastAsia="Arial" w:hAnsi="Arial"/>
          <w:sz w:val="18"/>
          <w:szCs w:val="18"/>
          <w:color w:val="333333"/>
        </w:rPr>
        <w:t>are now satisfied that this contract manufacturer has recovered from this event and that future deliveries to us will not be affected</w:t>
      </w:r>
      <w:r>
        <w:rPr>
          <w:rFonts w:ascii="Arial" w:cs="Arial" w:eastAsia="Arial" w:hAnsi="Arial"/>
          <w:sz w:val="18"/>
          <w:szCs w:val="18"/>
          <w:color w:val="auto"/>
        </w:rPr>
        <w:t xml:space="preserve"> </w:t>
      </w:r>
      <w:r>
        <w:rPr>
          <w:rFonts w:ascii="Arial" w:cs="Arial" w:eastAsia="Arial" w:hAnsi="Arial"/>
          <w:sz w:val="18"/>
          <w:szCs w:val="18"/>
          <w:color w:val="333333"/>
        </w:rPr>
        <w:t>adversely as a result of the floods</w:t>
      </w:r>
      <w:r>
        <w:rPr>
          <w:rFonts w:ascii="Arial" w:cs="Arial" w:eastAsia="Arial" w:hAnsi="Arial"/>
          <w:sz w:val="18"/>
          <w:szCs w:val="18"/>
          <w:color w:val="000000"/>
        </w:rPr>
        <w:t>.</w:t>
      </w:r>
    </w:p>
    <w:p>
      <w:pPr>
        <w:spacing w:after="0" w:line="13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completed the sale of our former WiMAX business to EION on September 2, 2011. The sale of the WiMAX business was part of our strategic plan to streamline our business and focus our time and resources on growing our core microwave business to better position us for long-term success. We worked with EION on the transition of the business which was completed during fiscal 2012.</w:t>
      </w:r>
    </w:p>
    <w:p>
      <w:pPr>
        <w:spacing w:after="0" w:line="12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We began accounting for the WiMAX business as a discontinued operation in the third quarter of fiscal 2011. The discussions of our revenue, gross margin, operating expenses and income taxes have excluded the WiMAX business results, which are discussed separately under "Loss from Discontinued Operations" below.</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the second quarter of fiscal 2012, we performed a goodwill impairment analysis due to a significant decline in our market capitalization, which was considered as a goodwill impairment indicator. Based on the results of the impairment analysis, we recorded a $5.6 million goodwill impairment charge in the second quarter of fiscal 2012 and no longer have any goodwill on our balance sheet.</w:t>
      </w:r>
    </w:p>
    <w:p>
      <w:pPr>
        <w:spacing w:after="0" w:line="127"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During fiscal 2012, we continued restructuring activities to reduce our operational costs and have substantially completed our initiatives under the Fiscal 2011 Plan as of June 29, 2012. We intend to wind down certain remaining restructuring activities under the Fiscal 2011 Plan in fiscal 2013.</w:t>
      </w:r>
    </w:p>
    <w:p>
      <w:pPr>
        <w:spacing w:after="0" w:line="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the fourth quarter of fiscal 2012, we re-evaluated our reportable segments primarily due to changes in our management, transition of our products to a common product platform across all geographies, streamlining of our business and substantial completion of our restructuring plan in fiscal 2012. The Chief Operating Decision Maker ("CODM"), which is our Chief Executive Officer,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former geographic segments is not a determining factor in allocating resources and the CODM does not evaluate profitability below the level of the consolidated company. As such we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determined that we operate in one single reportable industry segment as of June 29, 2012. Prior years information has been recast to conform with the current reportable segment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manage our sales activities primarily on a geographic basis in North America and three international geographic regions: Africa and Middle East, Europe and Russia, and Latin America and Asia Pacific. Beginning with the first quarter of fiscal 2012, in order to better align our internal reporting with the activities in our international business organizations, we changed our internal operational review of revenue by region by separating the Middle East region from Europe and Russia and grouping it with Africa. Revenue by region for fiscal 2011 and 2010 has been reclassified to reflect this change. Revenue by region for fiscal 2012, 2011 and 2010 and the related changes are shown in the table below:</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740"/>
              <w:spacing w:after="0"/>
              <w:rPr>
                <w:sz w:val="20"/>
                <w:szCs w:val="20"/>
                <w:color w:val="auto"/>
              </w:rPr>
            </w:pPr>
            <w:r>
              <w:rPr>
                <w:rFonts w:ascii="Arial" w:cs="Arial" w:eastAsia="Arial" w:hAnsi="Arial"/>
                <w:sz w:val="14"/>
                <w:szCs w:val="14"/>
                <w:b w:val="1"/>
                <w:bCs w:val="1"/>
                <w:color w:val="auto"/>
              </w:rPr>
              <w:t>$ Change</w:t>
            </w:r>
          </w:p>
        </w:tc>
        <w:tc>
          <w:tcPr>
            <w:tcW w:w="1660" w:type="dxa"/>
            <w:vAlign w:val="bottom"/>
            <w:gridSpan w:val="3"/>
          </w:tcPr>
          <w:p>
            <w:pPr>
              <w:ind w:left="1000"/>
              <w:spacing w:after="0"/>
              <w:rPr>
                <w:sz w:val="20"/>
                <w:szCs w:val="20"/>
                <w:color w:val="auto"/>
              </w:rPr>
            </w:pPr>
            <w:r>
              <w:rPr>
                <w:rFonts w:ascii="Arial" w:cs="Arial" w:eastAsia="Arial" w:hAnsi="Arial"/>
                <w:sz w:val="14"/>
                <w:szCs w:val="14"/>
                <w:b w:val="1"/>
                <w:bCs w:val="1"/>
                <w:color w:val="auto"/>
                <w:w w:val="94"/>
              </w:rPr>
              <w:t>% Change</w:t>
            </w:r>
          </w:p>
        </w:tc>
        <w:tc>
          <w:tcPr>
            <w:tcW w:w="960" w:type="dxa"/>
            <w:vAlign w:val="bottom"/>
          </w:tcPr>
          <w:p>
            <w:pPr>
              <w:spacing w:after="0"/>
              <w:rPr>
                <w:sz w:val="16"/>
                <w:szCs w:val="16"/>
                <w:color w:val="auto"/>
              </w:rPr>
            </w:pPr>
          </w:p>
        </w:tc>
      </w:tr>
      <w:tr>
        <w:trPr>
          <w:trHeight w:val="264"/>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2012 /2011</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2011 /2010</w:t>
            </w: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 /2011</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1"/>
              </w:rPr>
              <w:t>2011 /2010</w:t>
            </w: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Africa and Middle East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Europe and Russia</w:t>
            </w: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58.2 %</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 and Asia Pacific</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7"/>
        </w:trPr>
        <w:tc>
          <w:tcPr>
            <w:tcW w:w="2660" w:type="dxa"/>
            <w:vAlign w:val="bottom"/>
          </w:tcPr>
          <w:p>
            <w:pPr>
              <w:ind w:left="380"/>
              <w:spacing w:after="0"/>
              <w:rPr>
                <w:sz w:val="20"/>
                <w:szCs w:val="20"/>
                <w:color w:val="auto"/>
              </w:rPr>
            </w:pPr>
            <w:r>
              <w:rPr>
                <w:rFonts w:ascii="Arial" w:cs="Arial" w:eastAsia="Arial" w:hAnsi="Arial"/>
                <w:sz w:val="18"/>
                <w:szCs w:val="18"/>
                <w:color w:val="auto"/>
              </w:rPr>
              <w:t>Total International</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While revenue increased in North America in fiscal 2012 compared with fiscal 2011, we experienced a decrease in our international revenue. We saw improved sales with North American wireless network operators during the year compared to fiscal 2011. We attribute this to the ongoing buildout of LTE capable networks in the region. At the same time, business with utilities, state and local government private networks also remained strong in North America. We also saw growth in demand for our network services and support in the region. The decrease in the international revenue came from the absence of demand from customers in Russia who took substantial deliveries in fiscal 2011, along with the wind-down of equipment deliveries for a major project in the Middle East. Sales to wireless network operators remained strong, but varied by customer in the international markets. We saw better than expected sales in Asia Pacific and experienced substantially increased sales with our long-term customers in Africa, offsetting the reduced volume in the Middle East.</w:t>
      </w:r>
    </w:p>
    <w:p>
      <w:pPr>
        <w:spacing w:after="0" w:line="11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fiscal 2012, the MTN Group in Africa accounted for 17% of our total revenue compared with 14% in fiscal 2011 and 17% in fiscal 2010. We have entered into separate and distinct contracts with MTN Group as well as separate arrangements with MTN Group subsidiaries. None of such contracts on an individual basis are material to our operations. The loss of all MTN Group business could adversely affect our results of operations, cash flows and financial position.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revenue in North America increased $4.5 million, or 2.8%, in fiscal 2012 compared with fiscal 2011. We have seen substantial changes in product mix of our sales in this region from year to year. The bulk of our product revenue in North America now comes from our Eclipse product platform, whereas in the first half of fiscal 2011, our legacy products made up a significant portion of the region's sales. The revenue growth and product mix changes reflect continued success in transitioning our customer base to the new product platform as well as an increase in our services business from major customers in fiscal 2012.</w:t>
      </w:r>
    </w:p>
    <w:p>
      <w:pPr>
        <w:spacing w:after="0" w:line="53"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revenue in North America decreased by $14.4 million, or 8.2%, in fiscal 2011 compared with fiscal 2010. That decline was primarily attributable to reduced sales of our legacy product lines in the first half of fiscal 2011 when compared with the same period in fiscal 2010. Fiscal 2011 was a transition year for us as we completed the last deliveries of legacy products and our marketing and selling efforts were focused on our new product platform. Early in fiscal 2011 we experienced production issues which slowed the progress in transitioning sales to our new product platform. But by mid-year, we had overcome those issues and the new platform sales increased significantly from the first quarter to the fourth quarter of fiscal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international revenue declined $12.6 million, or 4.3%, in fiscal 2012 compared with fiscal 2011. Our business in Asia and Latin America showed improvement for fiscal 2012 from increased orders from network operators. However, our sales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Europe and Russia were down from fiscal 2011 primarily due to the reduction of business with a major customer in Russia, that was offset in part by increased orders and sales to wireless network operators in other European countries. Africa continues to be our strongest international sector, where we continue to compete successfully for wireless infrastructure business of large network operators, particularly in West Africa.</w:t>
      </w:r>
    </w:p>
    <w:p>
      <w:pPr>
        <w:spacing w:after="0" w:line="3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Our international revenue increased by $1.0 million, or 0.3%, in fiscal 2011 compared with fiscal 2010. Revenue from sales to wireless operators in Russia and France were substantially improved in fiscal year 2011 over the previous year. Those gains were offset in part by declines in revenue from customers in Africa and the Asia Pacific regions. We experienced strong price competition in all regions during the year and attribute the decrease in revenue in Africa and the Asia Pacific regions to reduced prices, as unit volumes were steady or up from fiscal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ind w:left="70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3"/>
          </w:tcPr>
          <w:p>
            <w:pPr>
              <w:ind w:left="1000"/>
              <w:spacing w:after="0"/>
              <w:rPr>
                <w:sz w:val="20"/>
                <w:szCs w:val="20"/>
                <w:color w:val="auto"/>
              </w:rPr>
            </w:pPr>
            <w:r>
              <w:rPr>
                <w:rFonts w:ascii="Arial" w:cs="Arial" w:eastAsia="Arial" w:hAnsi="Arial"/>
                <w:sz w:val="14"/>
                <w:szCs w:val="14"/>
                <w:b w:val="1"/>
                <w:bCs w:val="1"/>
                <w:color w:val="auto"/>
                <w:w w:val="91"/>
              </w:rPr>
              <w:t>% Change</w:t>
            </w:r>
          </w:p>
        </w:tc>
        <w:tc>
          <w:tcPr>
            <w:tcW w:w="960" w:type="dxa"/>
            <w:vAlign w:val="bottom"/>
          </w:tcPr>
          <w:p>
            <w:pPr>
              <w:spacing w:after="0"/>
              <w:rPr>
                <w:sz w:val="16"/>
                <w:szCs w:val="16"/>
                <w:color w:val="auto"/>
              </w:rPr>
            </w:pP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2012 /2011</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2011 /2010</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 /2011</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1"/>
              </w:rPr>
              <w:t>2011 /2010</w:t>
            </w: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465.5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132.8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general business trends of strong price competition for new business in all regions and major customer consolidations continue to put pressure on our gross margin.</w:t>
      </w:r>
    </w:p>
    <w:p>
      <w:pPr>
        <w:spacing w:after="0" w:line="116"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Gross margin for fiscal 2012 increased $3.6 million, or 2.8%, compared with fiscal 2011. Gross margin as a percentage of revenue increased 1.4% compared with fiscal 2011. While gross margin was in line with expectations for the year, the year-over-year improvement was primarily due to the absence in the current year period of a $6.0 million one-time charge related to manufacturing overhead that we recorded in the first quarter of fiscal 2011 and the absence of large inventory write-downs which we incurred in fiscal 2011 as we transitioned out of the legacy products.</w:t>
      </w:r>
    </w:p>
    <w:p>
      <w:pPr>
        <w:spacing w:after="0" w:line="11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Prior to fiscal 2011, we capitalized most of the costs associated with our internal manufacturing operations as a component of the overall cost of product inventory. Beginning in the first quarter of fiscal 2011, we shifted the manufacturing of our products primarily to contract manufacturers and completed the transfer by the end of fiscal 2011. Accordingly, the costs associated with our internal operations organization are now expensed as incurred. Gross margin in fiscal 2011 was negatively affected by the immediate expensing of $6.0 million of such previously capitalized costs in the first quarter of fiscal 2011.</w:t>
      </w:r>
    </w:p>
    <w:p>
      <w:pPr>
        <w:spacing w:after="0" w:line="100"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Exclusive of the net impact from these charges, the gross margin and gross margin as a percentage of revenue in fiscal 2012 were lower than fiscal 2011 due to competitive pricing pressures and a small shift in the mix of our business toward services, which caused a small decline in the fiscal 2012 gross margin rate. In the long run, we anticipate an improvement in gross margin as a percentage of revenue as a result of the transition to our next generation products.</w:t>
      </w:r>
    </w:p>
    <w:p>
      <w:pPr>
        <w:spacing w:after="0" w:line="93"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Gross margin for fiscal 2011 decreased $4.7 million, or 3.5%, compared with fiscal 2010. Gross margin as a percentage of revenue also decreased 0.2% compared with fiscal 2010. The decrease was primarily due to the $6.0 million one-time charge related to manufacturing overhead and the large inventory write-downs incurred in fiscal 2011 as mentioned above, partially offset by a $6.5 million decrease in amortization of purchased technology due to lower intangible asset balances in fiscal 2011 resulting from a $49.5 million impairment of such assets in the fourth quarter of fiscal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700"/>
              <w:spacing w:after="0"/>
              <w:rPr>
                <w:sz w:val="20"/>
                <w:szCs w:val="20"/>
                <w:color w:val="auto"/>
              </w:rPr>
            </w:pPr>
            <w:r>
              <w:rPr>
                <w:rFonts w:ascii="Arial" w:cs="Arial" w:eastAsia="Arial" w:hAnsi="Arial"/>
                <w:sz w:val="14"/>
                <w:szCs w:val="14"/>
                <w:b w:val="1"/>
                <w:bCs w:val="1"/>
                <w:color w:val="auto"/>
              </w:rPr>
              <w:t>$ Change</w:t>
            </w:r>
          </w:p>
        </w:tc>
        <w:tc>
          <w:tcPr>
            <w:tcW w:w="1620" w:type="dxa"/>
            <w:vAlign w:val="bottom"/>
            <w:gridSpan w:val="3"/>
          </w:tcPr>
          <w:p>
            <w:pPr>
              <w:ind w:left="9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tcPr>
          <w:p>
            <w:pPr>
              <w:spacing w:after="0"/>
              <w:rPr>
                <w:sz w:val="16"/>
                <w:szCs w:val="16"/>
                <w:color w:val="auto"/>
              </w:rPr>
            </w:pPr>
          </w:p>
        </w:tc>
      </w:tr>
      <w:tr>
        <w:trPr>
          <w:trHeight w:val="264"/>
        </w:trPr>
        <w:tc>
          <w:tcPr>
            <w:tcW w:w="2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2012 /2011</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2011 /2010</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2012 /2011</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88"/>
              </w:rPr>
              <w:t>2011 /2010</w:t>
            </w:r>
          </w:p>
        </w:tc>
      </w:tr>
      <w:tr>
        <w:trPr>
          <w:trHeight w:val="215"/>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research and development (“R&amp;D”) expenses declined $4.5 million, or 11.1%, in fiscal 2012 compared with fiscal 2011. As a percentage of revenue, R&amp;D expenses also decreased to 8.1% in fiscal 2012 from 9.0% in fiscal 2011. The decrease in R&amp;D expenses of $4.5 million, consisting mostly of personnel expenses, was primarily due to restructuring of our research and development workforce in prior years. In addition, share-based compensation expense in fiscal 2011 was higher by $1.0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million due to vesting of performance shares upon the achievement of new product development milestones in fiscal 2011. We continue to invest in new product features, new functionality and lower cost platforms that we believe will enable our product lines to retain their technology leads in a cost effective manner.</w:t>
      </w:r>
    </w:p>
    <w:p>
      <w:pPr>
        <w:spacing w:after="0" w:line="4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R&amp;D expenses increased $9.4 million in fiscal 2011 compared with fiscal 2010. As a percentage of revenue, R&amp;D expenses also increased to 9.0% in fiscal 2011 from 6.7% in fiscal 2010. The increase in R&amp;D expenses was primarily attributable to investments in new product innovation by increasing R&amp;D headcount in our core business, and an increase in share-based compensation related to the vesting of performance shares upon the achievement of new product development milestones in fiscal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72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3"/>
          </w:tcPr>
          <w:p>
            <w:pPr>
              <w:ind w:left="1000"/>
              <w:spacing w:after="0"/>
              <w:rPr>
                <w:sz w:val="20"/>
                <w:szCs w:val="20"/>
                <w:color w:val="auto"/>
              </w:rPr>
            </w:pPr>
            <w:r>
              <w:rPr>
                <w:rFonts w:ascii="Arial" w:cs="Arial" w:eastAsia="Arial" w:hAnsi="Arial"/>
                <w:sz w:val="14"/>
                <w:szCs w:val="14"/>
                <w:b w:val="1"/>
                <w:bCs w:val="1"/>
                <w:color w:val="auto"/>
                <w:w w:val="91"/>
              </w:rPr>
              <w:t>% Change</w:t>
            </w:r>
          </w:p>
        </w:tc>
        <w:tc>
          <w:tcPr>
            <w:tcW w:w="960" w:type="dxa"/>
            <w:vAlign w:val="bottom"/>
          </w:tcPr>
          <w:p>
            <w:pPr>
              <w:spacing w:after="0"/>
              <w:rPr>
                <w:sz w:val="16"/>
                <w:szCs w:val="16"/>
                <w:color w:val="auto"/>
              </w:rPr>
            </w:pPr>
          </w:p>
        </w:tc>
      </w:tr>
      <w:tr>
        <w:trPr>
          <w:trHeight w:val="264"/>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4"/>
              </w:rPr>
              <w:t>2012 / 2011</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4"/>
              </w:rPr>
              <w:t>2011 / 2010</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2012 / 2011</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1"/>
              </w:rPr>
              <w:t>2011 /2010</w:t>
            </w:r>
          </w:p>
        </w:tc>
      </w:tr>
      <w:tr>
        <w:trPr>
          <w:trHeight w:val="215"/>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2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880" w:type="dxa"/>
            <w:vAlign w:val="bottom"/>
          </w:tcPr>
          <w:p>
            <w:pPr>
              <w:ind w:left="380"/>
              <w:spacing w:after="0"/>
              <w:rPr>
                <w:sz w:val="20"/>
                <w:szCs w:val="20"/>
                <w:color w:val="auto"/>
              </w:rPr>
            </w:pPr>
            <w:r>
              <w:rPr>
                <w:rFonts w:ascii="Arial" w:cs="Arial" w:eastAsia="Arial" w:hAnsi="Arial"/>
                <w:sz w:val="18"/>
                <w:szCs w:val="18"/>
                <w:color w:val="auto"/>
                <w:w w:val="93"/>
              </w:rPr>
              <w:t>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75" w:lineRule="exact"/>
        <w:rPr>
          <w:sz w:val="20"/>
          <w:szCs w:val="20"/>
          <w:color w:val="auto"/>
        </w:rPr>
      </w:pPr>
    </w:p>
    <w:p>
      <w:pPr>
        <w:ind w:right="60" w:firstLine="432"/>
        <w:spacing w:after="0" w:line="247" w:lineRule="auto"/>
        <w:rPr>
          <w:sz w:val="20"/>
          <w:szCs w:val="20"/>
          <w:color w:val="auto"/>
        </w:rPr>
      </w:pPr>
      <w:r>
        <w:rPr>
          <w:rFonts w:ascii="Arial" w:cs="Arial" w:eastAsia="Arial" w:hAnsi="Arial"/>
          <w:sz w:val="18"/>
          <w:szCs w:val="18"/>
          <w:color w:val="auto"/>
        </w:rPr>
        <w:t>Our selling and administrative expenses declined $5.1 million, or 4.9%, in fiscal 2012 compared with fiscal 2011. The decrease was due primarily to a $2.6 million reduction in sales and administrative compensation expenses and a $0.4 million decrease in facility expenses as a result of the restructuring programs we implemented over the past two years, a $2.0 million</w:t>
      </w:r>
      <w:r>
        <w:rPr>
          <w:sz w:val="1"/>
          <w:szCs w:val="1"/>
          <w:color w:val="auto"/>
        </w:rPr>
        <w:drawing>
          <wp:inline distT="0" distB="0" distL="0" distR="0">
            <wp:extent cx="34290"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rPr>
        <w:t>decrease in agent commission expenses driven by lower fee-based revenues, and a decrease of $1.1 million in expenses for information technology projects, partially offset by an increase of $1.3 million in share-based compensation. We will continue to seek ways to improve our operating efficiency in fiscal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-276225</wp:posOffset>
            </wp:positionV>
            <wp:extent cx="2603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4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selling and administrative expenses declined $30.7 million, or 22.8%, in fiscal 2011 compared with fiscal 2010. The significant decrease in fiscal 2011 was due primarily to reductions in compensation expenses resulting from the restructuring plan implemented in prior years and the sale of NetBoss assets, the absence of sales commissions incurred for a large contract with a customer in fiscal 2010, and absence of expenses related to rebranding and transitional costs incurred in fiscal 2010 due to corporate name change and costs to phase-out transitional services agreement with Harris. The following table summarizes the significant decreases to our selling and administrative expenses comparing fiscal 2011 with fiscal 2010: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r>
      <w:tr>
        <w:trPr>
          <w:trHeight w:val="196"/>
        </w:trPr>
        <w:tc>
          <w:tcPr>
            <w:tcW w:w="10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b w:val="1"/>
                <w:bCs w:val="1"/>
                <w:color w:val="auto"/>
                <w:w w:val="99"/>
              </w:rPr>
              <w:t>(In millions)</w:t>
            </w:r>
          </w:p>
        </w:tc>
      </w:tr>
      <w:tr>
        <w:trPr>
          <w:trHeight w:val="256"/>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personnel expenses from reductions in force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Decrease in commissions paid to sales agents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10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from lower expenses incurred on information technology projects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Decrease in amortization of software costs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10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lower expenses incurred as a result of sale of NetBoss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Decrease in executive severance for former CEO</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10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absence of rebranding and transitional costs incurred in fiscal 2010</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10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jc w:val="both"/>
        <w:ind w:right="200" w:firstLine="432"/>
        <w:spacing w:after="0" w:line="279" w:lineRule="auto"/>
        <w:rPr>
          <w:sz w:val="20"/>
          <w:szCs w:val="20"/>
          <w:color w:val="auto"/>
        </w:rPr>
      </w:pPr>
      <w:r>
        <w:rPr>
          <w:rFonts w:ascii="Arial" w:cs="Arial" w:eastAsia="Arial" w:hAnsi="Arial"/>
          <w:sz w:val="17"/>
          <w:szCs w:val="17"/>
          <w:color w:val="auto"/>
        </w:rPr>
        <w:t>During the first quarter of fiscal 2011, we initiated a restructuring plan (the “Fiscal 2011 Plan”) to reduce our operational costs. The Fiscal 2011 Plan was intended to bring our cost structure in line with the changing business environment of the worldwide microwave radio and telecommunication markets, primarily in North America, Europe and Asia. Activities under the Fiscal 2011 Plan included the downsizing or closures of our Morrisville, North Carolina, Canada and certain international field offices, and reductions in force to reduce our operating expenses.</w:t>
      </w:r>
    </w:p>
    <w:p>
      <w:pPr>
        <w:spacing w:after="0" w:line="117"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Earlier in fiscal 2009, we commenced a restructuring plan (the “Fiscal 2009 Plan”) to reduce our workforce in the U.S., France, Canada and other locations throughout the world and outsource our San Antonio manufacturing operations to a third party in Austin, Texas. The Fiscal 2009 Plan has been completed as of the end of fiscal 2011.</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by plan for fiscal 2012, 2011 and 2010 are summarized in the table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ind w:left="560"/>
              <w:spacing w:after="0"/>
              <w:rPr>
                <w:sz w:val="20"/>
                <w:szCs w:val="20"/>
                <w:color w:val="auto"/>
              </w:rPr>
            </w:pPr>
            <w:r>
              <w:rPr>
                <w:rFonts w:ascii="Arial" w:cs="Arial" w:eastAsia="Arial" w:hAnsi="Arial"/>
                <w:sz w:val="14"/>
                <w:szCs w:val="14"/>
                <w:b w:val="1"/>
                <w:bCs w:val="1"/>
                <w:color w:val="auto"/>
              </w:rPr>
              <w:t>$ Change</w:t>
            </w:r>
          </w:p>
        </w:tc>
        <w:tc>
          <w:tcPr>
            <w:tcW w:w="196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2012 /2011</w:t>
            </w:r>
          </w:p>
        </w:tc>
        <w:tc>
          <w:tcPr>
            <w:tcW w:w="1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2011 /2010</w:t>
            </w:r>
          </w:p>
        </w:tc>
        <w:tc>
          <w:tcPr>
            <w:tcW w:w="1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2012 /2011</w:t>
            </w:r>
          </w:p>
        </w:tc>
        <w:tc>
          <w:tcPr>
            <w:tcW w:w="100" w:type="dxa"/>
            <w:vAlign w:val="bottom"/>
            <w:tcBorders>
              <w:top w:val="single" w:sz="8" w:color="auto"/>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 /2010</w:t>
            </w: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116.9 %</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By Plan:</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Fiscal 2011 Plan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N/A</w:t>
            </w:r>
          </w:p>
        </w:tc>
      </w:tr>
      <w:tr>
        <w:trPr>
          <w:trHeight w:val="243"/>
        </w:trPr>
        <w:tc>
          <w:tcPr>
            <w:tcW w:w="2340" w:type="dxa"/>
            <w:vAlign w:val="bottom"/>
          </w:tcPr>
          <w:p>
            <w:pPr>
              <w:ind w:left="200"/>
              <w:spacing w:after="0"/>
              <w:rPr>
                <w:sz w:val="20"/>
                <w:szCs w:val="20"/>
                <w:color w:val="auto"/>
              </w:rPr>
            </w:pPr>
            <w:r>
              <w:rPr>
                <w:rFonts w:ascii="Arial" w:cs="Arial" w:eastAsia="Arial" w:hAnsi="Arial"/>
                <w:sz w:val="18"/>
                <w:szCs w:val="18"/>
                <w:color w:val="auto"/>
              </w:rPr>
              <w:t>Fiscal 2009 Plan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w:t>
            </w:r>
          </w:p>
        </w:tc>
      </w:tr>
    </w:tbl>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Restructuring charges declined significantly by $13.1 million in fiscal 2012 compared with fiscal 2011, and increased $8.3 million in fiscal 2011 compared with fiscal 2010. The changes were due to the completion of Fiscal 2009 Plan in fiscal 2011 and the fact that major restructuring activities under the Fiscal 2011 Plan, such as the downsizing of our Morrisville, North Carolina office, occurred in fiscal 2011. Our restructuring expenses consisted primarily of severance and related benefit charges, and to a lesser extent, facilities costs related to obligations under non-cancelable leases for facilities that we ceased to use.</w:t>
      </w:r>
    </w:p>
    <w:p>
      <w:pPr>
        <w:spacing w:after="0" w:line="134" w:lineRule="exact"/>
        <w:rPr>
          <w:sz w:val="20"/>
          <w:szCs w:val="20"/>
          <w:color w:val="auto"/>
        </w:rPr>
      </w:pPr>
    </w:p>
    <w:p>
      <w:pPr>
        <w:ind w:right="940" w:firstLine="432"/>
        <w:spacing w:after="0" w:line="277" w:lineRule="auto"/>
        <w:rPr>
          <w:sz w:val="20"/>
          <w:szCs w:val="20"/>
          <w:color w:val="auto"/>
        </w:rPr>
      </w:pPr>
      <w:r>
        <w:rPr>
          <w:rFonts w:ascii="Arial" w:cs="Arial" w:eastAsia="Arial" w:hAnsi="Arial"/>
          <w:sz w:val="18"/>
          <w:szCs w:val="18"/>
          <w:color w:val="auto"/>
        </w:rPr>
        <w:t>As of June 29, 2012, we have substantially completed our initiatives under the Fiscal 2011 Plan and expect to wind down certain remaining restructuring activities under this plan in fiscal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Interest Income and Interest Expense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7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During fiscal 2011, we incurred $4.6 million of loss on the sale of NetBoss assets. Other expenses for fiscal 2012 and 2011 consisted primarily of transactional tax assessments related to certain international entities. Other income for fiscal 2010 was related to a gain of $1.2 from final settlement of the Telsima acquisition purchase price during fiscal 2010.</w:t>
      </w:r>
    </w:p>
    <w:p>
      <w:pPr>
        <w:spacing w:after="0" w:line="127" w:lineRule="exact"/>
        <w:rPr>
          <w:sz w:val="20"/>
          <w:szCs w:val="20"/>
          <w:color w:val="auto"/>
        </w:rPr>
      </w:pPr>
    </w:p>
    <w:p>
      <w:pPr>
        <w:jc w:val="both"/>
        <w:ind w:right="780" w:firstLine="432"/>
        <w:spacing w:after="0" w:line="312" w:lineRule="auto"/>
        <w:rPr>
          <w:sz w:val="20"/>
          <w:szCs w:val="20"/>
          <w:color w:val="auto"/>
        </w:rPr>
      </w:pPr>
      <w:r>
        <w:rPr>
          <w:rFonts w:ascii="Arial" w:cs="Arial" w:eastAsia="Arial" w:hAnsi="Arial"/>
          <w:sz w:val="16"/>
          <w:szCs w:val="16"/>
          <w:color w:val="auto"/>
        </w:rPr>
        <w:t>Interest expense was primarily related to preference dividends on our $8.25 million redeemable preference shares and interest associated with borrowings, term loan and letters of credit under our credit facilities. The $8.25 million preference shares were redeemed at their carrying value on January 30, 2012, funded by a two-year term loan of $8.25 million under our credit facility at a fixed interest rate of 5% per annum.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2012 /2011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2011 /2010</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7"/>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17.9</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loss from continuing operations before income taxes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income tax expense from continuing operations for fiscal year 2012 was $1.5 million. The variation between our income tax expense from continuing operations and income tax benefit at the statutory rate of 35% on our pre-tax loss of $14.0 million was primarily attributable to losses in tax jurisdictions in which we cannot recognize a tax benefit. The tax expense for fiscal year 2012 of $1.5 million was primarily attributable to profitable foreign entities for which we have accrued income taxes.</w:t>
      </w:r>
    </w:p>
    <w:p>
      <w:pPr>
        <w:spacing w:after="0" w:line="13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income tax expense from continuing operations for fiscal year 2011 was $14.1 million. The variation between our income tax expense from continuing operations of $14.1 million and income tax benefit at the statutory rate of 35% on our pre-tax loss of $44.7 million was primarily due to an $11.3 million increase in valuation allowance for Singapore deferred tax assets as of the beginning of fiscal 2011 and a $1.4 million foreign branch withholding tax accrual. The expense was partially offset by a valuation allowance release of $1.6 million on Mexico deferred tax assets as of the beginning of fiscal year 2011.</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benefit from continuing operations for fiscal 2010 was $3.8 million. The variation between our income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tax benefit from continuing operations and income tax benefit at the statutory rate of 35% on our pre-tax loss of $112.2 million million was primarily due to a $4.4 million one-time benefit recognized for U.S. federal income tax loss carryback under the Worker, Homeownership and Business Assistance Act of 2009. This benefit was partially offset by a full valuation allowance on all domestic deferred tax assets created in fiscal 2010. The effective tax rate for fiscal 2010 primarily reflected the benefits of earnings and losses of foreign subsidiaries taxed at lower rates and a dividend from a foreign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9"/>
              </w:rPr>
              <w:t>2012 /2011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2011 /2010</w:t>
            </w: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5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Our discontinued operations consist of the WiMAX business, which was sold to EION on September 2, 2011. The loss from discontinued operations decreased $23.1 million in fiscal 2012 compared with fiscal 2011. The decrease resulted primarily from the absence of large charges for provisions for excess and obsolete inventories and noncancellable purchase commitments which we incurred in fiscal 2011 when we decided to exit the WiMAX business, partially offset by higher WiMAX revenue in fiscal 2011. In addition, we recorded a $1.9 million loss on disposition in fiscal 2012 and a $9.5 million impairment charge on WiMAX assets held for sale in fiscal 2011, which were included in our loss on discontinued operations for the respective years.</w:t>
      </w:r>
    </w:p>
    <w:p>
      <w:pPr>
        <w:spacing w:after="0" w:line="104"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The increase of loss in fiscal 2011 as compared with fiscal 2010 was primarily due to a $13.1 million lower gross margin resulting mainly from provisions for excess and obsolete inventories and non-cancelable purchase commitments, partially offset by $7.6 million decreases in operating expenses resulting from reduction of employee headcount related to WiMAX product development and support. The loss in fiscal 2011 also included a $9.5 million loss on WiMAX held for sale assets and the loss in fiscal 2010 included $5.5 million impairment charges on developed technology and intangible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As of June 29, 2012, our total cash and cash equivalents were $96.0 million. Approximately $25.3 million, or 26.4% of our total cash and cash equivalents, was held by entities domiciled in the United States. The remaining balance of $70.7 million or 73.6% was held by entities outside the United States, primarily in Singapore and Nigeria. A portion of the non-U.S. cash and cash equivalents is utilized for working capital and other operating purposes. We are not aware of any local regulatory requirements in these countries that significantly restrict the ability of our operations to repatriate the excess cash generated by our foreign operations. However, there are practical limitations on repatriation of cash to the U.S. from these countries because of the resulting withholding and other taxes.</w:t>
      </w:r>
    </w:p>
    <w:p>
      <w:pPr>
        <w:spacing w:after="0" w:line="58"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As of June 29, 2012, our principal sources of liquidity consisted of the $96.0 million in cash and cash equivalents, $20.1 million of available credit under our current $40.0 million credit facility with Silicon Valley Bank ("SVB"), and cash collections from customers. We regularly require letters of credit from some customers who request extended payment terms up to one year or more. These letters of credit are generally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fiscal 2012, our total cash and cash equivalents decreased by $2.2 million primarily due to $5.9 million of cash used on capital expenditures, $1.5 million of cash used related to the disposition of the WiMAX business and $1.4 million repayment on our long-term loan, partially offset by cash provided by operating activities.</w:t>
      </w:r>
    </w:p>
    <w:p>
      <w:pPr>
        <w:spacing w:after="0" w:line="113"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Cash provided by operating activities was $8.4 million in fiscal 2012 primarily due to our net loss, adjusted for non-cash items, and a decrease in receivables of $38.4 million, partially offset by a year-to-date decrease in accounts payable and accrued expenses of $24.5 million and an increase in inventory of $7.6 million. Our accounts receivable decreased significantly during fiscal 2012 primarily due to strong cash collections from customers during the period. The decrease in accounts payable was primarily due to timing of payments to our contract manufacturers and suppliers. We also paid $5.1 million in cash during fiscal 2012 for restructuring liabilities. The increase in our inventory was due to an increase in finished goods to meet customer demands for shipments in the first quarter of fiscal 2013. During fiscal year 2013, we expect to spend approximately $10.0 million for capital expenditures. We currently believe that our existing cash and cash equivalents, the available line of credit under the SVB facility and future cash collections from customers will be sufficient to provide for our anticipated requirements for working capital and capital expenditures for the next 12 months and the foreseeable future. There can be no assurance, however, that our business will generate cash flow, or that anticipated operational improvements will be achieved. If we are unable to maintain cash balances or generate sufficient cash flow from operations to service our obligations, we may be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June 29, 2012, we had $20.1 million of credit available under our $40.0 million revolving credit facility with SVB. The total amount of revolving credit available was $40.0 million less $12.9 million in outstanding long-term borrowings and $7.0 million in outstanding standby letters of credit issued under the SVB facility.</w:t>
      </w:r>
    </w:p>
    <w:p>
      <w:pPr>
        <w:spacing w:after="0" w:line="4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 xml:space="preserve">In an amendment to the facility effective November 2, 2011, the commitment of $40.0 million under the facility was extended to expire on February 28, 2014 and provides for (1) demand borrowings at the prime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(2) fixed term Eurodollar loans for up to six months at LIBOR plus a spread of between 2.00% to 2.75% based on the company’s current leverage ratio, (3) a two-year term loan in the amount of $8.25 million at a fixed rate of 5% per annum expiring on January 31, 2014, and (4) the issuance of standby or commercial letters of credit. As of June 29, 2012, we had $6.0 million demand borrowings under the credit facility which we do not expect to repay within the next fiscal year. The term loan drawn on January 30, 2012 is repaid in 24 equal monthly installments of principal plus accrued interest commencing February 29, 2012. The SVB facility contains a minimum liquidity ratio covenant and a minimum profitability covenant and is secured by certain of the company’s assets including accounts receivable, inventory, and equipment. The facility also imposes certain restrictions on our ability to pay dividends or make distributions to our stockholders under certain circumstances.</w:t>
      </w:r>
    </w:p>
    <w:p>
      <w:pPr>
        <w:spacing w:after="0" w:line="11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Based on financial covenants included as part of the amended SVB credit facility, we must maintain, as measured at the last day of each fiscal quarter beginning September 30, 2011, (1) no less than a minimum liquidity ratio of 1.50 to 1 (defined as the ratio of total domestic unrestricted cash and cash equivalents plus short-term and long-term marketable securities plus the lesser of 25% of eligible accounts receivable or $12.5 million to total obligations outstanding with the bank) and (2) minimum consolidated EBITDA measured for each fiscal quarter. As of June 29, 2012, we were in compliance with these financial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Redeemable Preference Shares</w:t>
      </w:r>
    </w:p>
    <w:p>
      <w:pPr>
        <w:spacing w:after="0" w:line="9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On June 30, 2011, we entered into an agreement with Harris Corporation for the early redemption of the preference shares issued by our Singapore subsidiary and held by Harris and another stockholder. The shares were redeemed on January 30, 2012, the fifth anniversary of their issuance, at their total face value of $8.25 million, with the proceeds of a two-year long-term loan under the terms of an amendment to the SVB credit facility, as discussed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90"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We have a liability for restructuring activities totaling $2.2 million as of June 29, 2012, $1.5 million of which is classified as current liability and expected to be paid out in cash over the next year. Additionally, we expect to incur approximately $1.4 million of additional charges from our restructuring activities in fiscal 2013. We expect to fund these future payments with available cash and cash flow provided by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29, 2012, cash payments due under our contractual obligations are estimated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4"/>
              </w:rPr>
              <w:t>Obligations Due by Fiscal Year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After 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Other</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Demand borrowings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5"/>
                <w:szCs w:val="25"/>
                <w:color w:val="auto"/>
                <w:vertAlign w:val="superscript"/>
              </w:rPr>
              <w:t>(1)(4)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(2)(4)</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Less: sublease proceeds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Liabilities for uncertain tax positions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57"/>
        </w:trPr>
        <w:tc>
          <w:tcPr>
            <w:tcW w:w="4000" w:type="dxa"/>
            <w:vAlign w:val="bottom"/>
          </w:tcPr>
          <w:p>
            <w:pPr>
              <w:ind w:left="22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w:t>
      </w:r>
    </w:p>
    <w:p>
      <w:pPr>
        <w:spacing w:after="0" w:line="2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is 5% per annum on the two-year term loan expiring on January 31, 2014.</w:t>
      </w:r>
    </w:p>
    <w:p>
      <w:pPr>
        <w:spacing w:after="0" w:line="9" w:lineRule="exact"/>
        <w:rPr>
          <w:rFonts w:ascii="Arial" w:cs="Arial" w:eastAsia="Arial" w:hAnsi="Arial"/>
          <w:sz w:val="18"/>
          <w:szCs w:val="18"/>
          <w:color w:val="auto"/>
        </w:rPr>
      </w:pPr>
    </w:p>
    <w:p>
      <w:pPr>
        <w:ind w:left="660" w:right="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It is not our intent, nor is it reasonably likely, that we would cancel a purchase order that we have executed. Because these agreements do not specify fixed or minimum quantities, do not specify minimum or variable price provisions, and do not specify the approximate timing of the transaction, we have no basis to estimate any future liability under these agreements.</w:t>
      </w:r>
    </w:p>
    <w:p>
      <w:pPr>
        <w:spacing w:after="0" w:line="2" w:lineRule="exact"/>
        <w:rPr>
          <w:rFonts w:ascii="Arial" w:cs="Arial" w:eastAsia="Arial" w:hAnsi="Arial"/>
          <w:sz w:val="18"/>
          <w:szCs w:val="18"/>
          <w:color w:val="auto"/>
        </w:rPr>
      </w:pPr>
    </w:p>
    <w:p>
      <w:pPr>
        <w:ind w:left="660" w:right="3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Liabilities for uncertain tax positions of $4.2 million were included in long-term liabilities in the consolidated balance sheet. At this time, we are unable to make a reasonably reliable estimate of the timing of payments related to this amount due to uncertainties in the timing of tax audit outcomes.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items are not recorded on our balance sheet.</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90"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June 29, 2012, we had commercial commitments on outstanding surety bonds and standby letters of credit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Expiration of Commitments by Fiscal Year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After 2015</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Standby letters of credit used for:</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Bids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Down payments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Surety bonds used for:</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Tax and payment guarantees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commercial commitments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As we have not historically had to pay out on any of our performance guarantees, the outstanding commercial commitments have not been recorded on our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In accordance with the definition under SEC rules (Item 303(a) (4) (ii) of Regulation S-K), any of the following qualify as off-balance sheet arrangements:</w:t>
      </w:r>
    </w:p>
    <w:p>
      <w:pPr>
        <w:spacing w:after="0" w:line="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63"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63" w:lineRule="exact"/>
        <w:rPr>
          <w:rFonts w:ascii="Arial" w:cs="Arial" w:eastAsia="Arial" w:hAnsi="Arial"/>
          <w:sz w:val="18"/>
          <w:szCs w:val="18"/>
          <w:color w:val="auto"/>
        </w:rPr>
      </w:pPr>
    </w:p>
    <w:p>
      <w:pPr>
        <w:ind w:left="980" w:right="3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127"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June 29, 2012,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Due to the downsizing of certain of our operations pursuant to divestitures, restructuring plans or otherwise, some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properties leased by us have been sublet to third parties. In the event any of these third parties vacate any of these premises, we would be legally obligated under master lease arrangements. We believe that the financial risk of default by such sublessors is not likely to be individually or in the aggregate material to our financial position,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90"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nor issue derivatives for trading purposes or make speculative investments in foreign currencies.</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As of June 29, 2012, we had foreign currency forward contracts outstanding with a total net notional amount of $17.7 million consisting of 13 different currencies. The following is a summary of the net notional amount of our outstanding contracts grouped by the underlying foreign currency as of June 29, 2012: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restart"/>
          </w:tcPr>
          <w:p>
            <w:pPr>
              <w:jc w:val="center"/>
              <w:ind w:right="256"/>
              <w:spacing w:after="0"/>
              <w:rPr>
                <w:sz w:val="20"/>
                <w:szCs w:val="20"/>
                <w:color w:val="auto"/>
              </w:rPr>
            </w:pPr>
            <w:r>
              <w:rPr>
                <w:rFonts w:ascii="Arial" w:cs="Arial" w:eastAsia="Arial" w:hAnsi="Arial"/>
                <w:sz w:val="14"/>
                <w:szCs w:val="14"/>
                <w:b w:val="1"/>
                <w:bCs w:val="1"/>
                <w:color w:val="auto"/>
                <w:w w:val="93"/>
              </w:rPr>
              <w:t>Contract</w:t>
            </w:r>
          </w:p>
        </w:tc>
        <w:tc>
          <w:tcPr>
            <w:tcW w:w="220" w:type="dxa"/>
            <w:vAlign w:val="bottom"/>
          </w:tcPr>
          <w:p>
            <w:pPr>
              <w:spacing w:after="0"/>
              <w:rPr>
                <w:sz w:val="14"/>
                <w:szCs w:val="14"/>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9"/>
              </w:rPr>
              <w:t>Net Notional</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76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3"/>
              </w:rPr>
              <w:t>Net Amount</w:t>
            </w:r>
          </w:p>
        </w:tc>
        <w:tc>
          <w:tcPr>
            <w:tcW w:w="220" w:type="dxa"/>
            <w:vAlign w:val="bottom"/>
          </w:tcPr>
          <w:p>
            <w:pPr>
              <w:spacing w:after="0"/>
              <w:rPr>
                <w:sz w:val="12"/>
                <w:szCs w:val="12"/>
                <w:color w:val="auto"/>
              </w:rPr>
            </w:pPr>
          </w:p>
        </w:tc>
        <w:tc>
          <w:tcPr>
            <w:tcW w:w="11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60" w:type="dxa"/>
            <w:vAlign w:val="bottom"/>
          </w:tcPr>
          <w:p>
            <w:pPr>
              <w:jc w:val="center"/>
              <w:ind w:right="256"/>
              <w:spacing w:after="0"/>
              <w:rPr>
                <w:sz w:val="20"/>
                <w:szCs w:val="20"/>
                <w:color w:val="auto"/>
              </w:rPr>
            </w:pPr>
            <w:r>
              <w:rPr>
                <w:rFonts w:ascii="Arial" w:cs="Arial" w:eastAsia="Arial" w:hAnsi="Arial"/>
                <w:sz w:val="14"/>
                <w:szCs w:val="14"/>
                <w:b w:val="1"/>
                <w:bCs w:val="1"/>
                <w:color w:val="auto"/>
                <w:w w:val="95"/>
              </w:rPr>
              <w:t>(Local Currency)</w:t>
            </w:r>
          </w:p>
        </w:tc>
        <w:tc>
          <w:tcPr>
            <w:tcW w:w="220" w:type="dxa"/>
            <w:vAlign w:val="bottom"/>
          </w:tcPr>
          <w:p>
            <w:pPr>
              <w:spacing w:after="0"/>
              <w:rPr>
                <w:sz w:val="16"/>
                <w:szCs w:val="16"/>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7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7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Canadian dollar</w:t>
            </w:r>
          </w:p>
        </w:tc>
        <w:tc>
          <w:tcPr>
            <w:tcW w:w="1760" w:type="dxa"/>
            <w:vAlign w:val="bottom"/>
          </w:tcPr>
          <w:p>
            <w:pPr>
              <w:jc w:val="right"/>
              <w:ind w:right="296"/>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7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Philippine peso</w:t>
            </w:r>
          </w:p>
        </w:tc>
        <w:tc>
          <w:tcPr>
            <w:tcW w:w="1760" w:type="dxa"/>
            <w:vAlign w:val="bottom"/>
          </w:tcPr>
          <w:p>
            <w:pPr>
              <w:jc w:val="right"/>
              <w:ind w:right="296"/>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17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Thailand baht</w:t>
            </w:r>
          </w:p>
        </w:tc>
        <w:tc>
          <w:tcPr>
            <w:tcW w:w="1760" w:type="dxa"/>
            <w:vAlign w:val="bottom"/>
          </w:tcPr>
          <w:p>
            <w:pPr>
              <w:jc w:val="right"/>
              <w:ind w:right="356"/>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Republic of South Africa rand</w:t>
            </w:r>
          </w:p>
        </w:tc>
        <w:tc>
          <w:tcPr>
            <w:tcW w:w="17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58.7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currencies</w:t>
            </w:r>
          </w:p>
        </w:tc>
        <w:tc>
          <w:tcPr>
            <w:tcW w:w="1760" w:type="dxa"/>
            <w:vAlign w:val="bottom"/>
          </w:tcPr>
          <w:p>
            <w:pPr>
              <w:jc w:val="right"/>
              <w:ind w:right="356"/>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foreign exchange (losses) gains recorded in our consolidated statements of operations during fiscal 2012, 2011 and 2010 totaled $(1.5)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$(2.6) million and $0.3 million, respectively. A 10% adverse change in currency exchange rates for our foreign currency derivatives held as of June 29,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have an impact of approximately $2.9 million on the fair value of such instruments. This quantification of exposure to the market risk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foreign exchange financial instruments does not take into account the offsetting impact of changes in the fair value of our foreign denominated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liabilities and firm commitments.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Approximately 21% of our international business was transacted in non-U.S. dollar currency environments in fiscal 2012 compared with 18% in fiscal</w:t>
      </w:r>
    </w:p>
    <w:p>
      <w:pPr>
        <w:spacing w:after="0" w:line="46" w:lineRule="exact"/>
        <w:rPr>
          <w:sz w:val="20"/>
          <w:szCs w:val="20"/>
          <w:color w:val="auto"/>
        </w:rPr>
      </w:pPr>
    </w:p>
    <w:p>
      <w:pPr>
        <w:jc w:val="both"/>
        <w:ind w:right="680"/>
        <w:spacing w:after="0" w:line="302" w:lineRule="auto"/>
        <w:rPr>
          <w:sz w:val="20"/>
          <w:szCs w:val="20"/>
          <w:color w:val="auto"/>
        </w:rPr>
      </w:pPr>
      <w:r>
        <w:rPr>
          <w:rFonts w:ascii="Arial" w:cs="Arial" w:eastAsia="Arial" w:hAnsi="Arial"/>
          <w:sz w:val="16"/>
          <w:szCs w:val="16"/>
          <w:color w:val="auto"/>
        </w:rPr>
        <w:t>2011. As discussed above, we utilize foreign currency hedging instruments to minimize the currency risk of international transactions. The impact of translating the assets and liabilities of foreign operations to U.S. dollars is included as a component of stockholders’ equity. As of June 29, 2012, the cumulative translation adjustment decreased our stockholders’ equity by $4.0 million compared with a decrease of $2.6 million as of July 1, 2011.</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equivalents and long-term debt borrowings under our SVB credit facilities.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Cash Equivalents</w:t>
      </w:r>
    </w:p>
    <w:p>
      <w:pPr>
        <w:spacing w:after="0" w:line="90"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We had $96.0 million in total cash and cash equivalents as of June 29, 2012. Cash equivalents totaled $61.8 million as of June 29, 2012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June 29, 2012 was two days, and these investments had an average yield of 0.16% per annum. A 10% change in interest rates on our cash and cash equivalents is not expected to have a material impact on our financial position, results of operations or cash flows.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Borrowings</w:t>
      </w:r>
    </w:p>
    <w:p>
      <w:pPr>
        <w:spacing w:after="0" w:line="9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During fiscal 2012, we had $6.0 million of demand borrowings outstanding under our $40.0 million revolving credit facility that incurred interest at the prime rate. We also recorded interest on our $8.3 million long-term borrowing drawn on January 30, 2012 at the fixed rate of 5% per annum. During fiscal 2012, our weighted average interest rate was 3.85% and we recorded total interest expense of $0.4 million on these borrowings.</w:t>
      </w:r>
    </w:p>
    <w:p>
      <w:pPr>
        <w:spacing w:after="0" w:line="111" w:lineRule="exact"/>
        <w:rPr>
          <w:sz w:val="20"/>
          <w:szCs w:val="20"/>
          <w:color w:val="auto"/>
        </w:rPr>
      </w:pPr>
    </w:p>
    <w:p>
      <w:pPr>
        <w:ind w:right="260" w:firstLine="432"/>
        <w:spacing w:after="0" w:line="258"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7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Inventory valuation and provision for excess and obsolete inventory losses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identifiable intangible assets and long-lived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taxes and tax valuation allowances</w:t>
      </w:r>
    </w:p>
    <w:p>
      <w:pPr>
        <w:spacing w:after="0" w:line="17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 of Directors.</w:t>
      </w:r>
    </w:p>
    <w:p>
      <w:pPr>
        <w:spacing w:after="0" w:line="9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Besides estimates that meet the “critical” accounting estimate criteria, we make many other accounting estimates 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 This assessment has a significant impact on the amount and timing of revenue recognition.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63" w:lineRule="exact"/>
        <w:rPr>
          <w:sz w:val="20"/>
          <w:szCs w:val="20"/>
          <w:color w:val="auto"/>
        </w:rPr>
      </w:pPr>
    </w:p>
    <w:p>
      <w:pPr>
        <w:ind w:left="980" w:right="5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 customer purchase orders are generally used to determine the existence of an arrangement.</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Delivery has occurred. Shipping documents and customer acceptance, when applicable, are used to verify delivery.</w:t>
      </w:r>
    </w:p>
    <w:p>
      <w:pPr>
        <w:spacing w:after="0" w:line="63"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8"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Collectability is reasonably assured. We use judgment to assess collectability based primarily on the creditworthiness of the customer as determined by credit checks and analysis, as well as the customer’s payment history.</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The determination as to whether multiple contractual agreements should be evaluated as one arrangement and the identification of units of accounting in an arrangement requires significant judgment and impacts the amount of product and service revenue recognized in a given period.</w:t>
      </w:r>
    </w:p>
    <w:p>
      <w:pPr>
        <w:spacing w:after="0" w:line="13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accordance with ASC 605-25, based on the terms and conditions of the product arrangements, we believe that our products and services can be accounted for separately as our products and services have value to our customers on a stand-alone basis. Accordingly, amounts related to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 element arrangements is as follows: we deliver our products, perform installation services and then provide post-contract support services.</w:t>
      </w:r>
    </w:p>
    <w:p>
      <w:pPr>
        <w:spacing w:after="0" w:line="124"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Vendor-specific objective evidence (“VSOE”) of fair value is based on the price charged when the element is sold separately. For multiple element arrangements, if VSOE cannot be established, we establish, where available, the selling price based on third-party evidence (“TPE”). TPE requires judgment and is determined based on evidence of competitor pricing for similar deliverables when sold separately. When we cannot determine VSOE or TPE which is typically the case, we use the estimated selling price (“ESP”) in our allocation of arrangement consideration. The objective of ESP is to determine the price at which we would typically transact a stand-alone sale of the product or service. In determining ESP, we apply significant judgment as we weigh a variety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updates of these estimates. We do not expect a material impact in future periods from changes in VSOE, TPE or ESP.</w:t>
      </w:r>
    </w:p>
    <w:p>
      <w:pPr>
        <w:spacing w:after="0" w:line="11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Provisions for Excess and Obsolete Losses</w:t>
      </w:r>
    </w:p>
    <w:p>
      <w:pPr>
        <w:spacing w:after="0" w:line="90"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Our inventories have been valued at the lower of cost or market. We balance the need to maintain prudent inventory levels to ensure competitive delivery performance with the risk of excess or obsolete inventory due to changing technology and customer requirements, and new product introductions. Beginning in the first quarter of fiscal 2011, the manufacturing of our products was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During fiscal 2012, 2011 and 2010, we recorded charges to reduce the carrying value of our inventories to the lower of cost or market totaling $3.4 million, $14.5 million and $29.6 million, respectively. Such charges equaled 0.8%, 3.2%, and 6.4% of our revenue in fiscal 2012, 2011 and 2010, respectively. The review of excess and obsolete inventory primarily relates to the microwave business.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Statement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2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24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Identifiable Intangible Assets and Long-Lived Assets</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account for business combinations using the purchase method of accounting which means we record the assets acquired and liabilities assumed at their respective fair values at the date of acquisition, with any excess purchase price recorded as goodwill.</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Valuation of intangible assets and in-process research and development requires significant estimates and assumptions including, but not limited to, determining the timing and expected costs to complete development projects, estimating future cash flows from product sales, developing appropriate discount rates, estimating probability rates for the successful completion of development projects, continuation of customer relationships and renewal of customer contracts. The amounts and useful lives assigned to identifiable intangible assets and other long-lived assets impact the amount and timing of future amortization and depreciation expense. Accordingly a subsequent reduction in the estimated carrying value or useful life of an asset would result in an accelerated recognition of amortization or depreciation expense.</w:t>
      </w:r>
    </w:p>
    <w:p>
      <w:pPr>
        <w:spacing w:after="0" w:line="13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review the carrying value of our intangible assets and goodwill for impairment on an annual basis and whenever events or circumstances indicate that these assets may have become impaired. Significant negative industry or economic trends, including a lack of recovery in the market price of our common stock, disruptions to our business, unexpected significant changes or planned changes in the use of the intangible assets, and mergers and acquisitions could result in the need to reassess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fair value of our assets and liabilities which could lead to an impairment charge for any of our intangible assets or goodwill. The value of our intangible assets and goodwill could also be impacted by future adverse changes such as any future declines in our operating results, a significant slowdown in the worldwide economy and the microwave industry or any failure to meet the performance projections included in our forecasts of future operating results.</w:t>
      </w:r>
    </w:p>
    <w:p>
      <w:pPr>
        <w:spacing w:after="0" w:line="93"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Goodwill is tested for impairment at the reporting unit level annually during the fourth quarter of our fiscal year, or when an impairment indicator exists, using a two-step process. First, we determine if the carrying amount of any of our reporting units exceeds its fair value (determined using an analysis of a combination of projected discounted cash flows and market multiples based on revenue and earnings before interest, taxes, depreciation and amortization), which would indicate a potential impairment associated with that reporting unit. If we determine that a potential impairment exists, we then compare the implied fair value associated with the respective reporting unit, to its carrying amount to determine if there is an impairment loss.</w:t>
      </w:r>
    </w:p>
    <w:p>
      <w:pPr>
        <w:spacing w:after="0" w:line="10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Evaluations of impairment involve management estimates of asset useful lives, future cash flows and discount rates. Significant management judgment is required in the forecasts of future operating results that are used in the evaluations. It is possible, however, that the plans and estimates used may prove to be inaccurate. If our actual results, or the plans and estimates used in future impairment analysis, are lower than the original estimates used to assess the recoverability of these assets, we could incur additional impairment charges in a future period. For example, we recorded impairment charges of $5.6 million for goodwill in fiscal 2012 and $63.2 million for identifiable intangible assets in fiscal 2010.</w:t>
      </w:r>
    </w:p>
    <w:p>
      <w:pPr>
        <w:spacing w:after="0" w:line="11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evaluate other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 Valuation Allowances</w:t>
      </w:r>
    </w:p>
    <w:p>
      <w:pPr>
        <w:spacing w:after="0" w:line="90" w:lineRule="exact"/>
        <w:rPr>
          <w:sz w:val="20"/>
          <w:szCs w:val="20"/>
          <w:color w:val="auto"/>
        </w:rPr>
      </w:pPr>
    </w:p>
    <w:p>
      <w:pPr>
        <w:ind w:right="620" w:firstLine="432"/>
        <w:spacing w:after="0" w:line="264" w:lineRule="auto"/>
        <w:rPr>
          <w:sz w:val="20"/>
          <w:szCs w:val="20"/>
          <w:color w:val="auto"/>
        </w:rPr>
      </w:pPr>
      <w:r>
        <w:rPr>
          <w:rFonts w:ascii="Arial" w:cs="Arial" w:eastAsia="Arial" w:hAnsi="Arial"/>
          <w:sz w:val="18"/>
          <w:szCs w:val="18"/>
          <w:color w:val="auto"/>
        </w:rPr>
        <w:t>We record the estimated future tax effects of temporary differences between the tax basis of assets and liabilities of amounts reported in our Consolidated Balance Sheet, as well as operating loss and tax credit carryforwards. Significant changes in these estimates may result in an increase or decrease to our tax provision in a subsequent period.</w:t>
      </w:r>
    </w:p>
    <w:p>
      <w:pPr>
        <w:spacing w:after="0" w:line="127"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We record deferred taxes by applying enacted statutory tax rates to the respective jurisdictions and follow specific and detailed guidelines in each tax jurisdiction regarding the recoverability of any tax assets recorded on the balance sheet and provide necessary valuation allowances as required. Future realization of deferred tax assets ultimately depends on meeting certain criteria in ASC 740.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12"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June 2011, the Financial Accounting Standards Board issued an accounting standards update on the presentation of comprehensive income, which eliminates the current option to report other comprehensive income and its components in the statement of stockholders’ equity. The new guidance requires an entity to present the total of comprehensive income, the components of net income, and the components of other comprehensive income either in a single continuous statement of comprehensive income or in two separate but consecutive statements. This new guidance is to be applied retrospectively and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for us beginning in our first quarter of fiscal 2013. The adoption of this new guidance will not impact our consolidated financial position or results of operations, as the guidance relates only to financial statement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Page</w:t>
            </w:r>
          </w:p>
        </w:tc>
      </w:tr>
      <w:tr>
        <w:trPr>
          <w:trHeight w:val="189"/>
        </w:trPr>
        <w:tc>
          <w:tcPr>
            <w:tcW w:w="4760" w:type="dxa"/>
            <w:vAlign w:val="bottom"/>
            <w:gridSpan w:val="4"/>
          </w:tcPr>
          <w:p>
            <w:pPr>
              <w:spacing w:after="0" w:line="170" w:lineRule="exact"/>
              <w:rPr>
                <w:rFonts w:ascii="Arial" w:cs="Arial" w:eastAsia="Arial" w:hAnsi="Arial"/>
                <w:sz w:val="18"/>
                <w:szCs w:val="18"/>
                <w:color w:val="0000FF"/>
              </w:rPr>
            </w:pPr>
            <w:hyperlink w:anchor="page41">
              <w:r>
                <w:rPr>
                  <w:rFonts w:ascii="Arial" w:cs="Arial" w:eastAsia="Arial" w:hAnsi="Arial"/>
                  <w:sz w:val="18"/>
                  <w:szCs w:val="18"/>
                  <w:color w:val="0000FF"/>
                </w:rPr>
                <w:t>Reports of Independent Registered Public Accounting Firm</w:t>
              </w:r>
            </w:hyperlink>
          </w:p>
        </w:tc>
        <w:tc>
          <w:tcPr>
            <w:tcW w:w="5380" w:type="dxa"/>
            <w:vAlign w:val="bottom"/>
            <w:gridSpan w:val="5"/>
          </w:tcPr>
          <w:p>
            <w:pPr>
              <w:spacing w:after="0"/>
              <w:rPr>
                <w:sz w:val="16"/>
                <w:szCs w:val="16"/>
                <w:color w:val="auto"/>
              </w:rPr>
            </w:pPr>
          </w:p>
        </w:tc>
        <w:tc>
          <w:tcPr>
            <w:tcW w:w="1240" w:type="dxa"/>
            <w:vAlign w:val="bottom"/>
            <w:gridSpan w:val="3"/>
          </w:tcPr>
          <w:p>
            <w:pPr>
              <w:jc w:val="right"/>
              <w:ind w:right="20"/>
              <w:spacing w:after="0" w:line="170" w:lineRule="exact"/>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r>
      <w:tr>
        <w:trPr>
          <w:trHeight w:val="27"/>
        </w:trPr>
        <w:tc>
          <w:tcPr>
            <w:tcW w:w="360" w:type="dxa"/>
            <w:vAlign w:val="bottom"/>
            <w:shd w:val="clear" w:color="auto" w:fill="0000FF"/>
          </w:tcPr>
          <w:p>
            <w:pPr>
              <w:spacing w:after="0"/>
              <w:rPr>
                <w:sz w:val="2"/>
                <w:szCs w:val="2"/>
                <w:color w:val="auto"/>
              </w:rPr>
            </w:pPr>
          </w:p>
        </w:tc>
        <w:tc>
          <w:tcPr>
            <w:tcW w:w="2780" w:type="dxa"/>
            <w:vAlign w:val="bottom"/>
            <w:shd w:val="clear" w:color="auto" w:fill="0000FF"/>
          </w:tcPr>
          <w:p>
            <w:pPr>
              <w:spacing w:after="0"/>
              <w:rPr>
                <w:sz w:val="2"/>
                <w:szCs w:val="2"/>
                <w:color w:val="auto"/>
              </w:rPr>
            </w:pPr>
          </w:p>
        </w:tc>
        <w:tc>
          <w:tcPr>
            <w:tcW w:w="1620" w:type="dxa"/>
            <w:vAlign w:val="bottom"/>
            <w:gridSpan w:val="2"/>
            <w:shd w:val="clear" w:color="auto" w:fill="0000FF"/>
          </w:tcPr>
          <w:p>
            <w:pPr>
              <w:spacing w:after="0"/>
              <w:rPr>
                <w:sz w:val="2"/>
                <w:szCs w:val="2"/>
                <w:color w:val="auto"/>
              </w:rPr>
            </w:pPr>
          </w:p>
        </w:tc>
        <w:tc>
          <w:tcPr>
            <w:tcW w:w="1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0140" w:type="dxa"/>
            <w:vAlign w:val="bottom"/>
            <w:gridSpan w:val="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Consolidated Statements of Operations for Fiscal Years Ended June 29, 2012, July 1, 2011 and July 2, 2010</w:t>
              </w:r>
            </w:hyperlink>
          </w:p>
        </w:tc>
        <w:tc>
          <w:tcPr>
            <w:tcW w:w="1240" w:type="dxa"/>
            <w:vAlign w:val="bottom"/>
            <w:gridSpan w:val="3"/>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20"/>
        </w:trPr>
        <w:tc>
          <w:tcPr>
            <w:tcW w:w="3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760" w:type="dxa"/>
            <w:vAlign w:val="bottom"/>
            <w:gridSpan w:val="4"/>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Consolidated Balance Sheets as of June 29, 2012 and July 1, 2011</w:t>
              </w:r>
            </w:hyperlink>
          </w:p>
        </w:tc>
        <w:tc>
          <w:tcPr>
            <w:tcW w:w="3020" w:type="dxa"/>
            <w:vAlign w:val="bottom"/>
            <w:gridSpan w:val="2"/>
          </w:tcPr>
          <w:p>
            <w:pPr>
              <w:spacing w:after="0"/>
              <w:rPr>
                <w:sz w:val="21"/>
                <w:szCs w:val="21"/>
                <w:color w:val="auto"/>
              </w:rPr>
            </w:pPr>
          </w:p>
        </w:tc>
        <w:tc>
          <w:tcPr>
            <w:tcW w:w="2360" w:type="dxa"/>
            <w:vAlign w:val="bottom"/>
            <w:gridSpan w:val="3"/>
          </w:tcPr>
          <w:p>
            <w:pPr>
              <w:spacing w:after="0"/>
              <w:rPr>
                <w:sz w:val="21"/>
                <w:szCs w:val="21"/>
                <w:color w:val="auto"/>
              </w:rPr>
            </w:pPr>
          </w:p>
        </w:tc>
        <w:tc>
          <w:tcPr>
            <w:tcW w:w="1240" w:type="dxa"/>
            <w:vAlign w:val="bottom"/>
            <w:gridSpan w:val="3"/>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0"/>
        </w:trPr>
        <w:tc>
          <w:tcPr>
            <w:tcW w:w="3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0" w:type="dxa"/>
            <w:vAlign w:val="bottom"/>
            <w:gridSpan w:val="7"/>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Consolidated Statements of Cash Flows for Fiscal Years Ended June 29, 2012, July 1, 2011 and July 2, 2010</w:t>
              </w:r>
            </w:hyperlink>
          </w:p>
        </w:tc>
        <w:tc>
          <w:tcPr>
            <w:tcW w:w="2340" w:type="dxa"/>
            <w:vAlign w:val="bottom"/>
            <w:gridSpan w:val="2"/>
          </w:tcPr>
          <w:p>
            <w:pPr>
              <w:spacing w:after="0"/>
              <w:rPr>
                <w:sz w:val="21"/>
                <w:szCs w:val="21"/>
                <w:color w:val="auto"/>
              </w:rPr>
            </w:pPr>
          </w:p>
        </w:tc>
        <w:tc>
          <w:tcPr>
            <w:tcW w:w="1240" w:type="dxa"/>
            <w:vAlign w:val="bottom"/>
            <w:gridSpan w:val="3"/>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20"/>
        </w:trPr>
        <w:tc>
          <w:tcPr>
            <w:tcW w:w="3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9"/>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Consolidated Statements of Stockholders’ Equity and Comprehensive Loss for Fiscal Years Ended June 29, 2012, July 1, 2011 and July 2,</w:t>
              </w:r>
            </w:hyperlink>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Borders>
              <w:top w:val="single" w:sz="8" w:color="0000FF"/>
            </w:tcBorders>
          </w:tcPr>
          <w:p>
            <w:pPr>
              <w:spacing w:after="0" w:line="196" w:lineRule="exact"/>
              <w:rPr>
                <w:rFonts w:ascii="Arial" w:cs="Arial" w:eastAsia="Arial" w:hAnsi="Arial"/>
                <w:sz w:val="18"/>
                <w:szCs w:val="18"/>
                <w:color w:val="0000FF"/>
                <w:w w:val="84"/>
              </w:rPr>
            </w:pPr>
            <w:hyperlink w:anchor="page47">
              <w:r>
                <w:rPr>
                  <w:rFonts w:ascii="Arial" w:cs="Arial" w:eastAsia="Arial" w:hAnsi="Arial"/>
                  <w:sz w:val="18"/>
                  <w:szCs w:val="18"/>
                  <w:color w:val="0000FF"/>
                  <w:w w:val="84"/>
                </w:rPr>
                <w:t>2010</w:t>
              </w:r>
            </w:hyperlink>
          </w:p>
        </w:tc>
        <w:tc>
          <w:tcPr>
            <w:tcW w:w="278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20"/>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36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Notes to Consolidated Financial Statements</w:t>
              </w:r>
            </w:hyperlink>
          </w:p>
        </w:tc>
        <w:tc>
          <w:tcPr>
            <w:tcW w:w="1240" w:type="dxa"/>
            <w:vAlign w:val="bottom"/>
            <w:gridSpan w:val="3"/>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0"/>
        </w:trPr>
        <w:tc>
          <w:tcPr>
            <w:tcW w:w="3140" w:type="dxa"/>
            <w:vAlign w:val="bottom"/>
            <w:gridSpan w:val="2"/>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9"/>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Financial Statement Schedule: Schedule II — Valuation and Qualifying Accounts</w:t>
              </w:r>
            </w:hyperlink>
          </w:p>
        </w:tc>
        <w:tc>
          <w:tcPr>
            <w:tcW w:w="1240" w:type="dxa"/>
            <w:vAlign w:val="bottom"/>
            <w:gridSpan w:val="3"/>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86</w:t>
              </w:r>
            </w:hyperlink>
          </w:p>
        </w:tc>
      </w:tr>
      <w:tr>
        <w:trPr>
          <w:trHeight w:val="507"/>
        </w:trPr>
        <w:tc>
          <w:tcPr>
            <w:tcW w:w="5860" w:type="dxa"/>
            <w:vAlign w:val="bottom"/>
            <w:tcBorders>
              <w:top w:val="single" w:sz="8" w:color="0000FF"/>
            </w:tcBorders>
            <w:gridSpan w:val="5"/>
          </w:tcPr>
          <w:p>
            <w:pPr>
              <w:ind w:left="5580"/>
              <w:spacing w:after="0"/>
              <w:rPr>
                <w:sz w:val="20"/>
                <w:szCs w:val="20"/>
                <w:color w:val="auto"/>
              </w:rPr>
            </w:pPr>
            <w:r>
              <w:rPr>
                <w:rFonts w:ascii="Arial" w:cs="Arial" w:eastAsia="Arial" w:hAnsi="Arial"/>
                <w:sz w:val="18"/>
                <w:szCs w:val="18"/>
                <w:color w:val="auto"/>
              </w:rPr>
              <w:t>41</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3420" w:firstLine="3453"/>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Aviat Networks, Inc.</w:t>
      </w:r>
    </w:p>
    <w:p>
      <w:pPr>
        <w:spacing w:after="0" w:line="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have audited the accompanying consolidated balance sheets of Aviat Networks, Inc. as of June 29, 2012 and July 1, 2011, and the related consolidated statements of operations, stockholders’ equity and comprehensive loss, and cash flows for each of the three years in the period ended June 29, 2012.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Aviat Networks, Inc. at June 29, 2012 and July 1, 2011, and the consolidated results of its operations and its cash flows for each of the three years in the period ended June 29,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00"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Aviat Networks, Inc.’s internal control over financial reporting as of June 29, 2012, based on criteria established in Internal Control-Integrated Framework issued by the Committee of Sponsoring Organizations of the Treadway Commission and our report dated September 4, 2012 expressed an unqualified opinion thereon.</w:t>
      </w:r>
    </w:p>
    <w:p>
      <w:pPr>
        <w:spacing w:after="0" w:line="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September 4, 2012</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3440" w:firstLine="3453"/>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Aviat Networks, Inc.</w:t>
      </w:r>
    </w:p>
    <w:p>
      <w:pPr>
        <w:spacing w:after="0" w:line="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have audited Aviat Networks, Inc.’s internal control over financial reporting as of June 29, 2012, based on criteria established in Internal Control — Integrated Framework issued by the Committee of Sponsoring Organizations of the Treadway Commission (the COSO criteria). Aviat Networks,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our opinion, Aviat Networks, Inc. maintained, in all material respects, effective internal control over financial reporting as of June 29, 2012, based on the COSO criteria.</w:t>
      </w:r>
    </w:p>
    <w:p>
      <w:pPr>
        <w:spacing w:after="0" w:line="11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Aviat Networks, Inc. as of June 29, 2012 and July 1, 2011, and the related consolidated statements of operations, stockholders’ equity and comprehensive loss, and cash flows for each of the three years in the period ended June 29, 2012 of Aviat Networks, Inc. and our report dated September 4, 2012 expressed an unqualified opinion thereon.</w:t>
      </w:r>
    </w:p>
    <w:p>
      <w:pPr>
        <w:spacing w:after="0" w:line="13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September 4, 2012</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00" w:type="dxa"/>
            <w:vAlign w:val="bottom"/>
          </w:tcPr>
          <w:p>
            <w:pPr>
              <w:spacing w:after="0"/>
              <w:rPr>
                <w:sz w:val="13"/>
                <w:szCs w:val="13"/>
                <w:color w:val="auto"/>
              </w:rPr>
            </w:pPr>
          </w:p>
        </w:tc>
        <w:tc>
          <w:tcPr>
            <w:tcW w:w="9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July 1,</w:t>
            </w:r>
          </w:p>
        </w:tc>
        <w:tc>
          <w:tcPr>
            <w:tcW w:w="240" w:type="dxa"/>
            <w:vAlign w:val="bottom"/>
          </w:tcPr>
          <w:p>
            <w:pPr>
              <w:spacing w:after="0"/>
              <w:rPr>
                <w:sz w:val="13"/>
                <w:szCs w:val="13"/>
                <w:color w:val="auto"/>
              </w:rPr>
            </w:pPr>
          </w:p>
        </w:tc>
        <w:tc>
          <w:tcPr>
            <w:tcW w:w="90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77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for product transition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Amortization of purchased technology</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Intangible assets and trade name impairment charges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Basic and diluted loss per common share from discontinued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Basic and diluted weighted average shares outstanding</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share and par value amounts)</w:t>
            </w: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29, 2012</w:t>
            </w:r>
          </w:p>
        </w:tc>
        <w:tc>
          <w:tcPr>
            <w:tcW w:w="16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b w:val="1"/>
                <w:bCs w:val="1"/>
                <w:color w:val="auto"/>
                <w:w w:val="96"/>
              </w:rPr>
              <w:t>July 1, 2011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Unbilled costs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Customer service inventories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Long-Term Assets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preference shares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unearned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20" w:type="dxa"/>
            <w:vAlign w:val="bottom"/>
          </w:tcPr>
          <w:p>
            <w:pPr>
              <w:ind w:left="40"/>
              <w:spacing w:after="0"/>
              <w:rPr>
                <w:sz w:val="20"/>
                <w:szCs w:val="20"/>
                <w:color w:val="auto"/>
              </w:rPr>
            </w:pPr>
            <w:r>
              <w:rPr>
                <w:rFonts w:ascii="Arial" w:cs="Arial" w:eastAsia="Arial" w:hAnsi="Arial"/>
                <w:sz w:val="18"/>
                <w:szCs w:val="18"/>
                <w:color w:val="auto"/>
                <w:w w:val="91"/>
              </w:rPr>
              <w:t>Common stock, $0.01 par value; 300,000,000 shares authorized; issued and outstanding 61,274,740 shares as of June 29,</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color w:val="auto"/>
              </w:rPr>
              <w:t>2012 and 60,611,561 shares as of July 1, 2011</w:t>
            </w:r>
          </w:p>
        </w:tc>
        <w:tc>
          <w:tcPr>
            <w:tcW w:w="1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85"/>
              </w:rPr>
              <w:t>Fiscal Years Ended</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4"/>
        </w:trPr>
        <w:tc>
          <w:tcPr>
            <w:tcW w:w="7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June 29,</w:t>
            </w:r>
          </w:p>
        </w:tc>
        <w:tc>
          <w:tcPr>
            <w:tcW w:w="240" w:type="dxa"/>
            <w:vAlign w:val="bottom"/>
          </w:tcPr>
          <w:p>
            <w:pPr>
              <w:spacing w:after="0"/>
              <w:rPr>
                <w:sz w:val="12"/>
                <w:szCs w:val="12"/>
                <w:color w:val="auto"/>
              </w:rPr>
            </w:pPr>
          </w:p>
        </w:tc>
        <w:tc>
          <w:tcPr>
            <w:tcW w:w="100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88"/>
              </w:rPr>
              <w:t>July 1,</w:t>
            </w:r>
          </w:p>
        </w:tc>
        <w:tc>
          <w:tcPr>
            <w:tcW w:w="240" w:type="dxa"/>
            <w:vAlign w:val="bottom"/>
          </w:tcPr>
          <w:p>
            <w:pPr>
              <w:spacing w:after="0"/>
              <w:rPr>
                <w:sz w:val="12"/>
                <w:szCs w:val="12"/>
                <w:color w:val="auto"/>
              </w:rPr>
            </w:pPr>
          </w:p>
        </w:tc>
        <w:tc>
          <w:tcPr>
            <w:tcW w:w="880" w:type="dxa"/>
            <w:vAlign w:val="bottom"/>
          </w:tcPr>
          <w:p>
            <w:pPr>
              <w:jc w:val="right"/>
              <w:ind w:right="320"/>
              <w:spacing w:after="0" w:line="144" w:lineRule="exact"/>
              <w:rPr>
                <w:sz w:val="20"/>
                <w:szCs w:val="20"/>
                <w:color w:val="auto"/>
              </w:rPr>
            </w:pPr>
            <w:r>
              <w:rPr>
                <w:rFonts w:ascii="Arial" w:cs="Arial" w:eastAsia="Arial" w:hAnsi="Arial"/>
                <w:sz w:val="13"/>
                <w:szCs w:val="13"/>
                <w:b w:val="1"/>
                <w:bCs w:val="1"/>
                <w:color w:val="auto"/>
              </w:rPr>
              <w:t>July 2,</w:t>
            </w:r>
          </w:p>
        </w:tc>
      </w:tr>
      <w:tr>
        <w:trPr>
          <w:trHeight w:val="174"/>
        </w:trPr>
        <w:tc>
          <w:tcPr>
            <w:tcW w:w="778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2010</w:t>
            </w:r>
          </w:p>
        </w:tc>
      </w:tr>
      <w:tr>
        <w:trPr>
          <w:trHeight w:val="21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Amortization of identifiable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r>
      <w:tr>
        <w:trPr>
          <w:trHeight w:val="237"/>
        </w:trPr>
        <w:tc>
          <w:tcPr>
            <w:tcW w:w="7780" w:type="dxa"/>
            <w:vAlign w:val="bottom"/>
          </w:tcPr>
          <w:p>
            <w:pPr>
              <w:ind w:left="880"/>
              <w:spacing w:after="0"/>
              <w:rPr>
                <w:sz w:val="20"/>
                <w:szCs w:val="20"/>
                <w:color w:val="auto"/>
              </w:rPr>
            </w:pPr>
            <w:r>
              <w:rPr>
                <w:rFonts w:ascii="Arial" w:cs="Arial" w:eastAsia="Arial" w:hAnsi="Arial"/>
                <w:sz w:val="16"/>
                <w:szCs w:val="16"/>
                <w:color w:val="auto"/>
              </w:rPr>
              <w:t>Depreciation and amortization of property, plant and equipment and capitalized software</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20.0</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Goodwill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Intangible asset impairment charges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63.2</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Property, plant and equipment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Bad debt expenses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Deferred income tax expense (benefit)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Charges for product transition and inventory write-downs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Impairment charges/loss on disposition related to WiMAX business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Loss on sale of NetBoss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Receivables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35.9</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Unbilled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12.2</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Advance payments and unearned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Income taxes payable or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040"/>
              <w:spacing w:after="0"/>
              <w:rPr>
                <w:sz w:val="20"/>
                <w:szCs w:val="20"/>
                <w:color w:val="auto"/>
              </w:rPr>
            </w:pPr>
            <w:r>
              <w:rPr>
                <w:rFonts w:ascii="Arial" w:cs="Arial" w:eastAsia="Arial" w:hAnsi="Arial"/>
                <w:sz w:val="16"/>
                <w:szCs w:val="16"/>
                <w:color w:val="auto"/>
              </w:rPr>
              <w:t>Other assets and liabilities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received from sale of NetBoss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Cash disbursed related to sale of WiMAX business,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payments for business acquisition,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sale of property, plant and equipment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5.4</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and maturities of 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Additions of property, plant and equipment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Additions of capitalized software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60"/>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0" w:gutter="0" w:footer="0" w:header="0"/>
        </w:sectPr>
      </w:pPr>
    </w:p>
    <w:p>
      <w:pPr>
        <w:ind w:left="380"/>
        <w:spacing w:after="0"/>
        <w:rPr>
          <w:sz w:val="20"/>
          <w:szCs w:val="20"/>
          <w:color w:val="auto"/>
        </w:rPr>
      </w:pPr>
      <w:r>
        <w:rPr>
          <w:rFonts w:ascii="Arial" w:cs="Arial" w:eastAsia="Arial" w:hAnsi="Arial"/>
          <w:sz w:val="16"/>
          <w:szCs w:val="16"/>
          <w:color w:val="auto"/>
        </w:rPr>
        <w:t>Proceeds from short-term debt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short-term debt arrangement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long-term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share-based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Redemption of preference shares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 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Net increase (decrease) in cash and cash equivalents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 end of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paid (received) during the year for: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70"/>
        </w:trPr>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70"/>
        </w:trPr>
        <w:tc>
          <w:tcPr>
            <w:tcW w:w="42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70"/>
        </w:trPr>
        <w:tc>
          <w:tcPr>
            <w:tcW w:w="42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136.8</w:t>
            </w:r>
          </w:p>
        </w:tc>
      </w:tr>
      <w:tr>
        <w:trPr>
          <w:trHeight w:val="33"/>
        </w:trPr>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141.7</w:t>
            </w:r>
          </w:p>
        </w:tc>
      </w:tr>
      <w:tr>
        <w:trPr>
          <w:trHeight w:val="33"/>
        </w:trPr>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758"/>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70"/>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73" w:lineRule="exact"/>
        <w:rPr>
          <w:sz w:val="20"/>
          <w:szCs w:val="20"/>
          <w:color w:val="auto"/>
        </w:rPr>
      </w:pPr>
    </w:p>
    <w:p>
      <w:pPr>
        <w:sectPr>
          <w:pgSz w:w="11900" w:h="16838" w:orient="portrait"/>
          <w:cols w:equalWidth="0" w:num="2">
            <w:col w:w="7060" w:space="720"/>
            <w:col w:w="3640"/>
          </w:cols>
          <w:pgMar w:left="240" w:top="125" w:right="239" w:bottom="0" w:gutter="0" w:footer="0" w:header="0"/>
          <w:type w:val="continuous"/>
        </w:sect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5" w:right="239" w:bottom="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CONSOLIDATED STATEMENTS OF STOCKHOLDERS’</w:t>
      </w:r>
    </w:p>
    <w:p>
      <w:pPr>
        <w:spacing w:after="0" w:line="9"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EQUITY AND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Class A</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Class A</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5"/>
          </w:tcPr>
          <w:p>
            <w:pPr>
              <w:ind w:left="5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July 3, 2009</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783.2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387.9</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loss</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unrealized loss on hedging activities</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gridSpan w:val="2"/>
            <w:vMerge w:val="continue"/>
          </w:tcPr>
          <w:p>
            <w:pPr>
              <w:spacing w:after="0"/>
              <w:rPr>
                <w:sz w:val="6"/>
                <w:szCs w:val="6"/>
                <w:color w:val="auto"/>
              </w:rPr>
            </w:pPr>
          </w:p>
        </w:tc>
        <w:tc>
          <w:tcPr>
            <w:tcW w:w="92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780" w:type="dxa"/>
            <w:vAlign w:val="bottom"/>
            <w:tcBorders>
              <w:bottom w:val="single" w:sz="8" w:color="CCEEFF"/>
            </w:tcBorders>
            <w:gridSpan w:val="2"/>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gridSpan w:val="2"/>
            <w:vMerge w:val="continue"/>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Reclassification of Class A shares to</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Common Stock</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Issuance of stock related to employee share-</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awards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July 2, 2010</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 from CTA to other loss resulting</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from the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liquidation of foreign entities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Foreign currency translation gain</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unrealized gain on hedging activities</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Issuance of stock related to employee share-</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awards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 as of July 1, 2011</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791.6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(611.8)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Foreign currency translation loss</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unrealized loss on hedging activities</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Issuance of stock related to employee share-</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awards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June 29, 2012</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796.8</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(635.9)</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60"/>
        </w:trPr>
        <w:tc>
          <w:tcPr>
            <w:tcW w:w="27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0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360"/>
          </w:cols>
          <w:pgMar w:left="240" w:top="125" w:right="12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0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On January 28, 2010, we changed our corporate name from Harris Stratex Networks, Inc. to Aviat Networks, Inc. (“Aviat Networks”,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Aviat Networks and its wholly-owned and majority owned subsidiaries. Significant intercompany transactions and accounts have been eliminated.</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fiscal year ends on the Friday nearest calendar June 30. This was June 29 for fiscal 2012, July 1 for fiscal 2011 and July 2 for fiscal 2010. All fiscal years presented each included 52 weeks. In these notes to consolidated financial statements, we refer to our fiscal years as "fiscal 2012", “fiscal 2011” and “fiscal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Certain amounts in the fiscal 2011 and 2010 financial statements have been reclassified to conform with the fiscal 2012 presentation. At June 29, 2012, based on the management's intent not to repay the demand borrowings within the next year, the $6.0 million demand borrowings were classified as long-term debt. Accordingly, we reclassified the fiscal 2011 balance of $6.0 million from short-term debt to long-term debt to conform with the fiscal 2012 presentation.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fair value of goodwill and intangible assets, valuation allowances for deferred tax assets, uncertainties in income taxes, restructuring obligations, product warranty obligations, share-based awards, contingencies and useful lives of intangible assets, property, plant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Cash and cash equivalents are carried at amortized cost, which approximates fair value due to the short-term nature of these investments. Amortization or accretion of premium or discount is included in interest income on the consolidated statements of operations. 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 Historically, we have not experienced any losses due to such concentration of credit risk.</w:t>
      </w:r>
    </w:p>
    <w:p>
      <w:pPr>
        <w:spacing w:after="0" w:line="13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invest our excess cash in high-quality marketable debt securities to ensure that cash is readily available for use in our current operations. Investments with original maturities greater than three months but less than one year are accounted for as short-term and are classified as such at the time of purchase. Marketable securities are classified as “available-for-sale” and are classified as short-term because we view our entire portfolio as available for use in our current operations.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29, 2012 and July 1, 2011, all of our high-quality marketable debt securities were classified as cash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equivalents. Realized gains and losses on short-term investments are recorded in selling and administrative expenses and were not significant during fiscal 2012, 2011 and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Major Customers and Other Significant Concentrations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record accounts receivable at net realizable value, which includes an allowance for estimated uncollectible accounts to reflect any loss anticipated on the collection of accounts receivable balances. We calculate the allowance based on our history of write-offs, level of past due accounts and economic status of the customers. The fair value of our accounts receivable approximates their net realizable value.</w:t>
      </w:r>
    </w:p>
    <w:p>
      <w:pPr>
        <w:spacing w:after="0" w:line="12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regularly require letters of credit from some customers who request extended payment terms of up to one year or more, which we generally discount with various financial institutions. Under these arrangements, collection risk is fully transferred to the financial institutions. We record the cost of discounting these letters of credit as interest expense. Total customer letters of credit being discounted and related interest expense are as follows:</w:t>
      </w:r>
    </w:p>
    <w:p>
      <w:pPr>
        <w:spacing w:after="0" w:line="279"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letters of credit being discounted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r>
    </w:tbl>
    <w:p>
      <w:pPr>
        <w:spacing w:after="0" w:line="17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During fiscal 2012, 2011 and 2010, we had one international customer in Africa (Mobile Telephone Networks Group or MTN Group) that accounted for 17%, 14% and 17%, respectively, of our total revenue. As of June 29, 2012 and July 1, 2011, MTN Group accounted for approximately 7% and 8%, respectively, of our accounts receivable. No other customers accounted for more than 10% of our revenue or accounts receivable for the years presented.</w:t>
      </w:r>
    </w:p>
    <w:p>
      <w:pPr>
        <w:spacing w:after="0" w:line="9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 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reserves for potential credit losses, but historically have not experienced any significant losses related to any particular geographic area since our business is not concentrated within any particular geographic region.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1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rely on sole providers for certain components of our products and rely on a limited number of contract manufacturers and suppliers to provide manufacturing services for our products. The inability of a contract manufacturer or supplier to fulfill our supply requirements could materially impact future operating results.</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entered into agreements relating to our foreign currency contracts with large, multinational financial institutions.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Inventories are valued at the lower of cost or market. Cost is determined using standard cost, which approximates actual cost on a weighted-average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estimated market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Inventories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24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Related Uncertainties</w:t>
      </w:r>
    </w:p>
    <w:p>
      <w:pPr>
        <w:spacing w:after="0" w:line="9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estimated future tax effects of temporary differences between the financial statement and tax bases of assets and liabilities, as measured by tax rates at which temporary differences are expected to reverse.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3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The income tax effects of the differences we identify are classified as current or long-term deferred tax assets and liabilities in our Consolidated Balance Sheets. Our judgments, assumptions, and estimates relative to the current provision for income tax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 or to goodwill or intangible assets to the extent that the valuation allowance related to tax attributes of the acquired entities.</w:t>
      </w:r>
    </w:p>
    <w:p>
      <w:pPr>
        <w:spacing w:after="0" w:line="13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use a two-step process to determine the amount of tax benefit to be recognized.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research and development, re-engineering, training and application maintenance. Leasehold improvements made either at the inception of the lease or during the lease term are amortized over the remaining current lease term, or estimated life, if shorter.</w:t>
      </w:r>
    </w:p>
    <w:p>
      <w:pPr>
        <w:spacing w:after="0" w:line="11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472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2 to 45 years</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Software</w:t>
            </w:r>
          </w:p>
        </w:tc>
        <w:tc>
          <w:tcPr>
            <w:tcW w:w="4720" w:type="dxa"/>
            <w:vAlign w:val="bottom"/>
          </w:tcPr>
          <w:p>
            <w:pPr>
              <w:ind w:left="3240"/>
              <w:spacing w:after="0"/>
              <w:rPr>
                <w:sz w:val="20"/>
                <w:szCs w:val="20"/>
                <w:color w:val="auto"/>
              </w:rPr>
            </w:pPr>
            <w:r>
              <w:rPr>
                <w:rFonts w:ascii="Arial" w:cs="Arial" w:eastAsia="Arial" w:hAnsi="Arial"/>
                <w:sz w:val="18"/>
                <w:szCs w:val="18"/>
                <w:color w:val="auto"/>
              </w:rPr>
              <w:t>3 to 5 years</w:t>
            </w:r>
          </w:p>
        </w:tc>
      </w:tr>
      <w:tr>
        <w:trPr>
          <w:trHeight w:val="27"/>
        </w:trPr>
        <w:tc>
          <w:tcPr>
            <w:tcW w:w="60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72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2 to 5 years</w:t>
            </w:r>
          </w:p>
        </w:tc>
      </w:tr>
      <w:tr>
        <w:trPr>
          <w:trHeight w:val="27"/>
        </w:trPr>
        <w:tc>
          <w:tcPr>
            <w:tcW w:w="606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Identifiable Intangible Assets and Long-Lived Assets</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account for business combinations using the purchase method of accounting which means we record the assets acquired and liabilities assumed at their respective fair values at the date of acquisition, with any excess purchase price recorded as goodwill.</w:t>
      </w:r>
    </w:p>
    <w:p>
      <w:pPr>
        <w:spacing w:after="0" w:line="116"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Valuation of intangible assets and in-process research and development requires significant estimates and assumptions including, but not limited to, determining the timing and expected costs to complete development projects, estimating future cash flows from product sales, developing appropriate discount rates, estimating probability rates for the successful completion of development projects, continuation of customer relationships and renewal of customer contracts. Intangible assets determined to have finite lives are amortized over their estimated useful lives.</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Goodwill and intangible assets deemed to have indefinite lives are not amortized but instead are tested for impairment at the reporting unit level at least annually in the fourth quarter of our fiscal year. In addition, we review the carrying value of our intangible assets and goodwill for impairment whenever events or circumstances indicate that their carrying amount may not be recoverable. Significant negative industry or economic trends, including a lack of recovery in the market price of our common stock, disruptions to our business, unexpected significant changes or planned changes in the use of the intangible assets, and mergers and acquisitions could result in the need to reassess the fair value of our assets and liabilities which could lead to an impairment charge for any of our intangible assets or goodwill. The value of our indefinite lived intangible assets and goodwill could also be impacted by future adverse changes such as any future declines in our operating results, a significant slowdown in the worldwide economy and the microwave industry or any failure to meet the performance projections included in our forecasts of future operating results.</w:t>
      </w:r>
    </w:p>
    <w:p>
      <w:pPr>
        <w:spacing w:after="0" w:line="1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Goodwill is tested for impairment using a two-step process. First, we determine if the carrying amount of any of our reporting units exceeds its fair value (determined using an analysis of a combination of projected discounted cash flows and market multiples based on revenue and earnings before interest, taxes, depreciation and amortization), which would indicate a potential impairment associated with that reporting unit. If we determine that a potential impairment exists, we then compare the implied fair value associated with the respective reporting unit, to its carrying amount to determine if there is an impairment loss.</w:t>
      </w:r>
    </w:p>
    <w:p>
      <w:pPr>
        <w:spacing w:after="0" w:line="13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Evaluations of impairment involve management estimates of asset useful lives and future cash flows. Significant management judgment is required in the forecasts of future operating results that are used in the evaluations. It is possible, however, that the plans and estimates used may prove to be inaccurate. If our actual results, or the plans and estimates used in future impairment analysis, are lower than the original estimates used to assess the recoverability of these assets, we could incur additional impairment charges in a future period which could result in charges that are material to our results of operations.</w:t>
      </w:r>
    </w:p>
    <w:p>
      <w:pPr>
        <w:spacing w:after="0" w:line="10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evaluate other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Costs for the conceptual formulation and design of new software products are expensed as incurred until technological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feasibility has been established (when we have a working model). Once technological feasibility has been established, we capitalize costs to produce the finished software products. Capitalization ceases when the product is available for general release to customers. Costs associated with product enhancements that extend the original product’s life or significantly improve the original product’s marketability are also capitalized once technological feasibility has been established.</w:t>
      </w:r>
    </w:p>
    <w:p>
      <w:pPr>
        <w:spacing w:after="0" w:line="133"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Amortization is calculated on a product-by-product basis as the greater of the amount computed using (i) the ratio that current gross revenue for a product bear to the total of current and anticipated future gross revenue for that product; or (ii) the straight-line method over the remaining economic life of the product. At each balance sheet date, the unamortized capitalized cost of each computer software product is compared to the net realizable value of that product. If an amount of unamortized capitalized costs of a computer software product is found to exceed the net realizable value of that asset, such amount will be written off. The net realizable value is the estimated future gross revenue from that product reduced by the estimated future costs of completing and deploying that product, including the costs of performing maintenance and customer support required to satisfy our responsibility set forth at the time of sale.</w:t>
      </w:r>
    </w:p>
    <w:p>
      <w:pPr>
        <w:spacing w:after="0" w:line="11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capitalized software related primarily to our NetBoss assets that were disposed in fiscal 2011. Total amortization expense on capitalized software was $0.5 million and $2.8 million in fiscal 2011 and 2010,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Expenses and Other Assets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No accrued liabilities or expenses within other accrued expenses on our consolidated balance sheets exceeded 5% of our total current liabilities as of June 29, 2012 or July 1, 2011. Other accrued expenses on our consolidated balance sheets primarily includes accruals for sales commissions, warranties and severance. No current assets other than those already disclosed on the consolidated balance sheets exceeded 5% of our total current assets as of June 29, 2012 or July 1, 2011. No assets within the caption “Other assets” on the consolidated balance sheets exceeded 5% of total assets as of June 29, 2012 or July 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90"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On product sales we provide for future warranty costs upon product delivery. The specific terms and conditions of those warranties vary depending upon the product sold and country in which we do business. In the case of products sold by us, our warranties generally start from the delivery date and continue for one to two years, depending on the terms.</w:t>
      </w:r>
    </w:p>
    <w:p>
      <w:pPr>
        <w:spacing w:after="0" w:line="12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Our products are manufactured to customer specifications and their acceptance is based on meeting those specifications. Factors that affect our warranty liability include the number of installed units, historical experience and management’s judgment regarding anticipated rates of warranty claims and cost per claim. We assess the adequacy of our recorded warranty liabilities every quarter and make adjustments to the liability as necessary.</w:t>
      </w:r>
    </w:p>
    <w:p>
      <w:pPr>
        <w:spacing w:after="0" w:line="11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Network management software products generally carry a 30-day to 90-day warranty from the date of acceptance. Our liability under these warranties is to provide a corrected copy of any portion of the software found not to be in substantial compliance with the agreed-upon specifications.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functional currency of our subsidiaries located in the United Kingdom, Singapore, Mexico, Algeria and New Zealand is the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included in accumulated other comprehensive income.</w:t>
      </w:r>
    </w:p>
    <w:p>
      <w:pPr>
        <w:spacing w:after="0" w:line="171"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Gains and losses resulting from foreign exchange transactions and translation of monetary assets and liabilities in non-functional currencies are included in cost of product sales and services in the accompanying consolidated statements of operations. Net foreign exchange (losses) gains recorded in our consolidated statements of operations during fiscal 2012, 2011 and 2010 totaled $(1.5) million, $(2.6) million and $0.3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As of June 29, 2012,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We may make additional contributions to the plan at our discretion.</w:t>
      </w:r>
    </w:p>
    <w:p>
      <w:pPr>
        <w:spacing w:after="0" w:line="12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Contributions to retirement plans are expensed as incurred. Retirement plan expense amounted to $2.8 million, $3.3 million and $2.8 million in fiscal 2012, 2011 and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11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Revenue from product sales is generated predominately from the sales of products manufactured by third party manufacturers to whom we have outsourced our manufacturing processes. In general,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 party manufacturers.</w:t>
      </w:r>
    </w:p>
    <w:p>
      <w:pPr>
        <w:spacing w:after="0" w:line="10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our revenue recognition policy, revenue is recognized when all of the following criteria have been met:</w:t>
      </w:r>
    </w:p>
    <w:p>
      <w:pPr>
        <w:spacing w:after="0" w:line="63" w:lineRule="exact"/>
        <w:rPr>
          <w:sz w:val="20"/>
          <w:szCs w:val="20"/>
          <w:color w:val="auto"/>
        </w:rPr>
      </w:pPr>
    </w:p>
    <w:p>
      <w:pPr>
        <w:ind w:left="980" w:right="5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 customer purchase orders are generally used to determine the existence of an arrangement.</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Delivery has occurred. Shipping documents and customer acceptance, when applicable, are used to verify delivery.</w:t>
      </w:r>
    </w:p>
    <w:p>
      <w:pPr>
        <w:spacing w:after="0" w:line="63"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8"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Collectibility is reasonably assured. We assess collectibility based primarily on the creditworthiness of the customer as determined by credit checks and analysis, as well as the customer’s payment history.</w:t>
      </w:r>
    </w:p>
    <w:p>
      <w:pPr>
        <w:spacing w:after="0" w:line="11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Based on the terms and conditions of our typical product sales arrangement, we believe that our products and services can be accounted for as separate units because our products and services have value to our customers on a stand-alone basis.</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When a sale involves multiple deliverables, the entire fee from the arrangement is allocated to each unit of accounting based on the relative selling price of each deliverable. When applying the relative selling price method, we determine the selling price for each deliverable using vendor-specific objective evidence (“VSOE”) of selling price, if it exists, or third-party evidence (“TPE”) of selling price. If neither VSOE nor TPE of selling price exist for a deliverable, which is typically the case, we use our best estimate of selling price (“ESP”) for that deliverable. Revenue allocated to each element is then recognized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when the other revenue recognition criteria are met for each element. Accordingly,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 element arrangements: we deliver our products, perform installation services and then provide post-contract support services.</w:t>
      </w:r>
    </w:p>
    <w:p>
      <w:pPr>
        <w:spacing w:after="0" w:line="13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VSOE of fair value is based on the price charged when the element is sold separately. For multiple element arrangements, if VSOE cannot be established, we establish, where available, the selling price based on TPE. TPE is determined based on evidence of competitor pricing for similar deliverables when sold separately. When we cannot determine VSOE or TPE which is typically the case, we use ESP in our allocation of arrangement consideration. The objective of ESP is to determine the price at which we would typically transact a stand-alone sale of the product or service. 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updating of these estimates.</w:t>
      </w:r>
    </w:p>
    <w:p>
      <w:pPr>
        <w:spacing w:after="0" w:line="1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For our proprietary and OEM products, we determine ESP using a discount off list methodology. Under this approach, reasonably available data points, including deals bid and won in the past rolling four quarters and competitor pricing data, for each part number are gathered . Then similar parts are grouped together and the average net price and the discount off the list price are calculated for each group of products. Since we have determined that pricing varies significantly by geography, the data is further stratified by geography. Within geographies, the data is stratified based on type of customer, distribution channel and estimated deal size or customer volume as larger opportunities with multiple deliverables bundled are more likely to receive preferential pricing. Based on all the available information (pricing practices and trends, competition, market, potential pricing limitations set by the competitors for the similar or identical product, functionality and expected technological life of the product, etc.), the final discount off list percentage is determined. Using the discount off list price percentage, the best estimated selling price for each product is determined.</w:t>
      </w:r>
    </w:p>
    <w:p>
      <w:pPr>
        <w:spacing w:after="0" w:line="1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services ESP, we also stratify data based on geography, type of customer and estimated deal size. For training and extended support services, we determine ESP using a discount off list methodology as discussed above. For technical and installation services, we determine ESP using an estimated margin methodology. Under this methodology, ESP’s are determined based on estimated margins anticipated. We consider historical margins as well as current pricing trends and market conditions when determining the estimated margin.</w:t>
      </w:r>
    </w:p>
    <w:p>
      <w:pPr>
        <w:spacing w:after="0" w:line="13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 xml:space="preserve">Some of our products have both software and non-software components that function together to deliver the product’s essential functionality. We have determined that the software element in our core microwave products is incidental in accordance with the software revenue recognition rules. Accordingly, these products were not within the scope of the software revenue recognition rules, ASC 985-605, </w:t>
      </w:r>
      <w:r>
        <w:rPr>
          <w:rFonts w:ascii="Arial" w:cs="Arial" w:eastAsia="Arial" w:hAnsi="Arial"/>
          <w:sz w:val="17"/>
          <w:szCs w:val="17"/>
          <w:i w:val="1"/>
          <w:iCs w:val="1"/>
          <w:color w:val="auto"/>
        </w:rPr>
        <w:t>Software Revenue Recognition</w:t>
      </w:r>
      <w:r>
        <w:rPr>
          <w:rFonts w:ascii="Arial" w:cs="Arial" w:eastAsia="Arial" w:hAnsi="Arial"/>
          <w:sz w:val="17"/>
          <w:szCs w:val="17"/>
          <w:color w:val="auto"/>
        </w:rPr>
        <w:t>.</w:t>
      </w:r>
    </w:p>
    <w:p>
      <w:pPr>
        <w:spacing w:after="0" w:line="11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 xml:space="preserve">In addition to the software in our core microwave product which is not within the scope of the software revenue recognition rules, some of our sales arrangements have multiple deliverables containing software and related software support components. Such sale arrangements are subject to the accounting guidance in ASC 985-605, </w:t>
      </w:r>
      <w:r>
        <w:rPr>
          <w:rFonts w:ascii="Arial" w:cs="Arial" w:eastAsia="Arial" w:hAnsi="Arial"/>
          <w:sz w:val="18"/>
          <w:szCs w:val="18"/>
          <w:i w:val="1"/>
          <w:iCs w:val="1"/>
          <w:color w:val="auto"/>
        </w:rPr>
        <w:t>Software-Revenue Recognition.</w:t>
      </w:r>
      <w:r>
        <w:rPr>
          <w:rFonts w:ascii="Arial" w:cs="Arial" w:eastAsia="Arial" w:hAnsi="Arial"/>
          <w:sz w:val="18"/>
          <w:szCs w:val="18"/>
          <w:color w:val="auto"/>
        </w:rPr>
        <w:t xml:space="preserve"> Under the software revenue recognition guidance, we use the residual method to recognize revenue when a multiple element arrangement includes one or more elements to be delivered at a future date and VSOE of fair value of all undelivered elements exists. If VSOE can be established for the undelivered elements of an arrangement, we recognize revenue following the residual method.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138"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Royalty income is recognized on the basis of terms specified in the contractual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Services</w:t>
      </w:r>
    </w:p>
    <w:p>
      <w:pPr>
        <w:spacing w:after="0" w:line="9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Cost of sales consists primarily of materials, labor and overhead costs incurred internally and paid to contract manufacturers to produce our products, personnel and other implementation costs incurred to install our products and train customer personnel, and customer service and third party original equipment manufacturer costs to provide continuing support to our customers. Also included in cost of sales is the amortization of purchased technology intangible assets.</w:t>
      </w:r>
    </w:p>
    <w:p>
      <w:pPr>
        <w:spacing w:after="0" w:line="13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we include in revenue the related costs that we bill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Transactional Taxes Collected from Customers and Remitted to Government Authorities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issued stock options, restricted stock and performance shares under our 2007 Stock Equity Plan and have assumed stock options from the Stratex acquisition. We estimate the grant date fair value of our share-based awards and amortize this fair value to compensation expense over the requisite service period or vesting term.</w:t>
      </w:r>
    </w:p>
    <w:p>
      <w:pPr>
        <w:spacing w:after="0" w:line="12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To estimate the fair value of our stock option awards, we use the Black-Scholes option-pricing model. The determination of the fair value of share-based payment awards on the date of grant using an option-pricing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and performance share awards, we measure the grant date fair value based upon the market price of our common stock on the date of the grant.</w:t>
      </w:r>
    </w:p>
    <w:p>
      <w:pPr>
        <w:spacing w:after="0" w:line="12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For stock options and restricted stock, we recognize compensation cost on a straight-line basis over the awards’ vesting periods for those awards which contain only a service vesting feature. For awards with a performance condition vesting feature, when achievement of the performance condition is deemed probable we recognize compensation cost on a straight-line basis over the awards’ expected vesting periods.</w:t>
      </w:r>
    </w:p>
    <w:p>
      <w:pPr>
        <w:spacing w:after="0" w:line="11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estimate forfeitures at the time of grant and revise, if necessary, in subsequent periods if actual forfeitures differ significantly from initial estimates. Share-based compensation expense is recorded net of estimated forfeitures such that expense was recorded only for those share-based awards that are expected to vest.</w:t>
      </w:r>
    </w:p>
    <w:p>
      <w:pPr>
        <w:spacing w:after="0" w:line="127"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Cash flows, if any, resulting from the gross benefit of tax deductions related to share-based compensation in excess of the grant date fair value of the related share-based awards are presented as part of cash flows from financing activities. This amount is shown as a reduction to cash flows from operating activities and an increase to cash flow from financing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of Common Stock</w:t>
      </w:r>
    </w:p>
    <w:p>
      <w:pPr>
        <w:spacing w:after="0" w:line="90"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all periods presented. In accordance with Accounting Standard Codification ("ASC") subtopic 260-10, undistributed losses are not allocated to unvested restricted shares due to the fact that the unvested restricted shares are not contractually obligated to share in the losses of the company.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we incurred net loss for all periods in fiscal 2012, 2011 and 2010, potential dilutive securities from stock options,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restricted shares and stock units have been excluded from the diluted net loss per share computations as their effect was anti-dilutive. Because the exercise prices of the outstanding stock options were greater than the average market price of our shares during the applicable year, the number of option shares excluded from the diluted loss per share calculations determined by applying the treasury stock method were not significant during all periods in fiscal 2012, 2011 and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Expenses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record a liability for costs associated with an exit or disposal activity when the liability is incurred. We also record (i) liabilities associated with exit and disposal activities measured at fair value; (ii) expenses for one-time termination benefits at the date we notify the employee, unless the employee must provide future service, in which case the benefits are expensed ratably over the future service period; and (iii) liabilities related to an operating lease/contract at fair value and measured when the contract does not have any future economic benefit to the entity (i.e., the entity ceases to utilize the rights conveyed by the contract). We expense all other costs related to an exit or disposal activity as incurred. We record severance benefits provided as part of an ongoing benefit arrangement, and accrue a liability for expected severance costs. Restructuring liabilities and the liability for expected severance costs are shown as “Restructuring liabilities” in current and long-term liabilities on our consolidated balance sheets and the related costs are reflected as operating expenses in the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sponsored research and development costs, which include costs in connection with new product development, improvement of existing products, process improvement, and product use technologies, are charged to operations in the period in which they are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June 2011, the Financial Accounting Standards Board issued an accounting standards update on the presentation of comprehensive income, which eliminates the current option to report other comprehensive income and its components in the statement of stockholders’ equity. The new guidance requires an entity to present the total of comprehensive income, the components of net income, and the components of other comprehensive income either in a single continuous statement of comprehensive income or in two separate but consecutive statements. This new guidance is to be applied retrospectively and is effective for us beginning in our first quarter of fiscal 2013. The adoption of this new guidance will not impact our consolidated financial position or results of operations, as the guidance relates only to financial statement presentation.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Telsima</w:t>
      </w:r>
    </w:p>
    <w:p>
      <w:pPr>
        <w:spacing w:after="0" w:line="90" w:lineRule="exact"/>
        <w:rPr>
          <w:sz w:val="20"/>
          <w:szCs w:val="20"/>
          <w:color w:val="auto"/>
        </w:rPr>
      </w:pPr>
    </w:p>
    <w:p>
      <w:pPr>
        <w:ind w:right="80" w:firstLine="432"/>
        <w:spacing w:after="0" w:line="270" w:lineRule="auto"/>
        <w:rPr>
          <w:sz w:val="20"/>
          <w:szCs w:val="20"/>
          <w:color w:val="auto"/>
        </w:rPr>
      </w:pPr>
      <w:r>
        <w:rPr>
          <w:rFonts w:ascii="Arial" w:cs="Arial" w:eastAsia="Arial" w:hAnsi="Arial"/>
          <w:sz w:val="18"/>
          <w:szCs w:val="18"/>
          <w:color w:val="auto"/>
        </w:rPr>
        <w:t>In February 2009, we acquired Telsima Corporation (“Telsima”) for $13.1 million in cash. Telsima was a privately-held leading developer and provider of WiMAX Forum Certified(</w:t>
      </w:r>
      <w:r>
        <w:rPr>
          <w:rFonts w:ascii="Arial" w:cs="Arial" w:eastAsia="Arial" w:hAnsi="Arial"/>
          <w:sz w:val="14"/>
          <w:szCs w:val="14"/>
          <w:color w:val="auto"/>
        </w:rPr>
        <w:t>™</w:t>
      </w:r>
      <w:r>
        <w:rPr>
          <w:rFonts w:ascii="Arial" w:cs="Arial" w:eastAsia="Arial" w:hAnsi="Arial"/>
          <w:sz w:val="18"/>
          <w:szCs w:val="18"/>
          <w:color w:val="auto"/>
        </w:rPr>
        <w:t>) products for use in next generation broadband wireless networks. We completed the Telsima Acquisition to acquire WiMAX(</w:t>
      </w:r>
      <w:r>
        <w:rPr>
          <w:rFonts w:ascii="Arial" w:cs="Arial" w:eastAsia="Arial" w:hAnsi="Arial"/>
          <w:sz w:val="14"/>
          <w:szCs w:val="14"/>
          <w:color w:val="auto"/>
        </w:rPr>
        <w:t>™</w:t>
      </w:r>
      <w:r>
        <w:rPr>
          <w:rFonts w:ascii="Arial" w:cs="Arial" w:eastAsia="Arial" w:hAnsi="Arial"/>
          <w:sz w:val="18"/>
          <w:szCs w:val="18"/>
          <w:color w:val="auto"/>
        </w:rPr>
        <w:t>) technology and products for use in next-generation broadband wireless networks and to enhance our ability to expand into new and emerging markets.</w:t>
      </w:r>
    </w:p>
    <w:p>
      <w:pPr>
        <w:spacing w:after="0" w:line="122"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Telsima acquisition was accounted for as a purchase business combination and we recorded a total of $6.2 million of goodwill. During the fourth quarter of fiscal 2010, subsequent to one year from the date of acquisition, we recorded a $1.2 million gain in other income on our consolidated statement of operations from the final settlement of the purchase price.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WiMAX Discontinued Operations</w:t>
      </w:r>
    </w:p>
    <w:p>
      <w:pPr>
        <w:spacing w:after="0" w:line="90"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In March 2011, our board of directors approved a plan for the sale of our WiMAX business. On September 2, 2011, we sold to EION Networks, Inc. (“EION”) our WiMAX business and related assets consisting of certain technology, inventory and equipment.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EION agreed to pay us $0.4 million in cash and up to $2.8 million in additional cash payments contingent upon specific factors related to future WiMAX business performance. Currently we are not able to estimate the amount of consideration that we will receive beyond the $0.4 million nor the probability of any such payment. Accordingly, any future consideration will be recorded as a contingent gain in the period that it is received. EION is also entitled to receive cash payments up to $2.0 million upon collections of certain WiMAX accounts receivable, of which $1.4 million has been paid by us to EION as of June 29, 2012</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the third quarter of fiscal 2011, we began accounting for the WiMAX business as a discontinued operation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therefore the operating results of our WiMAX business are included in discontinued operations in our Consolidated Financial Statements for all years presented. We recognized a $1.9 million loss on disposition in fiscal 2012 and a $9.5 million impairment charge on WiMAX assets held for sale in fiscal 2011. At June 29, 2012 and July 1, 2011, our accrued liabilities related to the disposition of WiMAX business were $0.6 million and $0.3 million,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196"/>
        </w:trPr>
        <w:tc>
          <w:tcPr>
            <w:tcW w:w="7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Loss from operations of WiMAX</w:t>
            </w: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loss from discontinued operations</w:t>
            </w: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7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NetBoss Assets</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In September 2010, we sold our NetBoss assets, consisting of internally-developed intellectual property and certain equipment, to a third party named NetBoss Technologies, Inc. for $3.8 million of cash. We recognized a $4.6 million loss on the sale of the NetBoss assets in our Consolidated Statement of Operations during fiscal 2011. NetBoss Technologies, Inc. is a new company formed by its management team, our former development partner for NetBoss, and private investors. As part of the terms of the sale, we have assigned our customer contracts for NetBoss software and maintenance to NetBoss Technologies, Inc. We continue to license NetBoss technology to operate our Network Operations Centers.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Identifiable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goodwill for fiscal 2012, 2011 and 2010 resulted from our acquisition of Telsima Corporation in fiscal 2009. The changes in the carrying amount of goodwill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Amount</w:t>
            </w:r>
          </w:p>
        </w:tc>
      </w:tr>
      <w:tr>
        <w:trPr>
          <w:trHeight w:val="250"/>
        </w:trPr>
        <w:tc>
          <w:tcPr>
            <w:tcW w:w="9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2,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r>
      <w:tr>
        <w:trPr>
          <w:trHeight w:val="243"/>
        </w:trPr>
        <w:tc>
          <w:tcPr>
            <w:tcW w:w="9420" w:type="dxa"/>
            <w:vAlign w:val="bottom"/>
          </w:tcPr>
          <w:p>
            <w:pPr>
              <w:ind w:left="40"/>
              <w:spacing w:after="0"/>
              <w:rPr>
                <w:sz w:val="20"/>
                <w:szCs w:val="20"/>
                <w:color w:val="auto"/>
              </w:rPr>
            </w:pPr>
            <w:r>
              <w:rPr>
                <w:rFonts w:ascii="Arial" w:cs="Arial" w:eastAsia="Arial" w:hAnsi="Arial"/>
                <w:sz w:val="18"/>
                <w:szCs w:val="18"/>
                <w:color w:val="auto"/>
              </w:rPr>
              <w:t>Goodwill allocated to WiMAX business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9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r>
      <w:tr>
        <w:trPr>
          <w:trHeight w:val="243"/>
        </w:trPr>
        <w:tc>
          <w:tcPr>
            <w:tcW w:w="942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9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9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the third quarter of fiscal 2011, in conjunction with the reclassification of WiMAX business as a discontinued operation, $0.6 million of goodwill was allocated to the WiMAX business. Concurrently we performed an impairment review and recorded a $0.6 million impairment charge for WiMAX business goodwill, which was included in loss from discontinued operations. We also performed impairment reviews on the remaining $5.6 million goodwill, and determined that there was no impairment as of July 1, 2011.</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the second quarter of fiscal 2012, we concluded that a goodwill impairment indicator existed due to a significant decline in our market capitalization.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we performed a goodwill impairment analysis and recorded a $5.6 million goodwill impairment charge in the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identifiable intangible assets is presented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Trade_</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Customer</w:t>
            </w:r>
          </w:p>
        </w:tc>
        <w:tc>
          <w:tcPr>
            <w:tcW w:w="200" w:type="dxa"/>
            <w:vAlign w:val="bottom"/>
          </w:tcPr>
          <w:p>
            <w:pPr>
              <w:spacing w:after="0"/>
              <w:rPr>
                <w:sz w:val="12"/>
                <w:szCs w:val="12"/>
                <w:color w:val="auto"/>
              </w:rPr>
            </w:pPr>
          </w:p>
        </w:tc>
        <w:tc>
          <w:tcPr>
            <w:tcW w:w="10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4"/>
              </w:rPr>
              <w:t>Identifiable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Names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Relationships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intangible assets as of July 2, 2010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amortization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intangible assets as of July 1, 2011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amortization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intangible assets as of June 29, 2012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Amortization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Fiscal 2012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Fiscal 2011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Fiscal 2010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Impairment charges: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Fiscal 2010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estimated useful life (in years)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identifiable intangible assets are being amortized over their useful estimated economic lives, which range from one to five years.</w:t>
      </w:r>
    </w:p>
    <w:p>
      <w:pPr>
        <w:spacing w:after="0" w:line="17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In the fourth quarter of fiscal 2010, we concluded that an impairment indicator for our identifiable intangible assets existed due to a decline in our market capitalization and recent and expected financial performance. The undiscounted cash flow and fair value calculations related to the developed technology were estimated based on a relief-from-royalty method, and the calculations related to the customer relationships were estimated based on an excess earnings method considering future sales and operating costs. Discount rates ranging from 28% to 30% were applied to the cash flows used in the fair value calculations of intangible assets. The results of our impairment test indicated impairment related to certain amortizable intangible assets (developed technology and customer relationships), since the estimated undiscounted cash flows for these assets were less than their respective carrying values. Accordingly, we recorded impairment charges of $63.2 million for identifiable intangible assets in fiscal 2010.</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29, 2012, we estimate our future amortization of identifiable intangible assets with definite lives by year as follows:</w:t>
      </w:r>
    </w:p>
    <w:p>
      <w:pPr>
        <w:spacing w:after="0" w:line="325"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r>
      <w:tr>
        <w:trPr>
          <w:trHeight w:val="196"/>
        </w:trPr>
        <w:tc>
          <w:tcPr>
            <w:tcW w:w="8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r>
      <w:tr>
        <w:trPr>
          <w:trHeight w:val="243"/>
        </w:trPr>
        <w:tc>
          <w:tcPr>
            <w:tcW w:w="8920" w:type="dxa"/>
            <w:vAlign w:val="bottom"/>
          </w:tcPr>
          <w:p>
            <w:pPr>
              <w:ind w:left="2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0.4</w:t>
            </w:r>
          </w:p>
        </w:tc>
      </w:tr>
      <w:tr>
        <w:trPr>
          <w:trHeight w:val="27"/>
        </w:trPr>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r>
      <w:tr>
        <w:trPr>
          <w:trHeight w:val="237"/>
        </w:trPr>
        <w:tc>
          <w:tcPr>
            <w:tcW w:w="89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w:t>
            </w:r>
          </w:p>
        </w:tc>
      </w:tr>
      <w:tr>
        <w:trPr>
          <w:trHeight w:val="27"/>
        </w:trPr>
        <w:tc>
          <w:tcPr>
            <w:tcW w:w="8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Accumulated Other Comprehensive Income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components of our accumulated other comprehensive income (loss) during fiscal 2012, 2011 and 2010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3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130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334"/>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(“CTA”)</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 2009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as of July 2, 2010</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Transfer from CTA to other loss resulting from the liquidation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entities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as of July 1, 2011</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unrealized loss on hedging activities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Balance Sheet Components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0"/>
                <w:szCs w:val="20"/>
                <w:color w:val="auto"/>
              </w:rPr>
            </w:pPr>
            <w:r>
              <w:rPr>
                <w:rFonts w:ascii="Arial" w:cs="Arial" w:eastAsia="Arial" w:hAnsi="Arial"/>
                <w:sz w:val="18"/>
                <w:szCs w:val="18"/>
                <w:b w:val="1"/>
                <w:bCs w:val="1"/>
                <w:i w:val="1"/>
                <w:iCs w:val="1"/>
                <w:color w:val="auto"/>
              </w:rPr>
              <w:t>Receivables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80" w:type="dxa"/>
            <w:vAlign w:val="bottom"/>
          </w:tcPr>
          <w:p>
            <w:pPr>
              <w:ind w:left="440"/>
              <w:spacing w:after="0"/>
              <w:rPr>
                <w:sz w:val="20"/>
                <w:szCs w:val="20"/>
                <w:color w:val="auto"/>
              </w:rPr>
            </w:pPr>
            <w:r>
              <w:rPr>
                <w:rFonts w:ascii="Arial" w:cs="Arial" w:eastAsia="Arial" w:hAnsi="Arial"/>
                <w:sz w:val="18"/>
                <w:szCs w:val="18"/>
                <w:color w:val="auto"/>
              </w:rPr>
              <w:t>Our receivables are summarized below:</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7"/>
          </w:tcPr>
          <w:p>
            <w:pPr>
              <w:jc w:val="right"/>
              <w:ind w:right="71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Notes receivable due within one year</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8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7"/>
          </w:tcPr>
          <w:p>
            <w:pPr>
              <w:jc w:val="right"/>
              <w:ind w:right="71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56.8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cost of sales included within 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During fiscal 2012, 2011 and 2010, we recorded charges to adjust our inventory and customer service inventory to the lower of cost or market. These charges were primarily due to excess and obsolete inventory resulting from product transitioning and discontinuance and were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98"/>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 of revenue</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7"/>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property, plant and equipment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w w:val="91"/>
              </w:rPr>
              <w:t>July 1,</w:t>
            </w:r>
          </w:p>
        </w:tc>
      </w:tr>
      <w:tr>
        <w:trPr>
          <w:trHeight w:val="192"/>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r>
      <w:tr>
        <w:trPr>
          <w:trHeight w:val="196"/>
        </w:trPr>
        <w:tc>
          <w:tcPr>
            <w:tcW w:w="9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7"/>
                <w:szCs w:val="17"/>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45.1</w:t>
            </w: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During fiscal 2010, we recorded impairments of property, plant and equipment totaling $14.2 million. These charges consisted of $5.5 million on our manufacturing facility and idle equipment in San Antonio, Texas, $7.9 million recorded in connection with our impairment review process for goodwill and intangible assets and $0.8 million for software. The San Antonio impairment charge resulted from our plan to converge our products onto a single platform by the end of fiscal year 2010 and is included in “Charges for product transition” within “Cost of products sales and services” on our Consolidated Statement of Operations. The other impairments are included in “Property, plant and equipment impairment charges” on our Consolidated Statement of Operations. The San Antonio facility was sold in the fourth quarter of fiscal 2010.</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$4.9 million, $8.6 million and $20.0 million, respectively, in fiscal 2012, 2011 and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90"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have accrued for the estimated cost to repair or replace products under warranty at the time of sale. Changes in our warranty liability, which is included as a component of other accrued expenses on the consolidated balance sheets, during the fiscal years ended June 29, 2012 and July 1, 2011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Fiscal Year Ended</w:t>
            </w:r>
          </w:p>
        </w:tc>
      </w:tr>
      <w:tr>
        <w:trPr>
          <w:trHeight w:val="152"/>
        </w:trPr>
        <w:tc>
          <w:tcPr>
            <w:tcW w:w="9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3"/>
                <w:szCs w:val="13"/>
                <w:color w:val="auto"/>
              </w:rPr>
            </w:pPr>
          </w:p>
        </w:tc>
        <w:tc>
          <w:tcPr>
            <w:tcW w:w="80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w w:val="91"/>
              </w:rPr>
              <w:t>July 1,</w:t>
            </w:r>
          </w:p>
        </w:tc>
      </w:tr>
      <w:tr>
        <w:trPr>
          <w:trHeight w:val="192"/>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r>
      <w:tr>
        <w:trPr>
          <w:trHeight w:val="196"/>
        </w:trPr>
        <w:tc>
          <w:tcPr>
            <w:tcW w:w="9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7"/>
                <w:szCs w:val="17"/>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22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2.5</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during the period</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w:t>
            </w:r>
          </w:p>
        </w:tc>
      </w:tr>
      <w:tr>
        <w:trPr>
          <w:trHeight w:val="27"/>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 of Assets and Liabilities</w:t>
      </w:r>
    </w:p>
    <w:p>
      <w:pPr>
        <w:spacing w:after="0" w:line="94" w:lineRule="exact"/>
        <w:rPr>
          <w:sz w:val="20"/>
          <w:szCs w:val="20"/>
          <w:color w:val="auto"/>
        </w:rPr>
      </w:pPr>
    </w:p>
    <w:p>
      <w:pPr>
        <w:ind w:right="40" w:firstLine="432"/>
        <w:spacing w:after="0" w:line="299"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June 29, 2012 and July 1, 2011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29, 2012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1, 2011</w:t>
            </w:r>
          </w:p>
        </w:tc>
        <w:tc>
          <w:tcPr>
            <w:tcW w:w="78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153"/>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78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Fair</w:t>
            </w:r>
          </w:p>
        </w:tc>
        <w:tc>
          <w:tcPr>
            <w:tcW w:w="1240" w:type="dxa"/>
            <w:vAlign w:val="bottom"/>
          </w:tcPr>
          <w:p>
            <w:pPr>
              <w:ind w:left="380"/>
              <w:spacing w:after="0" w:line="153" w:lineRule="exact"/>
              <w:rPr>
                <w:sz w:val="20"/>
                <w:szCs w:val="20"/>
                <w:color w:val="auto"/>
              </w:rPr>
            </w:pPr>
            <w:r>
              <w:rPr>
                <w:rFonts w:ascii="Arial" w:cs="Arial" w:eastAsia="Arial" w:hAnsi="Arial"/>
                <w:sz w:val="14"/>
                <w:szCs w:val="14"/>
                <w:b w:val="1"/>
                <w:bCs w:val="1"/>
                <w:color w:val="auto"/>
              </w:rPr>
              <w:t>Valuation</w:t>
            </w: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6"/>
              </w:rPr>
              <w:t>Value</w:t>
            </w: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Inputs</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6"/>
              </w:rPr>
              <w:t>Level 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61.8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65.0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65.0</w:t>
            </w:r>
          </w:p>
        </w:tc>
        <w:tc>
          <w:tcPr>
            <w:tcW w:w="1240" w:type="dxa"/>
            <w:vAlign w:val="bottom"/>
          </w:tcPr>
          <w:p>
            <w:pPr>
              <w:ind w:left="660"/>
              <w:spacing w:after="0"/>
              <w:rPr>
                <w:sz w:val="20"/>
                <w:szCs w:val="20"/>
                <w:color w:val="auto"/>
              </w:rPr>
            </w:pPr>
            <w:r>
              <w:rPr>
                <w:rFonts w:ascii="Arial" w:cs="Arial" w:eastAsia="Arial" w:hAnsi="Arial"/>
                <w:sz w:val="18"/>
                <w:szCs w:val="18"/>
                <w:color w:val="auto"/>
                <w:w w:val="96"/>
              </w:rPr>
              <w:t>Level 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1240" w:type="dxa"/>
            <w:vAlign w:val="bottom"/>
          </w:tcPr>
          <w:p>
            <w:pPr>
              <w:ind w:left="6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2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classify investments within Level 1 if quoted prices are available in active markets. Our level 1 investments include shares in prime money market funds purchased from two major financial institutions. As of June 29, 2012, these money market shares were valued at $1.00 net asset value per share by these financial institutions.</w:t>
      </w:r>
    </w:p>
    <w:p>
      <w:pPr>
        <w:spacing w:after="0" w:line="127"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We classify items in Level 2 if the investments are valued using observable inputs to quoted market prices, benchmark yields, reported trades, broker/dealer quotes or alternative pricing sources with reasonable levels of price transparency. Our foreign exchange forward contracts are classified within Level 2. Foreign currency forward contracts are valued using an income approach for the remaining term of the contract based on forward market rates less the contract rate multiplied by the notional amount.</w:t>
      </w:r>
    </w:p>
    <w:p>
      <w:pPr>
        <w:spacing w:after="0" w:line="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fiscal 2012, 2011 and 2010, we had no transfers between levels of the fair value hierarchy of our assets or liabilities measured at fair value.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Redeemable Preference Shares</w:t>
      </w:r>
    </w:p>
    <w:p>
      <w:pPr>
        <w:spacing w:after="0" w:line="94"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During fiscal 2007, our Singapore subsidiary issued 8,250 redeemable preference shares to the U.S. parent company which, in turn, sold the shares to two unrelated investment companies at par value for total sale proceeds of $8.3 million. Upon original issuance in fiscal 2007, our former majority stockholder, Harris Corporation, guaranteed redemption of these preference shares directly with these two unrelated investment companies through the existence of put option arrangements. During May 2009, one of these unrelated investment companies exercised a put option with Harris and sold its entire interest in 3,250 redeemable preference shares at face value to Harris.</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These redeemable preference shares represented less than a 1% interest in our Singapore subsidiary. The redeemable preference shares had an automatic redemption date of January 2017, which is 10 years from the date of issue. Preference dividends were cumulative and payable quarterly in cash at the rate of 12% per annum. Preference dividends totaling $0.6 million, $1.0 million and $1.0 million, respectively, for fiscal 2012, 2011 and 2010, were recorded as interest expense in the accompanying consolidated statements of operations.</w:t>
      </w:r>
    </w:p>
    <w:p>
      <w:pPr>
        <w:spacing w:after="0" w:line="133"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In an agreement dated June 30, 2011 by and among Harris, the Company and our Singapore subsidiary, we agreed to redeem the shares on the fifth anniversary of the date of issuance, which was January 30, 2012, at the stated redemption amount of 105% of their face value. In consideration for the early redemption, Harris agreed to waive the 5% premium for the amount that would otherwise be payable to them and to reimburse us for the 5% premium that is payable to the remaining stockholder. Accordingly, the $8.3 million redemption price for these shares was classified as a current liability as of July 1, 2011. On January 30, 2012, the preference shares were redeemed in accordance with the provisions of the redemption agreement and we funded the redemption with proceeds of $8.3 million from a two-year term loan under our credit facility with Silicon Valley Bank as described in Note 8 below.</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Credit Facility and Debt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the quarter ended October 1, 2010, we terminated our previous credit facility with two commercial banks and entered into a new $40.0 million credit facility with Silicon Valley Bank ("SVB") for an initial term of one year expiring on September 30, 2011. We repaid the outstanding debt of $5.0 million under the previous credit facility on October 1, 2010 with the proceeds of a new loan under the new facility in the amount of $6.0 million in demand borrowings. Near September 30, 2011, the availability of the facility was extended and, on November 2, 2011, the facility was amended to expire on February 28, 2014 and provide for a two-year term loan for up to $8.3 million that we used to fund the redemption of the preference shares issued by our Singapore subsidiary. On January 30, 2012, we drew down the $8.3 million term loan which was for two years maturing on January 31, 2014 and provided for 24 equal monthly principal payments.</w:t>
      </w:r>
    </w:p>
    <w:p>
      <w:pPr>
        <w:spacing w:after="0" w:line="13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Our current SVB credit facility provides for a committed amount of $40.0 million. The facility provides for (1) demand borrowings (with no stated maturity date other than the February 28, 2014 expiration of the facility); (2) fixed term Eurodollar loans for up to six months, (3) the two-year term loan in the initial amount of $8.3 million drawn down on January 30, 2012, and (4) the issuance of standby or commercial letters of credit. As of June 29, 2012, available credit under this credit facility was $20.1 million reflecting borrowings of $12.9 million and outstanding letters of credit of $7.0 million.</w:t>
      </w:r>
    </w:p>
    <w:p>
      <w:pPr>
        <w:spacing w:after="0" w:line="10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As of June 29, 2012, our total outstanding debt under the SVB facility was $12.9 million, which consisted of the $6.0 million demand borrowings drawn in fiscal 2011 and the $6.9 million outstanding balance related to the $8.3 million two-year term loan, of which $4.1 million was classified as current. Based on the management's intent not to repay the demand borrowings within the next year, the $6.0 million demand borrowings were classified as long-term debt as of June 29, 2012. Prior year balance was also reclassified from current to long-term to conform with current year presentation.</w:t>
      </w:r>
    </w:p>
    <w:p>
      <w:pPr>
        <w:spacing w:after="0" w:line="100" w:lineRule="exact"/>
        <w:rPr>
          <w:sz w:val="20"/>
          <w:szCs w:val="20"/>
          <w:color w:val="auto"/>
        </w:rPr>
      </w:pPr>
    </w:p>
    <w:p>
      <w:pPr>
        <w:ind w:right="60" w:firstLine="432"/>
        <w:spacing w:after="0" w:line="283" w:lineRule="auto"/>
        <w:rPr>
          <w:sz w:val="20"/>
          <w:szCs w:val="20"/>
          <w:color w:val="auto"/>
        </w:rPr>
      </w:pPr>
      <w:r>
        <w:rPr>
          <w:rFonts w:ascii="Arial" w:cs="Arial" w:eastAsia="Arial" w:hAnsi="Arial"/>
          <w:sz w:val="16"/>
          <w:szCs w:val="16"/>
          <w:color w:val="auto"/>
        </w:rPr>
        <w:t xml:space="preserve">Demand borrowings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Interest on Eurodollar loans is offered at LIBOR plus a spread of between 2.00% to 2.75% based on our current leverage ratio. The interest rate on Eurodollar loans was set initially at a spread of 2.75% for the fiscal quarter ended October 1, 2010 and is adjustable quarterly thereafter based on the computed actual leverage ratio for the most recently completed fiscal quarter. As of June 29, 2012. the weighted average interest rate on our demand borrowings was 3.25%. The two-year term loan is at a fixed interest rate of 5% per annum and provides for equal monthly payments of principal. The SVB facility contains a minimum liquidity ratio covenant and a minimum profitability covenant. As of June 29, 2012, we were in compliance with these financial covenants. The facility also imposes certain restrictions on our ability to pay dividends or make distributions to our stockholders under certain circumstances. Certain of our assets, including accounts receivable, inventory, and equipment, are pledged as collateral for the credit facility. Pursuant to the loan and security agreement, if a material adverse event occurs, as determined by SVB in its judgment, all obligations in connection with the agreement would be immediately due and payable.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Restructuring Activities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Plan</w:t>
      </w:r>
    </w:p>
    <w:p>
      <w:pPr>
        <w:spacing w:after="0" w:line="94"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During the first quarter of fiscal 2011, we initiated a restructuring plan (the “Fiscal 2011 Plan”) to reduce our operational costs . The Fiscal 2011 Plan was intended to bring our cost structure in line with the changing dynamics of the worldwide microwave radio and telecommunication markets, primarily in North America, Europe and Asia. The following table summarizes our costs incurred during fiscal 2012 and 2011, estimated additional costs to be incurred and estimated total costs expected to be incurred as of June 29, 2012 under the Fiscal 2011 Plan: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5"/>
          </w:tcPr>
          <w:p>
            <w:pPr>
              <w:ind w:left="580"/>
              <w:spacing w:after="0"/>
              <w:rPr>
                <w:sz w:val="20"/>
                <w:szCs w:val="20"/>
                <w:color w:val="auto"/>
              </w:rPr>
            </w:pPr>
            <w:r>
              <w:rPr>
                <w:rFonts w:ascii="Arial" w:cs="Arial" w:eastAsia="Arial" w:hAnsi="Arial"/>
                <w:sz w:val="14"/>
                <w:szCs w:val="14"/>
                <w:b w:val="1"/>
                <w:bCs w:val="1"/>
                <w:color w:val="auto"/>
              </w:rPr>
              <w:t>Costs Incurred During</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Cumulative</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Estimated</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Fiscal Year 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Costs Incurred</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7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160" w:type="dxa"/>
            <w:vAlign w:val="bottom"/>
          </w:tcPr>
          <w:p>
            <w:pPr>
              <w:spacing w:after="0"/>
              <w:rPr>
                <w:sz w:val="4"/>
                <w:szCs w:val="4"/>
                <w:color w:val="auto"/>
              </w:rPr>
            </w:pPr>
          </w:p>
        </w:tc>
        <w:tc>
          <w:tcPr>
            <w:tcW w:w="12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Costs</w:t>
            </w:r>
          </w:p>
        </w:tc>
        <w:tc>
          <w:tcPr>
            <w:tcW w:w="140" w:type="dxa"/>
            <w:vAlign w:val="bottom"/>
          </w:tcPr>
          <w:p>
            <w:pPr>
              <w:spacing w:after="0"/>
              <w:rPr>
                <w:sz w:val="4"/>
                <w:szCs w:val="4"/>
                <w:color w:val="auto"/>
              </w:rPr>
            </w:pPr>
          </w:p>
        </w:tc>
        <w:tc>
          <w:tcPr>
            <w:tcW w:w="1180" w:type="dxa"/>
            <w:vAlign w:val="bottom"/>
            <w:vMerge w:val="restart"/>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79"/>
        </w:trPr>
        <w:tc>
          <w:tcPr>
            <w:tcW w:w="3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29, 2012</w:t>
            </w:r>
          </w:p>
        </w:tc>
        <w:tc>
          <w:tcPr>
            <w:tcW w:w="560" w:type="dxa"/>
            <w:vAlign w:val="bottom"/>
          </w:tcPr>
          <w:p>
            <w:pPr>
              <w:spacing w:after="0"/>
              <w:rPr>
                <w:sz w:val="6"/>
                <w:szCs w:val="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July 1, 2011</w:t>
            </w:r>
          </w:p>
        </w:tc>
        <w:tc>
          <w:tcPr>
            <w:tcW w:w="1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29, 2012</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to be Incurred</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374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2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During fiscal 2011, our severance and benefits charges under the Fiscal 2011 Plan for North America region related to reductions in force for the downsizing of the Morrisville, North Carolina office, reductions in force in Canada of their finance, human resources, IT and engineering functions, and the reductions in force resulting from the sale of our NetBoss assets. The severance and benefits for International region related primarily to reductions in personnel located in our field offices during fiscal 2011. Facilities and other charges in fiscal 2011 included obligations under non-cancelable leases for facilities that we ceased to use at the Morrisville, North Carolina office upon the permanent downsizing of that office.</w:t>
      </w:r>
    </w:p>
    <w:p>
      <w:pPr>
        <w:spacing w:after="0" w:line="119"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During fiscal 2012, we continued executing restructuring activities to reduce our operating costs worldwide under the Fiscal 2011 Plan. The $1.4 million facilities charges primarily related to the sublease and relocation of our Morrisville, North Carolina office and Montreal office during the period.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As of June 29, 2012, we have substantially completed our initiatives under the Fiscal 2011 Plan and intend to wind down certain remaining restructuring activities in fiscal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2009 Plan</w:t>
      </w:r>
    </w:p>
    <w:p>
      <w:pPr>
        <w:spacing w:after="0" w:line="94"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During the first quarter of fiscal 2009, we announced a restructuring plan to reduce our worldwide workforce in the U.S., France, Canada and other locations throughout the world (the “Fiscal 2009 Plan”). The Fiscal 2009 Plan also included the restructure and transition of our North America manufacturing operations and global supply chain operations. The Fiscal 2009 Plan has been completed at the end of fiscal 2011 and we do not expect to incur future restructuring costs related to the Fiscal 2009 Plan.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costs incurred during fiscal 2011 and 2010 and total costs incurred under the Fiscal 2009 Plan: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298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Costs Incurred During</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ind w:right="18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980" w:type="dxa"/>
            <w:vAlign w:val="bottom"/>
            <w:gridSpan w:val="4"/>
          </w:tcPr>
          <w:p>
            <w:pPr>
              <w:jc w:val="right"/>
              <w:ind w:right="659"/>
              <w:spacing w:after="0" w:line="149" w:lineRule="exact"/>
              <w:rPr>
                <w:sz w:val="20"/>
                <w:szCs w:val="20"/>
                <w:color w:val="auto"/>
              </w:rPr>
            </w:pPr>
            <w:r>
              <w:rPr>
                <w:rFonts w:ascii="Arial" w:cs="Arial" w:eastAsia="Arial" w:hAnsi="Arial"/>
                <w:sz w:val="14"/>
                <w:szCs w:val="14"/>
                <w:b w:val="1"/>
                <w:bCs w:val="1"/>
                <w:color w:val="auto"/>
              </w:rPr>
              <w:t>Fiscal Year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jc w:val="center"/>
              <w:ind w:right="183"/>
              <w:spacing w:after="0" w:line="88" w:lineRule="exact"/>
              <w:rPr>
                <w:sz w:val="20"/>
                <w:szCs w:val="20"/>
                <w:color w:val="auto"/>
              </w:rPr>
            </w:pPr>
            <w:r>
              <w:rPr>
                <w:rFonts w:ascii="Arial" w:cs="Arial" w:eastAsia="Arial" w:hAnsi="Arial"/>
                <w:sz w:val="10"/>
                <w:szCs w:val="10"/>
                <w:b w:val="1"/>
                <w:bCs w:val="1"/>
                <w:color w:val="auto"/>
              </w:rPr>
              <w:t>Costs Incurred</w:t>
            </w:r>
          </w:p>
        </w:tc>
        <w:tc>
          <w:tcPr>
            <w:tcW w:w="0" w:type="dxa"/>
            <w:vAlign w:val="bottom"/>
          </w:tcPr>
          <w:p>
            <w:pPr>
              <w:spacing w:after="0"/>
              <w:rPr>
                <w:sz w:val="1"/>
                <w:szCs w:val="1"/>
                <w:color w:val="auto"/>
              </w:rPr>
            </w:pPr>
          </w:p>
        </w:tc>
      </w:tr>
      <w:tr>
        <w:trPr>
          <w:trHeight w:val="146"/>
        </w:trPr>
        <w:tc>
          <w:tcPr>
            <w:tcW w:w="60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July 1, 2011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July 2, 2010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(Completed in Q4 Fiscal</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260" w:type="dxa"/>
            <w:vAlign w:val="bottom"/>
            <w:tcBorders>
              <w:bottom w:val="single" w:sz="8" w:color="CCEEFF"/>
            </w:tcBorders>
            <w:shd w:val="clear" w:color="auto" w:fill="CCEEFF"/>
          </w:tcPr>
          <w:p>
            <w:pPr>
              <w:jc w:val="right"/>
              <w:ind w:right="10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604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2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2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2009 Plan</w:t>
            </w:r>
          </w:p>
        </w:tc>
        <w:tc>
          <w:tcPr>
            <w:tcW w:w="1260" w:type="dxa"/>
            <w:vAlign w:val="bottom"/>
            <w:tcBorders>
              <w:bottom w:val="single" w:sz="8" w:color="CCEEFF"/>
            </w:tcBorders>
            <w:shd w:val="clear" w:color="auto" w:fill="CCEEFF"/>
          </w:tcPr>
          <w:p>
            <w:pPr>
              <w:jc w:val="right"/>
              <w:ind w:right="10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fiscal 2011, the restructuring activities related to the Fiscal 2009 Plan primarily consisted of outsourcing our San Antonio manufacturing operations to a third party in Austin, Texas. The restructuring charges primarily consisted of the severance and benefits charges for reductions in force in our San Antonio manufacturing facilities and costs related to facility lease obligation adjustments.</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During fiscal 2010, severance and benefits costs incurred primarily related to reductions in force and relocation of employees in the U.S., France, Canada and other locations throughout the world. Charges totaling $2.0 million in facility lease obligation impairments primarily related to facilities occupied in San Jose, California prior the relocation to our new corporate headquarters in Santa Clara, California.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in the following table summarizes our restructuring activities during fiscal 2012, 2011 and 2010 and restructuring liability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29, 2012: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Severance and</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Facilities and</w:t>
            </w:r>
          </w:p>
        </w:tc>
        <w:tc>
          <w:tcPr>
            <w:tcW w:w="380" w:type="dxa"/>
            <w:vAlign w:val="bottom"/>
          </w:tcPr>
          <w:p>
            <w:pPr>
              <w:spacing w:after="0"/>
              <w:rPr>
                <w:sz w:val="14"/>
                <w:szCs w:val="14"/>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Benefits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July 3, 2009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related to Fiscal 2009 Plan</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Restructuring liability as of July 2, 2010</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related to Fiscal 2011 Plan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related to Fiscal 2009 Plan</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Restructuring liability as of July 1, 2011</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related to Fiscal 2011 Plan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June 29,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portion of restructuring liability as of June 29, 2012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portion of restructuring liability as of June 29, 2012</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Programs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Equity Plan</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June 29, 2012, we had one stock incentive plan for our employees and outside directors, the 2007 Stock Equity Plan, as amended and restated effective November 17, 2011 (the “2007 Stock Plan”). The 2007 Stock Plan provides for accelerated vesting of certain share-based awards if there is a change in control. The 2007 Stock Plan provides for the issuance of share-based awards in the form of stock options, stock appreciation rights, restricted stock awards and units, and performance share awards and units.</w:t>
      </w:r>
    </w:p>
    <w:p>
      <w:pPr>
        <w:spacing w:after="0" w:line="13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Under the 2007 Stock Plan, option exercise prices are equal to the fair market value on the date the options are granted using our closing stock price. Options may be exercised for a period set at the time of grant, generally 7 years after the date of grant, and they generally vest in installments of 50% one year from the grant date and 25% each year thereafter, one-third annually over a three-year period from date of grant, or one-fourth annually over a four-year period from date of grant. Stock options are issued to directors annually and generally cliff vest (i.e. vest in full) one year from grant date.</w:t>
      </w:r>
    </w:p>
    <w:p>
      <w:pPr>
        <w:spacing w:after="0" w:line="10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issued time-based restricted stocks under our various annual or long-term incentive programs ("AIP" or "LTIP"), as well as our global equity program ("GEP") which was implemented in fiscal 2012. Restricted stock is not transferable until vested and the restrictions lapse upon the achievement of continued employment or service over a specified time period. Restricted stock issued to employees generally vests one-third annually over a three year period from date of grant or cliff vests three years after grant date. Restricted stock is issued to directors annually and generally cliff vests one year from grant date.</w:t>
      </w:r>
    </w:p>
    <w:p>
      <w:pPr>
        <w:spacing w:after="0" w:line="1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issued performance shares under our AIP, LTIP and GEP, as well as our product development incentive programs (“PDIP”). Vestings of performance share awards under our AIP, LTIP or GEP are subject to financial performance criteria including meeting revenue, operating income, or cash flow targets for the periods as defined in the programs and continued employment at the end of the periods. Performance shares under our PDIPs were issued to employees related to several new product development projects and are vested upon achievement of the product development milestones as defined in the programs. The final determination of the number of performance shares vesting in respect of an award is determined by our board of directors, or a committee of our board.</w:t>
      </w:r>
    </w:p>
    <w:p>
      <w:pPr>
        <w:spacing w:after="0" w:line="13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Upon the exercise of stock options, vesting of restricted stock awards and units, or vesting of performance share awards and units, we issue new shares of our common stock to our employees. All awards which are cancelled prior to vesting or expire unexercised are returned to the share pool and made available for future awards. Shares of our common stock remaining available for future issuance under the 2007 Stock Plan totaled 6,597,515 as of June 29, 2012. Currently, we do not anticipate repurchasing shares to provide a source of shares for our rewards of share-based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Plan</w:t>
      </w:r>
    </w:p>
    <w:p>
      <w:pPr>
        <w:spacing w:after="0" w:line="9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assumed all of the former Stratex outstanding stock options as of January 26, 2007, as part of the Stratex acquisition. The outstanding former Stratex options became fully vested in fiscal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Under the Employee Stock Purchase Plan (“ESPP”), employees are entitled to purchase shares of our common stock at a 5% discount from the fair market value at the end of a three-month purchase period. As of June 29, 2012, 813,766 shares were reserved for future issuances under the ESPP. We issued 21,835 shares under the ESPP during fiscal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Compensations</w:t>
      </w:r>
    </w:p>
    <w:p>
      <w:pPr>
        <w:spacing w:after="0" w:line="9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Total compensation expense for share-based awards included in our consolidated statements of operations for fiscal 2012, 2011 and 2010 was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r>
      <w:tr>
        <w:trPr>
          <w:trHeight w:val="189"/>
        </w:trPr>
        <w:tc>
          <w:tcPr>
            <w:tcW w:w="778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By Expense Category:</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60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74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r>
      <w:tr>
        <w:trPr>
          <w:trHeight w:val="67"/>
        </w:trPr>
        <w:tc>
          <w:tcPr>
            <w:tcW w:w="4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60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156"/>
        </w:trPr>
        <w:tc>
          <w:tcPr>
            <w:tcW w:w="778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By Types of Award:</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Options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Performance shares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As of June 29, 2012, there was $6.1 million of total unrecognized compensation expense related to nonvested stock options and restricted stock awards and units granted under our 2007 Stock Equity Plan. This expense is expected to be recognized over a weighted-average period of 1.9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combined stock option activity under our equity plans during fiscal 2012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21"/>
                <w:szCs w:val="21"/>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as of July 1, 2011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3,784,911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2,955,710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(981,166)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(86,366)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June 29, 2012</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5,673,089</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as of June 29, 2012</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2,171,489</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Options vested and expected to vest as of June 29, 2012</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5,279,334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480" w:type="dxa"/>
            <w:vAlign w:val="bottom"/>
          </w:tcPr>
          <w:p>
            <w:pPr>
              <w:jc w:val="right"/>
              <w:ind w:right="2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The aggregate intrinsic value represents the total pre-tax intrinsic value or the aggregate difference between the closing price of our common stock on June 29, 2012 of $2.80 and the exercise price for in-the-money options that would have been received by the optionees if all options had been exercised on June 29, 2012. The options expected to vest are the result of applying the pre-vesting forfeiture rate assumptions to total outstanding options.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information related to our stock options is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778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each option grant under our 2007 Stock Equity Plan was estimated using the Black-Scholes option pricing model on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significant weighted average assumptions we used in the Black-Scholes valuation model is as follows: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Fiscal Year</w:t>
            </w:r>
          </w:p>
        </w:tc>
        <w:tc>
          <w:tcPr>
            <w:tcW w:w="1200" w:type="dxa"/>
            <w:vAlign w:val="bottom"/>
            <w:tcBorders>
              <w:bottom w:val="single" w:sz="8" w:color="auto"/>
            </w:tcBorders>
          </w:tcPr>
          <w:p>
            <w:pPr>
              <w:spacing w:after="0"/>
              <w:rPr>
                <w:sz w:val="16"/>
                <w:szCs w:val="16"/>
                <w:color w:val="auto"/>
              </w:rPr>
            </w:pPr>
          </w:p>
        </w:tc>
      </w:tr>
      <w:tr>
        <w:trPr>
          <w:trHeight w:val="264"/>
        </w:trPr>
        <w:tc>
          <w:tcPr>
            <w:tcW w:w="76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20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4.41</w:t>
            </w:r>
          </w:p>
        </w:tc>
      </w:tr>
    </w:tbl>
    <w:p>
      <w:pPr>
        <w:spacing w:after="0" w:line="175"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Expected volatility is based on a hybrid method of implied volatility for the expected term of the options from our stock price and a group of peer companies whose share prices are publicly available. The expected term of the options is calculated using the simplified method described in the SEC’s Staff Accounting Bulletins Topic 14.D.2. We use the simplified method because we do not have sufficient stock option exercise data and the types of employees that receive share option grants have been significantly changed due to the implementation of our 2012 global equity plan, under which we granted share-based awards to employees who are not eligible for the long-term incentive programs. The risk-free rate for the expected term of the option is based on the U.S. Treasury yield curve in effect at the time of grant. The expected dividend yield is zero because we have not historically paid dividends and have no intention to pay dividends.The following summarizes all of our stock options outstanding and exercisable as of June 29, 2012: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Options Outstanding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right"/>
              <w:ind w:right="817"/>
              <w:spacing w:after="0" w:line="153" w:lineRule="exact"/>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50"/>
        </w:trPr>
        <w:tc>
          <w:tcPr>
            <w:tcW w:w="35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6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5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700" w:type="dxa"/>
            <w:vAlign w:val="bottom"/>
            <w:gridSpan w:val="4"/>
            <w:vMerge w:val="restart"/>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14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Actual Range of Exercise Prices</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70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2"/>
              </w:rPr>
              <w:t>Exercisable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$1.72 — $2.11</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1,288,100</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$2.37 — $2.71</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1,506,681</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$2.97 — $5.97</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1,355,220</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925,523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$6.00 — $16.04</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1,370,723</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1,093,601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$16.27 — $24.60</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152,365</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21.32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152,365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$1.72 — $24.60</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5,673,089</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2,171,489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20"/>
              <w:spacing w:after="0"/>
              <w:rPr>
                <w:sz w:val="20"/>
                <w:szCs w:val="20"/>
                <w:color w:val="auto"/>
              </w:rPr>
            </w:pPr>
            <w:r>
              <w:rPr>
                <w:rFonts w:ascii="Arial" w:cs="Arial" w:eastAsia="Arial" w:hAnsi="Arial"/>
                <w:sz w:val="18"/>
                <w:szCs w:val="18"/>
                <w:b w:val="1"/>
                <w:bCs w:val="1"/>
                <w:i w:val="1"/>
                <w:iCs w:val="1"/>
                <w:color w:val="auto"/>
              </w:rPr>
              <w:t>Restricted Stock</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00" w:type="dxa"/>
            <w:vAlign w:val="bottom"/>
            <w:gridSpan w:val="10"/>
          </w:tcPr>
          <w:p>
            <w:pPr>
              <w:ind w:left="440"/>
              <w:spacing w:after="0"/>
              <w:rPr>
                <w:sz w:val="20"/>
                <w:szCs w:val="20"/>
                <w:color w:val="auto"/>
              </w:rPr>
            </w:pPr>
            <w:r>
              <w:rPr>
                <w:rFonts w:ascii="Arial" w:cs="Arial" w:eastAsia="Arial" w:hAnsi="Arial"/>
                <w:sz w:val="18"/>
                <w:szCs w:val="18"/>
                <w:color w:val="auto"/>
                <w:w w:val="90"/>
              </w:rPr>
              <w:t>A summary of the status of our restricted stock as of June 29, 2012 and changes during fiscal 2012 are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center"/>
              <w:ind w:right="275"/>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Restricted stock outstanding as of July 1, 2011</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732,120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1,029,686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(251,338)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(208,154)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Restricted stock outstanding as of June 29, 2012</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1,302,314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fair value of each restricted stock grant is based on the closing price of our common stock on the date of grant and is amortized to compensation expense over its vesting period. The total fair value of restricted stock that vested during fiscal 2012, 2011 and 2010 was $0.6 million, $0.7 million and $1.6 million,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status of our performance shares as of June 29, 2012 and changes during fiscal 2012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 outstanding as of July 1, 2011</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931,418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921,979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(122,485)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 due to target thresholds not achieved</w:t>
            </w:r>
          </w:p>
        </w:tc>
        <w:tc>
          <w:tcPr>
            <w:tcW w:w="1500" w:type="dxa"/>
            <w:vAlign w:val="bottom"/>
          </w:tcPr>
          <w:p>
            <w:pPr>
              <w:jc w:val="right"/>
              <w:spacing w:after="0"/>
              <w:rPr>
                <w:sz w:val="20"/>
                <w:szCs w:val="20"/>
                <w:color w:val="auto"/>
              </w:rPr>
            </w:pPr>
            <w:r>
              <w:rPr>
                <w:rFonts w:ascii="Arial" w:cs="Arial" w:eastAsia="Arial" w:hAnsi="Arial"/>
                <w:sz w:val="18"/>
                <w:szCs w:val="18"/>
                <w:color w:val="auto"/>
              </w:rPr>
              <w:t>(283,216)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due to terminations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(130,896)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Performance shares outstanding as of June 29, 2012</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1,316,800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fair value of each performance share is based on the closing price of our common stock on the date of grant and is amortized to compensation expense over its vesting period if achievement of the performance conditions is considered probable. Any previously recognized compensation cost would be reversed if the performance condition is not satisfied or if it is not probable that the performance conditions will be achieved.</w:t>
      </w:r>
    </w:p>
    <w:p>
      <w:pPr>
        <w:spacing w:after="0" w:line="93"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 total fair value of performance share awards that vested during fiscal 2012, 2011 and 2010 was $0.3 million, $1.2 million and $0.0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and Class B Common Stock</w:t>
      </w:r>
    </w:p>
    <w:p>
      <w:pPr>
        <w:spacing w:after="0" w:line="9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From the time we acquired Stratex Networks, Inc. (“Stratex”) on January 26, 2007, Harris owned 32,913,377 shares or 100% of our Class B Common Stock which approximated 56% of the total shares of our common stock. On May 27, 2009 Harris effected a spin-off, in the form of a taxable pro rata stock dividend, to its stockholders of all the shares of Harris Stratex owned by Harris. Harris stockholders received approximately 0.24 of a share of Harris Stratex Class A Common Stock for every share of Harris common stock they owned on the record date. The Class B Common Stock automatically converted to Class A Common Stock upon the spin-off event. Following the distribution, only Class A Common Stock was outstanding.</w:t>
      </w:r>
    </w:p>
    <w:p>
      <w:pPr>
        <w:spacing w:after="0" w:line="119"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Effective November 19, 2009, under a change to our certificate of incorporation approved by stockholders, all shares of our Class A common stock were reclassified on a one-to-one basis to shares of Common Stock without a class designation; we no longer have Class A or Class B common stock authorized, issued or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and Geographic Information</w:t>
      </w:r>
    </w:p>
    <w:p>
      <w:pPr>
        <w:spacing w:after="0" w:line="12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As of the third quarter of fiscal 2012, we were organized into two geographic segments: North America and International. During the fourth quarter of fiscal 2012, we re-evaluated our reportable segments primarily due to changes in our management, transition of our products to a common product platform across all geographies, streamlining of our business and substantial completion of our restructuring plan in fiscal 2012.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former geographic segments is not a determining factor in allocating resources and the CODM does not evaluate profitability below the level of the consolidated company.</w:t>
      </w:r>
    </w:p>
    <w:p>
      <w:pPr>
        <w:spacing w:after="0" w:line="3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2012, 2011 and 2010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174.8</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162.8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81.5</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452.1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465.5</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by country comprising more than 5% of our sales to unaffiliated customers for fiscal 2012, 2011 and 2010 are as follows: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Revenue</w:t>
            </w: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8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Fiscal 2012:</w:t>
            </w: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220"/>
              <w:spacing w:after="0"/>
              <w:rPr>
                <w:sz w:val="20"/>
                <w:szCs w:val="20"/>
                <w:color w:val="auto"/>
              </w:rPr>
            </w:pPr>
            <w:r>
              <w:rPr>
                <w:rFonts w:ascii="Arial" w:cs="Arial" w:eastAsia="Arial" w:hAnsi="Arial"/>
                <w:sz w:val="18"/>
                <w:szCs w:val="18"/>
                <w:color w:val="auto"/>
              </w:rPr>
              <w:t>Nigeria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Fiscal 2011:</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220"/>
              <w:spacing w:after="0"/>
              <w:rPr>
                <w:sz w:val="20"/>
                <w:szCs w:val="20"/>
                <w:color w:val="auto"/>
              </w:rPr>
            </w:pPr>
            <w:r>
              <w:rPr>
                <w:rFonts w:ascii="Arial" w:cs="Arial" w:eastAsia="Arial" w:hAnsi="Arial"/>
                <w:sz w:val="18"/>
                <w:szCs w:val="18"/>
                <w:color w:val="auto"/>
              </w:rPr>
              <w:t>Nigeria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2010:</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Nigeria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220"/>
              <w:spacing w:after="0"/>
              <w:rPr>
                <w:sz w:val="20"/>
                <w:szCs w:val="20"/>
                <w:color w:val="auto"/>
              </w:rPr>
            </w:pPr>
            <w:r>
              <w:rPr>
                <w:rFonts w:ascii="Arial" w:cs="Arial" w:eastAsia="Arial" w:hAnsi="Arial"/>
                <w:sz w:val="18"/>
                <w:szCs w:val="18"/>
                <w:color w:val="auto"/>
              </w:rPr>
              <w:t>Saudi Arabia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Long-lived assets consisted primarily of identifiable intangible assets and property, plant and equipment. Long-lived assets by location as of June 29, 2012 and July 1, 2011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9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2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from continuing operations before provision for (benefit from) income taxes during fiscal year 2012, 2011 and 2010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65"/>
        </w:trPr>
        <w:tc>
          <w:tcPr>
            <w:tcW w:w="10280" w:type="dxa"/>
            <w:vAlign w:val="bottom"/>
            <w:gridSpan w:val="7"/>
          </w:tcPr>
          <w:p>
            <w:pPr>
              <w:ind w:left="440"/>
              <w:spacing w:after="0"/>
              <w:rPr>
                <w:sz w:val="20"/>
                <w:szCs w:val="20"/>
                <w:color w:val="auto"/>
              </w:rPr>
            </w:pPr>
            <w:r>
              <w:rPr>
                <w:rFonts w:ascii="Arial" w:cs="Arial" w:eastAsia="Arial" w:hAnsi="Arial"/>
                <w:sz w:val="18"/>
                <w:szCs w:val="18"/>
                <w:color w:val="auto"/>
                <w:w w:val="97"/>
              </w:rPr>
              <w:t>Provision (benefit) for income taxes from continuing operations for fiscal year 2012, 2011 and 2010 are summarized as follows: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9"/>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provision:</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Deferred provision (benefit):</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provision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significant differences between the U.S. Federal statutory tax rate and our effective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tax rate from continuing operations for fiscal year 2012, 2011 and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124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taxes, net of U.S. Federal tax benefit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Goodwill impairment not deductible</w:t>
            </w:r>
          </w:p>
        </w:tc>
        <w:tc>
          <w:tcPr>
            <w:tcW w:w="124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rates less than the U.S. statutory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Dividend from foreign subsidiary</w:t>
            </w:r>
          </w:p>
        </w:tc>
        <w:tc>
          <w:tcPr>
            <w:tcW w:w="124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21"/>
                <w:szCs w:val="21"/>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7"/>
        </w:trPr>
        <w:tc>
          <w:tcPr>
            <w:tcW w:w="7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Branch Income/Withholding Taxes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Other</w:t>
            </w:r>
          </w:p>
        </w:tc>
        <w:tc>
          <w:tcPr>
            <w:tcW w:w="124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7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4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income tax expense from continuing operations for fiscal year 2012 was $1.5 million. The variation between our income tax expense from continuing operations and income tax benefit at the statutory rate of 35% on our pre-tax loss of $14.0 million was primarily attributable to losses in tax jurisdictions in which we cannot recognize a tax benefit. The tax expense for fiscal year 2012 of $1.5 million million was primarily attributable to profitable foreign entities for which we have accrued income taxes.</w:t>
      </w:r>
    </w:p>
    <w:p>
      <w:pPr>
        <w:spacing w:after="0" w:line="13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income tax expense from continuing operations for fiscal year 2011 was $14.1 million. The variation between our income tax expense from continuing operations of $14.1 million and income tax benefit at the statutory rate of 35% on our pre-tax loss of $44.7 million was primarily due to an $11.3 million increase in valuation allowance for Singapore deferred tax assets as of the beginning of fiscal 2011 and a $1.4 million foreign branch withholding tax accrual. The expense was partially offset by a valuation allowance release of $1.6 million on Mexico deferred tax assets as of the beginning of fiscal year 2011.</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June 29, 2012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July 1, 2011</w:t>
            </w:r>
          </w:p>
        </w:tc>
      </w:tr>
      <w:tr>
        <w:trPr>
          <w:trHeight w:val="264"/>
        </w:trPr>
        <w:tc>
          <w:tcPr>
            <w:tcW w:w="6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Non-Current</w:t>
            </w:r>
          </w:p>
        </w:tc>
      </w:tr>
      <w:tr>
        <w:trPr>
          <w:trHeight w:val="196"/>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and reserves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Unrealized impairment loss</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Unrealized exchange gain/loss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Tax credit carryforwards</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loss carryforwards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r>
      <w:tr>
        <w:trPr>
          <w:trHeight w:val="237"/>
        </w:trPr>
        <w:tc>
          <w:tcPr>
            <w:tcW w:w="606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164.6</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Branch undistributed earnings reserve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37"/>
        </w:trPr>
        <w:tc>
          <w:tcPr>
            <w:tcW w:w="606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valuation allowance related to deferred income taxes, as reflected in our consolidated balance sheet, was $193.0 million as of June 29, 2012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$196.4 million as of July 1, 2011. The decrease in valuation allowance from fiscal 2011 to fiscal 2012 was primarily due to our release of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certain foreign jurisdiction's deferred tax assets.</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Tax loss and credit carryforwards as of June 29, 2012 have expiration dates ranging between one year and no expiration in certain instances. The amount of U.S. federal tax loss carryforwards as of June 29, 2012 and July 1, 2011 were $271.0 million and $249.7 million and begin to expire in fiscal 2022. Credit carryforwards as of June 29, 2012 and July 1, 2011 were $20.9 million and $20.3 million and certain credits began to expire in fiscal 2012. The amount of foreign tax loss carryforwards as of June 29, 2012 and July 1, 2011 was $143.0 million and $163.9 million, respectively.</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established our international headquarters in Singapore and received a five year favorable tax ruling resulting from an application filed by us with the Singapore Economic Development Board (“EDB”) effective January 26, 2007. The tax incentive period ended on January 31, 2012. Due to the tax losses in Singapore, we did not realize any tax benefits in Singapore during fiscal year 2012.</w:t>
      </w:r>
    </w:p>
    <w:p>
      <w:pPr>
        <w:spacing w:after="0" w:line="12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United States income taxes have not been provided on basis differences in foreign subsidiaries of $6.3 million and $12.4 million as of June 29, 2012 and July 1, 2011, because of our intention to reinvest these earnings indefinitely. The residual U.S. tax liability, if such amounts were remitted, would be nominal.</w:t>
      </w:r>
    </w:p>
    <w:p>
      <w:pPr>
        <w:spacing w:after="0" w:line="127"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We entered into a tax sharing agreement with Harris Corporation effective on January 26, 2007, the date of the merger. The tax sharing agreement addresses, among other things, the settlement process associated with pre-merger tax liabilities and tax attributes that are attributable to the MCD business when it was a division of Harris Corporation. There was no settlement payments recorded in fiscal year 2012, 2011 or 2010.</w:t>
      </w:r>
    </w:p>
    <w:p>
      <w:pPr>
        <w:spacing w:after="0" w:line="1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w:t>
      </w:r>
    </w:p>
    <w:p>
      <w:pPr>
        <w:spacing w:after="0" w:line="127"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As of June 29, 2012 and July 1, 2011, we had a liability for unrecognized tax benefits of $13.4 million and $14.0 million for various federal, foreign, and state income tax matters. Unrecognized tax benefits decreased by $0.6 million. Our total unrecognized tax benefits that, if recognized, would affect our effective tax rate were $4.2 million as of both June 29,2012 and July 1, 2011.</w:t>
      </w:r>
    </w:p>
    <w:p>
      <w:pPr>
        <w:spacing w:after="0" w:line="12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income taxes. We did not accrue an additional amount for such interest as of June 29, 2012 and July 1, 2011. No penalties have been accrued.</w:t>
      </w:r>
    </w:p>
    <w:p>
      <w:pPr>
        <w:spacing w:after="0" w:line="11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expect that the amount of unrecognized tax benefit may change in the next twelve months. We believe that we have adequately provided for any reasonably foreseeable outcomes related to our tax audits.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unrecognized tax benefit activity for fiscal 2012, 2011 and 2010 is as follows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July 3, 2009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2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9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7"/>
        </w:trPr>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July 2, 2010</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w:t>
            </w:r>
          </w:p>
        </w:tc>
      </w:tr>
      <w:tr>
        <w:trPr>
          <w:trHeight w:val="27"/>
        </w:trPr>
        <w:tc>
          <w:tcPr>
            <w:tcW w:w="9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9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July 1, 2011</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2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June 29, 2012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r>
      <w:tr>
        <w:trPr>
          <w:trHeight w:val="20"/>
        </w:trPr>
        <w:tc>
          <w:tcPr>
            <w:tcW w:w="9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still open and subject to potential audits for these jurisdictions are as follows: U.S. —2003; Singapore — 2005; Nigeria — 2004;</w:t>
      </w:r>
    </w:p>
    <w:p>
      <w:pPr>
        <w:spacing w:after="0" w:line="141" w:lineRule="exact"/>
        <w:rPr>
          <w:sz w:val="20"/>
          <w:szCs w:val="20"/>
          <w:color w:val="auto"/>
        </w:rPr>
      </w:pPr>
    </w:p>
    <w:p>
      <w:pPr>
        <w:jc w:val="both"/>
        <w:ind w:right="60" w:firstLine="432"/>
        <w:spacing w:after="0" w:line="299" w:lineRule="auto"/>
        <w:rPr>
          <w:sz w:val="20"/>
          <w:szCs w:val="20"/>
          <w:color w:val="auto"/>
        </w:rPr>
      </w:pPr>
      <w:r>
        <w:rPr>
          <w:rFonts w:ascii="Arial" w:cs="Arial" w:eastAsia="Arial" w:hAnsi="Arial"/>
          <w:sz w:val="16"/>
          <w:szCs w:val="16"/>
          <w:color w:val="auto"/>
        </w:rPr>
        <w:t>In fiscal year 2011, our Nigerian entity was notified that it was being audited for fiscal year 2004 through 2009 by the Federal Inland Revenue Service. During fiscal year 2012, the audit is still in the preliminary stage and we are working with the Federal Inland Revenue Service on responses to its inquires. In the current year, the Inland Revenue Authority of Singapore started a compliance review of our Singapore subsidiary for fiscal year 2007 through 2009.</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 and Hedging Activities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 We use currency forward contracts to hedge exposures related to certain forecasted foreign currency transactions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product costs, operating expenses and intercompany transactions. As of June 29, 2012, hedged transactions included our customer and intercompany backlog and outstanding purchase commitments denominated primarily in the Australian dollar, Euro, Polish zloty and South Africa rand. These derivatives are designated as cash flow hedges and typically have maturities from one to three months with a maximum of six months, which in general closely match the underlying forecasted transaction in duration.</w:t>
      </w:r>
    </w:p>
    <w:p>
      <w:pPr>
        <w:spacing w:after="0" w:line="13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 occur, or it becomes probable that it will not occur, the gain or loss on the related cash flow hedge is recognized immediately in cost of product sales.</w:t>
      </w:r>
    </w:p>
    <w:p>
      <w:pPr>
        <w:spacing w:after="0" w:line="12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of June 29, 2012, it is expected that less than $0.1 million of derivative net loss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depend on the exchange rates in effect when currently outstanding derivative contracts mature.</w:t>
      </w:r>
    </w:p>
    <w:p>
      <w:pPr>
        <w:spacing w:after="0" w:line="13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Balance Sheet Hedges</w:t>
      </w:r>
      <w:r>
        <w:rPr>
          <w:rFonts w:ascii="Arial" w:cs="Arial" w:eastAsia="Arial" w:hAnsi="Arial"/>
          <w:sz w:val="16"/>
          <w:szCs w:val="16"/>
          <w:color w:val="auto"/>
        </w:rPr>
        <w:t>. We also use foreign exchange forward contracts to mitigate the gains and losses generated from the re-measurement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assets and liabilities denominated in a foreign currency, including primarily cash balances, third party accounts receivable and accounts payable, and intercompany transactions recorded on the balance sheet. These derivatives are not designated and do not qualify as hedge instruments and accordingly are carried at fair value with changes recorded in the cost of product sales in current period. Changes in the fair value of these derivatives are largely offset by re-measurement of the underlying assets and liabilities. These derivatives have maturities of approximately one month.</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following table presents the gross notional value of all our foreign exchange forward contracts outstanding as of June 29, 2012 and July 1, 2011: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June 29, 2012</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6"/>
              </w:rPr>
              <w:t>July 1, 2011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3"/>
            <w:vMerge w:val="restart"/>
          </w:tcPr>
          <w:p>
            <w:pPr>
              <w:jc w:val="center"/>
              <w:ind w:right="299"/>
              <w:spacing w:after="0"/>
              <w:rPr>
                <w:sz w:val="20"/>
                <w:szCs w:val="20"/>
                <w:color w:val="auto"/>
              </w:rPr>
            </w:pPr>
            <w:r>
              <w:rPr>
                <w:rFonts w:ascii="Arial" w:cs="Arial" w:eastAsia="Arial" w:hAnsi="Arial"/>
                <w:sz w:val="14"/>
                <w:szCs w:val="14"/>
                <w:b w:val="1"/>
                <w:bCs w:val="1"/>
                <w:color w:val="auto"/>
                <w:w w:val="92"/>
              </w:rPr>
              <w:t>Local</w:t>
            </w:r>
          </w:p>
        </w:tc>
        <w:tc>
          <w:tcPr>
            <w:tcW w:w="120" w:type="dxa"/>
            <w:vAlign w:val="bottom"/>
          </w:tcPr>
          <w:p>
            <w:pPr>
              <w:spacing w:after="0"/>
              <w:rPr>
                <w:sz w:val="13"/>
                <w:szCs w:val="13"/>
                <w:color w:val="auto"/>
              </w:rPr>
            </w:pPr>
          </w:p>
        </w:tc>
        <w:tc>
          <w:tcPr>
            <w:tcW w:w="112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2"/>
              </w:rPr>
              <w:t>Notional</w:t>
            </w:r>
          </w:p>
        </w:tc>
        <w:tc>
          <w:tcPr>
            <w:tcW w:w="120" w:type="dxa"/>
            <w:vAlign w:val="bottom"/>
          </w:tcPr>
          <w:p>
            <w:pPr>
              <w:spacing w:after="0"/>
              <w:rPr>
                <w:sz w:val="13"/>
                <w:szCs w:val="13"/>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Local</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Notional</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Contract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ind w:left="282"/>
              <w:spacing w:after="0"/>
              <w:rPr>
                <w:sz w:val="20"/>
                <w:szCs w:val="20"/>
                <w:color w:val="auto"/>
              </w:rPr>
            </w:pPr>
            <w:r>
              <w:rPr>
                <w:rFonts w:ascii="Arial" w:cs="Arial" w:eastAsia="Arial" w:hAnsi="Arial"/>
                <w:sz w:val="14"/>
                <w:szCs w:val="14"/>
                <w:b w:val="1"/>
                <w:bCs w:val="1"/>
                <w:color w:val="auto"/>
              </w:rPr>
              <w:t>(USD)</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7"/>
              </w:rPr>
              <w:t>(USD)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Australian dollar</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center"/>
              <w:ind w:right="36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Euro</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40"/>
              <w:spacing w:after="0"/>
              <w:rPr>
                <w:sz w:val="20"/>
                <w:szCs w:val="20"/>
                <w:color w:val="auto"/>
              </w:rPr>
            </w:pPr>
            <w:r>
              <w:rPr>
                <w:rFonts w:ascii="Arial" w:cs="Arial" w:eastAsia="Arial" w:hAnsi="Arial"/>
                <w:sz w:val="18"/>
                <w:szCs w:val="18"/>
                <w:color w:val="auto"/>
              </w:rPr>
              <w:t>Polish zloty</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Republic of South Africa rand</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flow hedges</w:t>
            </w:r>
          </w:p>
        </w:tc>
        <w:tc>
          <w:tcPr>
            <w:tcW w:w="4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Balance sheet hedges: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Australian dollar</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Canadian dollar</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Philippine peso</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181.1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Polish zloty</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Singapore dollar</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Thailand baht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Republic of South Africa rand</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720"/>
              <w:spacing w:after="0"/>
              <w:rPr>
                <w:sz w:val="20"/>
                <w:szCs w:val="20"/>
                <w:color w:val="auto"/>
              </w:rPr>
            </w:pPr>
            <w:r>
              <w:rPr>
                <w:rFonts w:ascii="Arial" w:cs="Arial" w:eastAsia="Arial" w:hAnsi="Arial"/>
                <w:sz w:val="18"/>
                <w:szCs w:val="18"/>
                <w:color w:val="auto"/>
              </w:rPr>
              <w:t>Total non-designated hedges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5"/>
              </w:rPr>
              <w:t>26.1</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52.1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center"/>
              <w:ind w:right="482"/>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38.3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11420" w:type="dxa"/>
            <w:vAlign w:val="bottom"/>
            <w:gridSpan w:val="25"/>
          </w:tcPr>
          <w:p>
            <w:pPr>
              <w:ind w:left="440"/>
              <w:spacing w:after="0"/>
              <w:rPr>
                <w:sz w:val="20"/>
                <w:szCs w:val="20"/>
                <w:color w:val="auto"/>
              </w:rPr>
            </w:pPr>
            <w:r>
              <w:rPr>
                <w:rFonts w:ascii="Arial" w:cs="Arial" w:eastAsia="Arial" w:hAnsi="Arial"/>
                <w:sz w:val="18"/>
                <w:szCs w:val="18"/>
                <w:color w:val="auto"/>
                <w:w w:val="94"/>
              </w:rPr>
              <w:t>The following table presents the fair value of derivative instruments included within our consolidated balance sheet as of June 29, 2012 and July 1,</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2011:</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4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Asset Derivatives</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gridSpan w:val="3"/>
          </w:tcPr>
          <w:p>
            <w:pPr>
              <w:jc w:val="center"/>
              <w:ind w:left="174"/>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June 29,</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308"/>
              <w:spacing w:after="0" w:line="153" w:lineRule="exact"/>
              <w:rPr>
                <w:sz w:val="20"/>
                <w:szCs w:val="20"/>
                <w:color w:val="auto"/>
              </w:rPr>
            </w:pPr>
            <w:r>
              <w:rPr>
                <w:rFonts w:ascii="Arial" w:cs="Arial" w:eastAsia="Arial" w:hAnsi="Arial"/>
                <w:sz w:val="14"/>
                <w:szCs w:val="14"/>
                <w:b w:val="1"/>
                <w:bCs w:val="1"/>
                <w:color w:val="auto"/>
                <w:w w:val="91"/>
              </w:rPr>
              <w:t>July 1,</w:t>
            </w:r>
          </w:p>
        </w:tc>
        <w:tc>
          <w:tcPr>
            <w:tcW w:w="120" w:type="dxa"/>
            <w:vAlign w:val="bottom"/>
          </w:tcPr>
          <w:p>
            <w:pPr>
              <w:spacing w:after="0"/>
              <w:rPr>
                <w:sz w:val="13"/>
                <w:szCs w:val="13"/>
                <w:color w:val="auto"/>
              </w:rPr>
            </w:pPr>
          </w:p>
        </w:tc>
        <w:tc>
          <w:tcPr>
            <w:tcW w:w="1600" w:type="dxa"/>
            <w:vAlign w:val="bottom"/>
            <w:gridSpan w:val="6"/>
          </w:tcPr>
          <w:p>
            <w:pPr>
              <w:jc w:val="right"/>
              <w:ind w:right="500"/>
              <w:spacing w:after="0" w:line="153" w:lineRule="exact"/>
              <w:rPr>
                <w:sz w:val="20"/>
                <w:szCs w:val="20"/>
                <w:color w:val="auto"/>
              </w:rPr>
            </w:pPr>
            <w:r>
              <w:rPr>
                <w:rFonts w:ascii="Arial" w:cs="Arial" w:eastAsia="Arial" w:hAnsi="Arial"/>
                <w:sz w:val="14"/>
                <w:szCs w:val="14"/>
                <w:b w:val="1"/>
                <w:bCs w:val="1"/>
                <w:color w:val="auto"/>
              </w:rPr>
              <w:t>Balance Sheet</w:t>
            </w:r>
          </w:p>
        </w:tc>
        <w:tc>
          <w:tcPr>
            <w:tcW w:w="11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90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28"/>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282"/>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w w:val="99"/>
              </w:rPr>
              <w:t>Location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4"/>
              </w:rPr>
              <w:t>Derivatives designated as hedging instruments:</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Other current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6"/>
          </w:tcPr>
          <w:p>
            <w:pPr>
              <w:ind w:left="20"/>
              <w:spacing w:after="0"/>
              <w:rPr>
                <w:sz w:val="20"/>
                <w:szCs w:val="20"/>
                <w:color w:val="auto"/>
              </w:rPr>
            </w:pPr>
            <w:r>
              <w:rPr>
                <w:rFonts w:ascii="Arial" w:cs="Arial" w:eastAsia="Arial" w:hAnsi="Arial"/>
                <w:sz w:val="18"/>
                <w:szCs w:val="18"/>
                <w:color w:val="auto"/>
              </w:rPr>
              <w:t>Other accrued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0"/>
              </w:rPr>
              <w:t>assets</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gridSpan w:val="3"/>
            <w:vMerge w:val="restart"/>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2"/>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0"/>
                <w:szCs w:val="10"/>
                <w:color w:val="auto"/>
              </w:rPr>
            </w:pPr>
          </w:p>
        </w:tc>
        <w:tc>
          <w:tcPr>
            <w:tcW w:w="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8"/>
                <w:szCs w:val="18"/>
                <w:color w:val="auto"/>
                <w:w w:val="85"/>
              </w:rPr>
              <w:t>expenses</w:t>
            </w: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6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Other current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6"/>
          </w:tcPr>
          <w:p>
            <w:pPr>
              <w:ind w:left="20"/>
              <w:spacing w:after="0"/>
              <w:rPr>
                <w:sz w:val="20"/>
                <w:szCs w:val="20"/>
                <w:color w:val="auto"/>
              </w:rPr>
            </w:pPr>
            <w:r>
              <w:rPr>
                <w:rFonts w:ascii="Arial" w:cs="Arial" w:eastAsia="Arial" w:hAnsi="Arial"/>
                <w:sz w:val="18"/>
                <w:szCs w:val="18"/>
                <w:color w:val="auto"/>
              </w:rPr>
              <w:t>Other accrued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0"/>
              </w:rPr>
              <w:t>assets</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8"/>
                <w:szCs w:val="18"/>
                <w:color w:val="auto"/>
                <w:w w:val="85"/>
              </w:rPr>
              <w:t>expenses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0"/>
                <w:szCs w:val="10"/>
                <w:color w:val="auto"/>
              </w:rPr>
            </w:pPr>
          </w:p>
        </w:tc>
        <w:tc>
          <w:tcPr>
            <w:tcW w:w="90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4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summarizes the location and amount of the gains and losses on derivative instruments reported in our financial statements during fiscal 2012, 2011 and 2010: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23495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Locations of Gains (Losses) on Derivative Instruments</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2010</w:t>
            </w:r>
          </w:p>
        </w:tc>
      </w:tr>
    </w:tbl>
    <w:p>
      <w:pPr>
        <w:spacing w:after="0" w:line="58"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062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6235" cy="1714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as cash flow hedges (foreign exchange forward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40"/>
              <w:spacing w:after="0"/>
              <w:rPr>
                <w:sz w:val="20"/>
                <w:szCs w:val="20"/>
                <w:color w:val="auto"/>
              </w:rPr>
            </w:pPr>
            <w:r>
              <w:rPr>
                <w:rFonts w:ascii="Arial" w:cs="Arial" w:eastAsia="Arial" w:hAnsi="Arial"/>
                <w:sz w:val="18"/>
                <w:szCs w:val="18"/>
                <w:color w:val="auto"/>
              </w:rPr>
              <w:t>Effective portion of gain (loss) recognized in OCI</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portion of gain (loss) reclassified from AOCI into:</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Loss associated with excluded time value recognized in cost of product sales</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due to hedge ineffectiveness recognized in cost of product sales</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420" w:type="dxa"/>
            <w:vAlign w:val="bottom"/>
          </w:tcPr>
          <w:p>
            <w:pPr>
              <w:spacing w:after="0"/>
              <w:rPr>
                <w:sz w:val="20"/>
                <w:szCs w:val="20"/>
                <w:color w:val="auto"/>
              </w:rPr>
            </w:pPr>
            <w:r>
              <w:rPr>
                <w:rFonts w:ascii="Arial" w:cs="Arial" w:eastAsia="Arial" w:hAnsi="Arial"/>
                <w:sz w:val="18"/>
                <w:szCs w:val="18"/>
                <w:b w:val="1"/>
                <w:bCs w:val="1"/>
                <w:color w:val="auto"/>
              </w:rPr>
              <w:t>Not designated as cash flow hedges (foreign exchange forward contracts):</w:t>
            </w: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in cost of product sales</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for financial institutions providing foreign currency exchange services in accordance with corporate policy. As a result of the above considerations, we consider the risk of counterparty default to be immaterial.</w:t>
      </w:r>
    </w:p>
    <w:p>
      <w:pPr>
        <w:spacing w:after="0" w:line="124"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The credit facilities we have with financial institutions under which we transact foreign exchange transactions are generally restricted to a total notional amount outstanding, a maximum settlement amount in any one day and a maximum term. There are no formal written agreements supporting these facilities other than the financial institutions’ general terms and conditions for trading.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90"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June 29, 2012, future minimum lease payments for our headquarters total $19.9 million through April 2020.</w:t>
      </w:r>
    </w:p>
    <w:p>
      <w:pPr>
        <w:spacing w:after="0" w:line="12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As of June 29, 2012, our future minimum commitments, net of $1.5 million future proceeds from non-cancelable subleases, for all non-cancelable operating leases with an initial lease term in excess of one year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8.0</w:t>
            </w:r>
          </w:p>
        </w:tc>
      </w:tr>
      <w:tr>
        <w:trPr>
          <w:trHeight w:val="27"/>
        </w:trPr>
        <w:tc>
          <w:tcPr>
            <w:tcW w:w="9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r>
      <w:tr>
        <w:trPr>
          <w:trHeight w:val="20"/>
        </w:trPr>
        <w:tc>
          <w:tcPr>
            <w:tcW w:w="9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$9.3 million, $11.1 million and $12.7 million in fiscal 2012, 2011 and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It is not our intent, nor is it reasonably likely, that we would cancel a purchase order that we have executed. Because these agreements do not specify fixed or minimum quantities, do not specify minimum or variable price provisions, and do not specify the approximate timing of the transaction, we have no basis to estimate any future liability under these agreements. As of June 29, 2012, we had purchase obligations with our suppliers or contract manufacturers of $44.9 million outstanding.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90"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June 29, 2012, we had no guarantees applicable to our debt arrangements.</w:t>
      </w:r>
    </w:p>
    <w:p>
      <w:pPr>
        <w:spacing w:after="0" w:line="3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June 29, 2012, we had commercial commitments of $88.7 million outstanding that were not recorded on our consolidated balance sheets as we have not historically had to pay out on the performance guarantees.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To date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June 29, 2012, we had not recorded any liabilities related to these indemnifications.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of our former executive officers and directors were named in a complaint filed on July 18, 2011 in the United States District Court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District of Delaware by plaintiff Howard Taylor. Plaintiff purports to bring this action derivatively on behalf of Aviat Networks, which is named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defendant. Plaintiff brings a claim for breach of fiduciary duty against the officer and director defendants based on the allegations of securities law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violations alleged in the class action described above and also alleges that the defendants caused us to acquire MCD at an inflated price. Plaintiff seeks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recover unspecified damages and other relief on behalf of Aviat Networks, as well as payment of costs and attorneys fees. We filed a motion to dismiss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3, 2011 and are waiting for the court decision following the hearing on our motion to dismiss which was held on June 4, 2012. We intend to defend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interests in the litigation vigorously. Currently we are unable to determine whether a loss is probable or to reasonably estimate the loss amount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matter.</w:t>
      </w:r>
    </w:p>
    <w:p>
      <w:pPr>
        <w:spacing w:after="0" w:line="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have unresolved legal and tax matters, as discussed further in “Note 12. Income Taxes” and in this note. We record a loss contingency as a charge to operations when (i) it is probable that an asset has been impaired or a liability has been incurred at the date of the financial statements; and (ii) the amount of the loss can be reasonably estimated. Disclosure in the notes to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7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Quarterly Financial Data (Unaudited)</w:t>
      </w:r>
    </w:p>
    <w:p>
      <w:pPr>
        <w:spacing w:after="0" w:line="9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Summarized quarterly data for fiscal 2012 and 2011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Q1</w:t>
            </w:r>
          </w:p>
        </w:tc>
        <w:tc>
          <w:tcPr>
            <w:tcW w:w="18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Q2</w:t>
            </w:r>
          </w:p>
        </w:tc>
        <w:tc>
          <w:tcPr>
            <w:tcW w:w="280" w:type="dxa"/>
            <w:vAlign w:val="bottom"/>
          </w:tcPr>
          <w:p>
            <w:pPr>
              <w:spacing w:after="0"/>
              <w:rPr>
                <w:sz w:val="14"/>
                <w:szCs w:val="14"/>
                <w:color w:val="auto"/>
              </w:rPr>
            </w:pPr>
          </w:p>
        </w:tc>
        <w:tc>
          <w:tcPr>
            <w:tcW w:w="108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Q3</w:t>
            </w:r>
          </w:p>
        </w:tc>
        <w:tc>
          <w:tcPr>
            <w:tcW w:w="300" w:type="dxa"/>
            <w:vAlign w:val="bottom"/>
          </w:tcPr>
          <w:p>
            <w:pPr>
              <w:spacing w:after="0"/>
              <w:rPr>
                <w:sz w:val="14"/>
                <w:szCs w:val="1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3"/>
              </w:rPr>
              <w:t>9/30/2011</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12/30/2011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3"/>
              </w:rPr>
              <w:t>3/30/2012</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6/29/2012</w:t>
            </w:r>
          </w:p>
        </w:tc>
      </w:tr>
      <w:tr>
        <w:trPr>
          <w:trHeight w:val="196"/>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2012</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111.4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105.0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111.6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116.0</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31.9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Per share data:</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369"/>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Q1</w:t>
            </w:r>
          </w:p>
        </w:tc>
        <w:tc>
          <w:tcPr>
            <w:tcW w:w="180" w:type="dxa"/>
            <w:vAlign w:val="bottom"/>
          </w:tcPr>
          <w:p>
            <w:pPr>
              <w:spacing w:after="0"/>
              <w:rPr>
                <w:sz w:val="24"/>
                <w:szCs w:val="2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Q2</w:t>
            </w:r>
          </w:p>
        </w:tc>
        <w:tc>
          <w:tcPr>
            <w:tcW w:w="280" w:type="dxa"/>
            <w:vAlign w:val="bottom"/>
          </w:tcPr>
          <w:p>
            <w:pPr>
              <w:spacing w:after="0"/>
              <w:rPr>
                <w:sz w:val="24"/>
                <w:szCs w:val="24"/>
                <w:color w:val="auto"/>
              </w:rPr>
            </w:pPr>
          </w:p>
        </w:tc>
        <w:tc>
          <w:tcPr>
            <w:tcW w:w="108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Q3</w:t>
            </w:r>
          </w:p>
        </w:tc>
        <w:tc>
          <w:tcPr>
            <w:tcW w:w="300" w:type="dxa"/>
            <w:vAlign w:val="bottom"/>
          </w:tcPr>
          <w:p>
            <w:pPr>
              <w:spacing w:after="0"/>
              <w:rPr>
                <w:sz w:val="24"/>
                <w:szCs w:val="2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3"/>
              </w:rPr>
              <w:t>10/1/2010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12/31/2010</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4/1/2011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7/1/2011</w:t>
            </w:r>
          </w:p>
        </w:tc>
      </w:tr>
      <w:tr>
        <w:trPr>
          <w:trHeight w:val="196"/>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2011</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100.4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115.3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115.5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120.9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Per share data:</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6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60" w:firstLine="486"/>
        <w:spacing w:after="0" w:line="277" w:lineRule="auto"/>
        <w:rPr>
          <w:sz w:val="20"/>
          <w:szCs w:val="20"/>
          <w:color w:val="auto"/>
        </w:rPr>
      </w:pPr>
      <w:r>
        <w:rPr>
          <w:rFonts w:ascii="Arial" w:cs="Arial" w:eastAsia="Arial" w:hAnsi="Arial"/>
          <w:sz w:val="18"/>
          <w:szCs w:val="18"/>
          <w:color w:val="auto"/>
        </w:rPr>
        <w:t>The following tables summarize certain charges, expenses, gains and loss from discontinued operations included in our results of operations for each of the fiscal quarters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Q1</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Q2</w:t>
            </w:r>
          </w:p>
        </w:tc>
        <w:tc>
          <w:tcPr>
            <w:tcW w:w="34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14"/>
                <w:szCs w:val="14"/>
                <w:color w:val="auto"/>
              </w:rPr>
            </w:pPr>
          </w:p>
        </w:tc>
        <w:tc>
          <w:tcPr>
            <w:tcW w:w="1020" w:type="dxa"/>
            <w:vAlign w:val="bottom"/>
          </w:tcPr>
          <w:p>
            <w:pPr>
              <w:jc w:val="center"/>
              <w:ind w:right="153"/>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3"/>
              </w:rPr>
              <w:t>9/30/2011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1"/>
              </w:rPr>
              <w:t>12/30/2011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3"/>
              </w:rPr>
              <w:t>3/30/2012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3"/>
              </w:rPr>
              <w:t>6/29/2012</w:t>
            </w:r>
          </w:p>
        </w:tc>
      </w:tr>
      <w:tr>
        <w:trPr>
          <w:trHeight w:val="250"/>
        </w:trPr>
        <w:tc>
          <w:tcPr>
            <w:tcW w:w="6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Charges for product transition, product discontinuances and inventory mark-downs $</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purchased technology and intangible assets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NetBoss bad debt expenses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Transactional tax assessments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37"/>
        </w:trPr>
        <w:tc>
          <w:tcPr>
            <w:tcW w:w="60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r>
      <w:tr>
        <w:trPr>
          <w:trHeight w:val="67"/>
        </w:trPr>
        <w:tc>
          <w:tcPr>
            <w:tcW w:w="60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72"/>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Q1</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Q2</w:t>
            </w:r>
          </w:p>
        </w:tc>
        <w:tc>
          <w:tcPr>
            <w:tcW w:w="34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24"/>
                <w:szCs w:val="24"/>
                <w:color w:val="auto"/>
              </w:rPr>
            </w:pPr>
          </w:p>
        </w:tc>
        <w:tc>
          <w:tcPr>
            <w:tcW w:w="1020" w:type="dxa"/>
            <w:vAlign w:val="bottom"/>
          </w:tcPr>
          <w:p>
            <w:pPr>
              <w:jc w:val="center"/>
              <w:ind w:right="153"/>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3"/>
              </w:rPr>
              <w:t>10/1/2010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12/31/2010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1"/>
              </w:rPr>
              <w:t>4/1/2011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1"/>
              </w:rPr>
              <w:t>7/1/2011</w:t>
            </w:r>
          </w:p>
        </w:tc>
      </w:tr>
      <w:tr>
        <w:trPr>
          <w:trHeight w:val="250"/>
        </w:trPr>
        <w:tc>
          <w:tcPr>
            <w:tcW w:w="6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Charges for product transition, product discontinuances and inventory mark-downs $</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purchased technology and intangible assets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fair value adjustments related to fixed assets and inventory</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Rebranding and transitional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on sale of NetBoss assets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tax assessments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Liquidation of entities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(the “Exchange Act”)).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this evaluation, the Chief Executive Officer and Chief Financial Officer concluded that our disclosure controls and procedures were effective as of June 29,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Under the supervision and with the participation of management, including our Chief Executive Officer and Chief Financial Officer, management has assessed the effectiveness of the Company’s internal control over financial reporting based on the framework in Internal Control — Integrated Framework issued by the Committee of Sponsoring Organizations of the Treadway Commission.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June 29, 2012.</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financial statements included in this report has issued an attestation report on our internal control over financial reporting which appears in Item 8. Financial Statements and Supplementary Data in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with the Securities and Exchange Commission within 120 days after the end of our fiscal year ended June 29,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 xml:space="preserve">We adopted a Code of Conduct that is available at </w:t>
      </w:r>
      <w:r>
        <w:rPr>
          <w:rFonts w:ascii="Arial" w:cs="Arial" w:eastAsia="Arial" w:hAnsi="Arial"/>
          <w:sz w:val="18"/>
          <w:szCs w:val="18"/>
          <w:u w:val="single" w:color="auto"/>
          <w:color w:val="auto"/>
        </w:rPr>
        <w:t>www.aviatnetworks.com</w:t>
      </w:r>
      <w:r>
        <w:rPr>
          <w:rFonts w:ascii="Arial" w:cs="Arial" w:eastAsia="Arial" w:hAnsi="Arial"/>
          <w:sz w:val="18"/>
          <w:szCs w:val="18"/>
          <w:color w:val="auto"/>
        </w:rPr>
        <w:t>. No amendments to our Code of Business Ethics or waivers from our Code of Conduct with respect to any of our executive officers or directors have been made. If, in the future, we amend our Code of Conduct or grant waivers from our Code of Conduct with respect to any of our executive officers or directors, we will make information regarding such amendments or waivers available on our corporate website (</w:t>
      </w:r>
      <w:r>
        <w:rPr>
          <w:rFonts w:ascii="Arial" w:cs="Arial" w:eastAsia="Arial" w:hAnsi="Arial"/>
          <w:sz w:val="18"/>
          <w:szCs w:val="18"/>
          <w:u w:val="single" w:color="auto"/>
          <w:color w:val="auto"/>
        </w:rPr>
        <w:t>www.aviatnetworks.com</w:t>
      </w:r>
      <w:r>
        <w:rPr>
          <w:rFonts w:ascii="Arial" w:cs="Arial" w:eastAsia="Arial" w:hAnsi="Arial"/>
          <w:sz w:val="18"/>
          <w:szCs w:val="18"/>
          <w:color w:val="auto"/>
        </w:rPr>
        <w:t>) for a period of at least 12 months.</w:t>
      </w:r>
    </w:p>
    <w:p>
      <w:pPr>
        <w:spacing w:after="0" w:line="133"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For information with respect to Executive Officers, see Part I, Item 1 of this Annual Report on Form 10-K, under “Executive Officers of the Registrant.”</w:t>
      </w:r>
    </w:p>
    <w:p>
      <w:pPr>
        <w:spacing w:after="0" w:line="1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Information regarding our directors and compliance with Section 16(a) of the Securities and Exchange Act of 1934, as amended, by our directors and executive officers will appear in our definitive Proxy Statement for our 2012 Annual Meeting of Stockholders to be held on or about November 13, 2012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Information regarding our executive compensation will appear in our definitive Proxy Statement for our 2012 Annual Meeting of Stockholders to be held on or about November 13, 2012 and is incorporated herein by reference.</w:t>
      </w:r>
    </w:p>
    <w:p>
      <w:pPr>
        <w:spacing w:after="0" w:line="166" w:lineRule="exact"/>
        <w:rPr>
          <w:sz w:val="20"/>
          <w:szCs w:val="20"/>
          <w:color w:val="auto"/>
        </w:rPr>
      </w:pPr>
    </w:p>
    <w:p>
      <w:pPr>
        <w:ind w:right="3200"/>
        <w:spacing w:after="0" w:line="346"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Equity Compensation Plan Summary</w:t>
      </w:r>
    </w:p>
    <w:p>
      <w:pPr>
        <w:spacing w:after="0" w:line="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following table provides information as of June 29, 2012, relating to our equity compensation plan pursuant to which grants of options, restricted stock and performance shares may be granted from time to time and the option plans and agreements assumed by us in connection with the Stratex acquisition: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Securities to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Further Issuance Under</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Options and Vesting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Restricted Stock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Performance Shares(1)</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Outstanding Options(2)</w:t>
            </w:r>
          </w:p>
        </w:tc>
        <w:tc>
          <w:tcPr>
            <w:tcW w:w="12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the First Column)</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 approved by security holders(3)</w:t>
            </w:r>
          </w:p>
        </w:tc>
        <w:tc>
          <w:tcPr>
            <w:tcW w:w="2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5,775,642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6,597,515</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holders(4)</w:t>
            </w:r>
          </w:p>
        </w:tc>
        <w:tc>
          <w:tcPr>
            <w:tcW w:w="2020" w:type="dxa"/>
            <w:vAlign w:val="bottom"/>
          </w:tcPr>
          <w:p>
            <w:pPr>
              <w:jc w:val="right"/>
              <w:ind w:right="21"/>
              <w:spacing w:after="0"/>
              <w:rPr>
                <w:sz w:val="20"/>
                <w:szCs w:val="20"/>
                <w:color w:val="auto"/>
              </w:rPr>
            </w:pPr>
            <w:r>
              <w:rPr>
                <w:rFonts w:ascii="Arial" w:cs="Arial" w:eastAsia="Arial" w:hAnsi="Arial"/>
                <w:sz w:val="18"/>
                <w:szCs w:val="18"/>
                <w:color w:val="auto"/>
              </w:rPr>
              <w:t>441,121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1"/>
                <w:szCs w:val="21"/>
                <w:color w:val="auto"/>
              </w:rPr>
            </w:pPr>
          </w:p>
        </w:tc>
        <w:tc>
          <w:tcPr>
            <w:tcW w:w="21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6,216,763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6,597,515</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w:t>
            </w: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the 2007 Stock Equity Plan, in addition to options, we have granted share-based compensation awards in the form of performance shares, restricted stock, performance share units and restricted stock units. As of June 29, 2012, there were 2,619,064 such awards outstanding under that plan. The outstanding awards consisted of (i) performance share awards at target and restricted stock awards, for which all 2,075,390 shares were issued and outstanding; and (ii) 543,674 performance share unit awards at target and restricted stock unit awards, for which all 543,674 were payable in shares but for which no shares were yet issued and outstanding. The 5,775,642 shares to be issued upon exercise of outstanding options and vesting of restricted stock units and performance share units as listed in the first column consisted of shares to be issued in respect of the exercise of 5,231,968 outstanding options and in respect of the 543,674 performance share unit awards and restricted stock units awards payable in shares.</w:t>
      </w:r>
    </w:p>
    <w:p>
      <w:pPr>
        <w:spacing w:after="0" w:line="4" w:lineRule="exact"/>
        <w:rPr>
          <w:rFonts w:ascii="Arial" w:cs="Arial" w:eastAsia="Arial" w:hAnsi="Arial"/>
          <w:sz w:val="16"/>
          <w:szCs w:val="16"/>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weighted average fair value of restricted stock units and performance share units at issuance date.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solely of our 2007 Stock Equity Plan, as amended and restated effective November 17, 2011.</w:t>
      </w:r>
    </w:p>
    <w:p>
      <w:pPr>
        <w:spacing w:after="0" w:line="9"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common stock that may be issued pursuant to option plans and agreements assumed pursuant to the Stratex acquisition. The Stratex plans were duly approved by the stockholders of Stratex prior to the merger with us. No shares are available for further issuance.</w:t>
      </w:r>
    </w:p>
    <w:p>
      <w:pPr>
        <w:ind w:left="660" w:right="620" w:hanging="652"/>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further information on our equity compensation plans see “Note 1. The Company and Summary of Significant Accounting Policies” and “Note 10. Stockholders’ Equity” in the notes to consolidated financial statements included in Item 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other information required by this item will appear in our definitive Proxy Statement for our 2012 Annual Meeting of Stockholders to be held on or about November 13, 2012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Information regarding certain relationships and related transactions, and director independence will appear under “Transactions with Related Persons” and “Corporate Governance” in our definitive Proxy Statement for our 2012 Annual Meeting of Stockholders to be held on or about November 13, 2012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Information regarding our principal accountant fees and services will appear in our definitive Proxy Statement for our 2012 Annual Meeting of Stockholders to be held on or about November 13, 2012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of Aviat Networks, Inc. are set forth in Item 8 of this Annual Report on Form 10-K.</w:t>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 for the three fiscal years ended June 29, 2012</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p>
      <w:pPr>
        <w:spacing w:after="0" w:line="34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1"/>
              </w:rPr>
              <w:t>Ex. #</w:t>
            </w: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85"/>
        </w:trPr>
        <w:tc>
          <w:tcPr>
            <w:tcW w:w="500" w:type="dxa"/>
            <w:vAlign w:val="bottom"/>
            <w:gridSpan w:val="2"/>
          </w:tcPr>
          <w:p>
            <w:pPr>
              <w:jc w:val="right"/>
              <w:ind w:right="208"/>
              <w:spacing w:after="0"/>
              <w:rPr>
                <w:sz w:val="20"/>
                <w:szCs w:val="20"/>
                <w:color w:val="auto"/>
              </w:rPr>
            </w:pPr>
            <w:r>
              <w:rPr>
                <w:rFonts w:ascii="Arial" w:cs="Arial" w:eastAsia="Arial" w:hAnsi="Arial"/>
                <w:sz w:val="18"/>
                <w:szCs w:val="18"/>
                <w:color w:val="auto"/>
                <w:w w:val="79"/>
              </w:rPr>
              <w:t>2.1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500" w:type="dxa"/>
            <w:vAlign w:val="bottom"/>
            <w:gridSpan w:val="2"/>
          </w:tcPr>
          <w:p>
            <w:pPr>
              <w:jc w:val="right"/>
              <w:ind w:right="208"/>
              <w:spacing w:after="0"/>
              <w:rPr>
                <w:sz w:val="20"/>
                <w:szCs w:val="20"/>
                <w:color w:val="auto"/>
              </w:rPr>
            </w:pPr>
            <w:r>
              <w:rPr>
                <w:rFonts w:ascii="Arial" w:cs="Arial" w:eastAsia="Arial" w:hAnsi="Arial"/>
                <w:sz w:val="18"/>
                <w:szCs w:val="18"/>
                <w:color w:val="auto"/>
                <w:w w:val="79"/>
              </w:rPr>
              <w:t>2.2</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500" w:type="dxa"/>
            <w:vAlign w:val="bottom"/>
            <w:gridSpan w:val="2"/>
          </w:tcPr>
          <w:p>
            <w:pPr>
              <w:jc w:val="right"/>
              <w:ind w:right="208"/>
              <w:spacing w:after="0"/>
              <w:rPr>
                <w:sz w:val="20"/>
                <w:szCs w:val="20"/>
                <w:color w:val="auto"/>
              </w:rPr>
            </w:pPr>
            <w:r>
              <w:rPr>
                <w:rFonts w:ascii="Arial" w:cs="Arial" w:eastAsia="Arial" w:hAnsi="Arial"/>
                <w:sz w:val="18"/>
                <w:szCs w:val="18"/>
                <w:color w:val="auto"/>
                <w:w w:val="79"/>
              </w:rPr>
              <w:t>2.3</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500" w:type="dxa"/>
            <w:vAlign w:val="bottom"/>
            <w:gridSpan w:val="2"/>
          </w:tcPr>
          <w:p>
            <w:pPr>
              <w:jc w:val="right"/>
              <w:ind w:right="208"/>
              <w:spacing w:after="0"/>
              <w:rPr>
                <w:sz w:val="20"/>
                <w:szCs w:val="20"/>
                <w:color w:val="auto"/>
              </w:rPr>
            </w:pPr>
            <w:r>
              <w:rPr>
                <w:rFonts w:ascii="Arial" w:cs="Arial" w:eastAsia="Arial" w:hAnsi="Arial"/>
                <w:sz w:val="18"/>
                <w:szCs w:val="18"/>
                <w:color w:val="auto"/>
                <w:w w:val="79"/>
              </w:rPr>
              <w:t>2.4</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Asset Purchase Agreement by and among Aviat U.S., Inc. and EION Networks, Inc., dated as of September 2, 2011 (incorporated by</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reference to Exhibit 2.1 to the Report on Form 8-K filed with the Securities and Exchange Commission on September 9, 2011, File No. 001-</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77"/>
        </w:trPr>
        <w:tc>
          <w:tcPr>
            <w:tcW w:w="500" w:type="dxa"/>
            <w:vAlign w:val="bottom"/>
            <w:gridSpan w:val="2"/>
          </w:tcPr>
          <w:p>
            <w:pPr>
              <w:jc w:val="right"/>
              <w:ind w:right="208"/>
              <w:spacing w:after="0"/>
              <w:rPr>
                <w:sz w:val="20"/>
                <w:szCs w:val="20"/>
                <w:color w:val="auto"/>
              </w:rPr>
            </w:pPr>
            <w:r>
              <w:rPr>
                <w:rFonts w:ascii="Arial" w:cs="Arial" w:eastAsia="Arial" w:hAnsi="Arial"/>
                <w:sz w:val="18"/>
                <w:szCs w:val="18"/>
                <w:color w:val="auto"/>
                <w:w w:val="79"/>
              </w:rPr>
              <w:t>3.1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Amended and Restated Certificate of Incorporation of Harris Stratex Networks, Inc. as filed with the Secretary of State of the State of</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Delaware on November 19, 2009 (incorporated by reference to Exhibit 3.1 to the Report on Form 8-K filed with the Securities and Exchange</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Commission on November 20, 2009, File No. 001-33278)</w:t>
            </w:r>
          </w:p>
        </w:tc>
      </w:tr>
      <w:tr>
        <w:trPr>
          <w:trHeight w:val="377"/>
        </w:trPr>
        <w:tc>
          <w:tcPr>
            <w:tcW w:w="500" w:type="dxa"/>
            <w:vAlign w:val="bottom"/>
            <w:gridSpan w:val="2"/>
          </w:tcPr>
          <w:p>
            <w:pPr>
              <w:jc w:val="right"/>
              <w:ind w:right="208"/>
              <w:spacing w:after="0"/>
              <w:rPr>
                <w:sz w:val="20"/>
                <w:szCs w:val="20"/>
                <w:color w:val="auto"/>
              </w:rPr>
            </w:pPr>
            <w:r>
              <w:rPr>
                <w:rFonts w:ascii="Arial" w:cs="Arial" w:eastAsia="Arial" w:hAnsi="Arial"/>
                <w:sz w:val="18"/>
                <w:szCs w:val="18"/>
                <w:color w:val="auto"/>
                <w:w w:val="79"/>
              </w:rPr>
              <w:t>3.2</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Amended and Restated Bylaws of Harris Stratex Networks, Inc. (incorporated by reference to Exhibit 3.2 to the Report on Form 8-K filed</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with the Securities and Exchange Commission on November 20, 2009, File No. 001-33278)</w:t>
            </w:r>
          </w:p>
        </w:tc>
      </w:tr>
      <w:tr>
        <w:trPr>
          <w:trHeight w:val="377"/>
        </w:trPr>
        <w:tc>
          <w:tcPr>
            <w:tcW w:w="500" w:type="dxa"/>
            <w:vAlign w:val="bottom"/>
            <w:gridSpan w:val="2"/>
          </w:tcPr>
          <w:p>
            <w:pPr>
              <w:jc w:val="right"/>
              <w:ind w:right="208"/>
              <w:spacing w:after="0"/>
              <w:rPr>
                <w:sz w:val="20"/>
                <w:szCs w:val="20"/>
                <w:color w:val="auto"/>
              </w:rPr>
            </w:pPr>
            <w:r>
              <w:rPr>
                <w:rFonts w:ascii="Arial" w:cs="Arial" w:eastAsia="Arial" w:hAnsi="Arial"/>
                <w:sz w:val="18"/>
                <w:szCs w:val="18"/>
                <w:color w:val="auto"/>
                <w:w w:val="79"/>
              </w:rPr>
              <w:t>3.3</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4"/>
              </w:rPr>
              <w:t>Certificate of Ownership and Merger Merging Aviat Networks, Inc. into Harris Stratex Networks, Inc., effective January 27, 2010, as filed</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0"/>
              </w:rPr>
              <w:t>with the Secretary of State of the State of Delaware on January 27, 2010 (incorporated by reference to Exhibit 3.1 to the Report on Form 8-K</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filed with the Securities and Exchange Commission on January 28, 2010, File No. 001-33278)</w:t>
            </w:r>
          </w:p>
        </w:tc>
      </w:tr>
      <w:tr>
        <w:trPr>
          <w:trHeight w:val="486"/>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80</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360" w:type="dxa"/>
            <w:vAlign w:val="bottom"/>
          </w:tcPr>
          <w:p>
            <w:pPr>
              <w:ind w:left="502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2"/>
              </w:rPr>
              <w:t>Specimen common stock certificate, adopted as of January 29, 2010 (incorporated by reference to Exhibit 4.1.1 to the Company’s Annual</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2"/>
              </w:rPr>
              <w:t>Report on Form 10-K for fiscal year end July 2, 2010 filed with the Securities and Exchange Commission on September 9, 2010, File No.</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001-33278)</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320" w:type="dxa"/>
            <w:vAlign w:val="bottom"/>
          </w:tcPr>
          <w:p>
            <w:pPr>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3"/>
              </w:rPr>
              <w:t>Intellectual Property Agreement between Harris Stratex Networks, Inc. and Harris Corporation dated January 26, 2007 (incorporated by</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1"/>
              </w:rPr>
              <w:t>reference to Exhibit 10.4 to the Report on Form 8-K filed with the Securities and Exchange Commission on February 1, 2007, File No. 001-</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33278)</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0"/>
              </w:rPr>
              <w:t>Tax Sharing Agreement between Harris Stratex Networks, Inc. and Harris Corporation dated January 26, 2007 (incorporated by reference to</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4"/>
              </w:rPr>
              <w:t>Exhibit 10.11 to the Report on Form 8-K filed with the Securities and Exchange Commission on February 1, 2007, File No. 001-33278)</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Intentionally omitted</w:t>
            </w:r>
          </w:p>
        </w:tc>
      </w:tr>
      <w:tr>
        <w:trPr>
          <w:trHeight w:val="486"/>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60" w:type="dxa"/>
            <w:vAlign w:val="bottom"/>
          </w:tcPr>
          <w:p>
            <w:pPr>
              <w:ind w:left="470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280"/>
          </w:cols>
          <w:pgMar w:left="240" w:top="125" w:right="37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91"/>
              </w:rPr>
              <w:t>Ex. #</w:t>
            </w: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85"/>
        </w:trPr>
        <w:tc>
          <w:tcPr>
            <w:tcW w:w="640" w:type="dxa"/>
            <w:vAlign w:val="bottom"/>
            <w:gridSpan w:val="2"/>
          </w:tcPr>
          <w:p>
            <w:pPr>
              <w:spacing w:after="0"/>
              <w:rPr>
                <w:sz w:val="20"/>
                <w:szCs w:val="20"/>
                <w:color w:val="auto"/>
              </w:rPr>
            </w:pPr>
            <w:r>
              <w:rPr>
                <w:rFonts w:ascii="Arial" w:cs="Arial" w:eastAsia="Arial" w:hAnsi="Arial"/>
                <w:sz w:val="18"/>
                <w:szCs w:val="18"/>
                <w:color w:val="auto"/>
                <w:w w:val="92"/>
              </w:rPr>
              <w:t>10.13.1*</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7"/>
              </w:rPr>
              <w:t>Standard Form of Executive Employment Agreement between Harris Stratex Networks, Inc. and certain executives (incorporated by</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reference to Exhibit 10.16 to the Report on Form 8-K filed with the Securities and Exchange Commission on February 1, 2007, File No. 001-</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Form of Indemnification Agreement between Harris Stratex Networks, Inc. and its directors and certain officers (incorporated by reference to</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Exhibit 10.16 to the Registration Statement on Form S-1 of Stratex Networks, Inc., File No. 33-13431)</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7"/>
              </w:rPr>
              <w:t>Harris Stratex Networks, Inc. Annual Incentive Plan (incorporated by reference to Exhibit 10.17 to the Company’s Annual Report on</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0"/>
              </w:rPr>
              <w:t>Form 10-K for the fiscal year ended June 27, 2008 filed with the Securities and Exchange Commission on September 25, 2008, File No. 001-</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3"/>
              </w:rPr>
              <w:t>Harris Stratex Networks, Inc. 2007 Stock Equity Plan (incorporated by reference to Exhibit 4.9 to the Registration Statement on Form S-8</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filed with the Securities and Exchange Commission on February 5, 2007, File No. 333-140442)</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2"/>
              </w:rPr>
              <w:t>Harris Stratex Networks, Inc. 2007 Stock Equity Plan (As Amended and Restated Effective November 19, 2009) (incorporated by reference</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5"/>
              </w:rPr>
              <w:t>to Appendix B to the Registrant’s Schedule 14A filed with the Securities and Exchange Commission on October 7, 2009, File No. 001-</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10.18.2</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6"/>
              </w:rPr>
              <w:t>Aviat Networks, Inc. 2007 Stock Equity Plan (As Amended and Restated Effective November 17, 2011) (incorporated by reference to</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2"/>
              </w:rPr>
              <w:t>Appendix A to the Registrant’s Schedule 14A filed with the Securities and Exchange Commission on October 3, 2011, File No. 001-33278)</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10.19.1</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10.20.1</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10.20.2</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4"/>
              </w:rPr>
              <w:t>Loan and Security Agreement between Aviat Networks, Inc., Aviat U.S., Inc., Aviat Networks (S) Pte Ltd. and Silicon Valley Bank, dated</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9"/>
              </w:rPr>
              <w:t>September 30, 2010 (incorporated by reference to Exhibit 10.1 to the Report on Form 8-K filed with the Securities and Exchange</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Commission on October 4, 2010, File No. 001-33278)</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486"/>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82</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91"/>
              </w:rPr>
              <w:t>Ex. #</w:t>
            </w: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85"/>
        </w:trPr>
        <w:tc>
          <w:tcPr>
            <w:tcW w:w="640" w:type="dxa"/>
            <w:vAlign w:val="bottom"/>
            <w:gridSpan w:val="2"/>
          </w:tcPr>
          <w:p>
            <w:pPr>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1"/>
        </w:trPr>
        <w:tc>
          <w:tcPr>
            <w:tcW w:w="640" w:type="dxa"/>
            <w:vAlign w:val="bottom"/>
            <w:gridSpan w:val="2"/>
          </w:tcPr>
          <w:p>
            <w:pPr>
              <w:spacing w:after="0"/>
              <w:rPr>
                <w:sz w:val="20"/>
                <w:szCs w:val="20"/>
                <w:color w:val="auto"/>
              </w:rPr>
            </w:pPr>
            <w:r>
              <w:rPr>
                <w:rFonts w:ascii="Arial" w:cs="Arial" w:eastAsia="Arial" w:hAnsi="Arial"/>
                <w:sz w:val="18"/>
                <w:szCs w:val="18"/>
                <w:color w:val="auto"/>
                <w:w w:val="92"/>
              </w:rPr>
              <w:t>10.22.1*</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0"/>
              </w:rPr>
              <w:t>Employment Agreement, effective as of October 31, 2011, between Aviat Networks, Inc. and Edward J. Hayes, Jr. (incorporated by reference</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to the Report on Form 8-K filed with the Securities and Exchange Commission on October 31, 2011, File No. 001-33278)</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(incorporated by reference to</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3"/>
              </w:rPr>
              <w:t>Exhibit 10.15.2 to the Company’s Quarterly Report on Form 10-Q for the fiscal quarter ended March 30, 2007 filed with the Securities and</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Exchange Commission on May 8, 2007, File No. 001-33278)</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7"/>
              </w:rPr>
              <w:t>Employment Agreement, dated as of May 14, 2002, between Stratex Networks, Inc. and Paul Kennard (incorporated by reference to</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Exhibit 10.1 to the Stratex Networks, Inc. Quarterly Report on Form 10-Q for the fiscal quarter ended June 30, 2006 filed with the Securities</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and Exchange Commission on August 9, 2006, File No. 000-15895)</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w w:val="92"/>
              </w:rPr>
              <w:t>10.24.1*</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5"/>
              </w:rPr>
              <w:t>Amendment A, effective as of April 1, 2006, to Employment Agreement, dated May 14, 2002, between Stratex Networks, Inc. and Paul</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Kennard (incorporated by reference to Exhibit 10.2 to the Stratex Networks, Inc. Quarterly Report on Form 10-Q for the fiscal quarter ended</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June 30, 2006 filed with the Securities and Exchange Commission on August 9, 2006, File No. 000-15895)</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w w:val="92"/>
              </w:rPr>
              <w:t>10.24.2*</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5"/>
              </w:rPr>
              <w:t>Amendment B, effective as of April 1, 2006, to Employment Agreement, dated May 14, 2002, between Stratex Networks, Inc. and Paul</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Kennard (incorporated by reference to Exhibit 10.3 to the Stratex Networks, Inc. Quarterly Report on Form 10-Q for the fiscal quarter ended</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June 30, 2006 filed with the Securities and Exchange Commission on August 9, 2006, File No. 000-15895)</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1"/>
              </w:rPr>
              <w:t>Employment Agreement, dated as of May 14, 2002, between Stratex Networks, Inc. and Shaun McFall (incorporated by reference to Exhibit</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8"/>
              </w:rPr>
              <w:t>10.25 to the Company’s Annual Report on Form 10-K for the fiscal year ended July 3, 2009 filed with the Securities and Exchange</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Commission on September 4, 2009, File No. 001-33278)</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w w:val="92"/>
              </w:rPr>
              <w:t>10.25.1*</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4"/>
              </w:rPr>
              <w:t>Amendment, effective April 1, 2006, to Employment Agreement, dated May 14, 2002, between Stratex Networks, Inc. and Shaun McFall</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1"/>
              </w:rPr>
              <w:t>(incorporated by reference to Exhibit 10.25.1 to the Company’s Annual Report on Form 10-K for the fiscal year ended July 3, 2009 filed with</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the Securities and Exchange Commission on September 4, 2009, File No. 001-33278)</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w w:val="92"/>
              </w:rPr>
              <w:t>10.26.1*</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1"/>
              </w:rPr>
              <w:t>Employment Agreement, dated July 18, 2011, between Aviat Networks, Inc. and Michael Pangia (incorporated by reference to the Report on</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Form 8-K filed with the Securities and Exchange Commission on July 20, 2011, File No. 001-33278)</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December 30, 2010, between Aviat Networks, Inc. and John Madigan (incorporated by reference to Exhibit</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10.1 to the Report on Form 8-K filed with the Securities and Exchange Commission on January 4, 2011, File No. 001-33278)</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4"/>
                <w:szCs w:val="24"/>
                <w:color w:val="auto"/>
              </w:rPr>
            </w:pPr>
          </w:p>
        </w:tc>
        <w:tc>
          <w:tcPr>
            <w:tcW w:w="10480" w:type="dxa"/>
            <w:vAlign w:val="bottom"/>
            <w:gridSpan w:val="3"/>
          </w:tcPr>
          <w:p>
            <w:pPr>
              <w:ind w:left="260"/>
              <w:spacing w:after="0"/>
              <w:rPr>
                <w:sz w:val="20"/>
                <w:szCs w:val="20"/>
                <w:color w:val="auto"/>
              </w:rPr>
            </w:pPr>
            <w:r>
              <w:rPr>
                <w:rFonts w:ascii="Arial" w:cs="Arial" w:eastAsia="Arial" w:hAnsi="Arial"/>
                <w:sz w:val="18"/>
                <w:szCs w:val="18"/>
                <w:color w:val="auto"/>
              </w:rPr>
              <w:t>Moved to item number 10.20.2</w:t>
            </w:r>
          </w:p>
        </w:tc>
      </w:tr>
      <w:tr>
        <w:trPr>
          <w:trHeight w:val="486"/>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83</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48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r>
      <w:tr>
        <w:trPr>
          <w:trHeight w:val="385"/>
        </w:trPr>
        <w:tc>
          <w:tcPr>
            <w:tcW w:w="440" w:type="dxa"/>
            <w:vAlign w:val="bottom"/>
          </w:tcPr>
          <w:p>
            <w:pPr>
              <w:spacing w:after="0"/>
              <w:rPr>
                <w:sz w:val="20"/>
                <w:szCs w:val="20"/>
                <w:color w:val="auto"/>
              </w:rPr>
            </w:pPr>
            <w:r>
              <w:rPr>
                <w:rFonts w:ascii="Arial" w:cs="Arial" w:eastAsia="Arial" w:hAnsi="Arial"/>
                <w:sz w:val="18"/>
                <w:szCs w:val="18"/>
                <w:color w:val="auto"/>
                <w:w w:val="93"/>
              </w:rPr>
              <w:t>10.31</w:t>
            </w:r>
          </w:p>
        </w:tc>
        <w:tc>
          <w:tcPr>
            <w:tcW w:w="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88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720" w:type="dxa"/>
            <w:vAlign w:val="bottom"/>
            <w:tcBorders>
              <w:top w:val="single" w:sz="8" w:color="auto"/>
            </w:tcBorders>
          </w:tcPr>
          <w:p>
            <w:pPr>
              <w:spacing w:after="0"/>
              <w:rPr>
                <w:sz w:val="24"/>
                <w:szCs w:val="24"/>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List of Subsidiaries of Aviat Networks, Inc.</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Section 1350 Certification of Chief Financial Officer</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XBRL Instance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500" w:hanging="465"/>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w:t>
      </w:r>
    </w:p>
    <w:p>
      <w:pPr>
        <w:spacing w:after="0" w:line="225" w:lineRule="exact"/>
        <w:rPr>
          <w:sz w:val="20"/>
          <w:szCs w:val="20"/>
          <w:color w:val="auto"/>
        </w:rPr>
      </w:pPr>
    </w:p>
    <w:p>
      <w:pPr>
        <w:ind w:left="500" w:hanging="465"/>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125" w:right="41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6540"/>
        <w:spacing w:after="0"/>
        <w:tabs>
          <w:tab w:leader="none" w:pos="7800" w:val="left"/>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2298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Michael A. Pangia</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2012</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2"/>
              </w:rPr>
              <w:t>Signature</w:t>
            </w:r>
          </w:p>
        </w:tc>
        <w:tc>
          <w:tcPr>
            <w:tcW w:w="4640" w:type="dxa"/>
            <w:vAlign w:val="bottom"/>
            <w:gridSpan w:val="3"/>
          </w:tcPr>
          <w:p>
            <w:pPr>
              <w:jc w:val="center"/>
              <w:ind w:left="191"/>
              <w:spacing w:after="0"/>
              <w:rPr>
                <w:sz w:val="20"/>
                <w:szCs w:val="20"/>
                <w:color w:val="auto"/>
              </w:rPr>
            </w:pPr>
            <w:r>
              <w:rPr>
                <w:rFonts w:ascii="Arial" w:cs="Arial" w:eastAsia="Arial" w:hAnsi="Arial"/>
                <w:sz w:val="14"/>
                <w:szCs w:val="14"/>
                <w:b w:val="1"/>
                <w:bCs w:val="1"/>
                <w:color w:val="auto"/>
                <w:w w:val="97"/>
              </w:rPr>
              <w:t>Title</w:t>
            </w:r>
          </w:p>
        </w:tc>
        <w:tc>
          <w:tcPr>
            <w:tcW w:w="208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1520" w:type="dxa"/>
            <w:vAlign w:val="bottom"/>
            <w:gridSpan w:val="2"/>
          </w:tcPr>
          <w:p>
            <w:pPr>
              <w:ind w:left="1280"/>
              <w:spacing w:after="0"/>
              <w:rPr>
                <w:sz w:val="20"/>
                <w:szCs w:val="20"/>
                <w:color w:val="auto"/>
              </w:rPr>
            </w:pPr>
            <w:r>
              <w:rPr>
                <w:rFonts w:ascii="Arial" w:cs="Arial" w:eastAsia="Arial" w:hAnsi="Arial"/>
                <w:sz w:val="18"/>
                <w:szCs w:val="18"/>
                <w:color w:val="auto"/>
              </w:rPr>
              <w:t>/s/</w:t>
            </w:r>
          </w:p>
        </w:tc>
        <w:tc>
          <w:tcPr>
            <w:tcW w:w="272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Michael A. Pangia</w:t>
            </w:r>
          </w:p>
        </w:tc>
        <w:tc>
          <w:tcPr>
            <w:tcW w:w="4640" w:type="dxa"/>
            <w:vAlign w:val="bottom"/>
            <w:gridSpan w:val="3"/>
          </w:tcPr>
          <w:p>
            <w:pPr>
              <w:jc w:val="center"/>
              <w:ind w:left="171"/>
              <w:spacing w:after="0"/>
              <w:rPr>
                <w:sz w:val="20"/>
                <w:szCs w:val="20"/>
                <w:color w:val="auto"/>
              </w:rPr>
            </w:pPr>
            <w:r>
              <w:rPr>
                <w:rFonts w:ascii="Arial" w:cs="Arial" w:eastAsia="Arial" w:hAnsi="Arial"/>
                <w:sz w:val="18"/>
                <w:szCs w:val="18"/>
                <w:color w:val="auto"/>
                <w:w w:val="91"/>
              </w:rPr>
              <w:t>President and Chief Executive Officer</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41"/>
        </w:trPr>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640" w:type="dxa"/>
            <w:vAlign w:val="bottom"/>
            <w:gridSpan w:val="3"/>
            <w:vMerge w:val="restart"/>
          </w:tcPr>
          <w:p>
            <w:pPr>
              <w:jc w:val="center"/>
              <w:ind w:left="171"/>
              <w:spacing w:after="0"/>
              <w:rPr>
                <w:sz w:val="20"/>
                <w:szCs w:val="20"/>
                <w:color w:val="auto"/>
              </w:rPr>
            </w:pPr>
            <w:r>
              <w:rPr>
                <w:rFonts w:ascii="Arial" w:cs="Arial" w:eastAsia="Arial" w:hAnsi="Arial"/>
                <w:sz w:val="18"/>
                <w:szCs w:val="18"/>
                <w:color w:val="auto"/>
                <w:w w:val="94"/>
              </w:rPr>
              <w:t>(Principal Executive Officer)</w:t>
            </w: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2900" w:type="dxa"/>
            <w:vAlign w:val="bottom"/>
            <w:gridSpan w:val="4"/>
            <w:vMerge w:val="restart"/>
          </w:tcPr>
          <w:p>
            <w:pPr>
              <w:jc w:val="center"/>
              <w:ind w:right="1340"/>
              <w:spacing w:after="0"/>
              <w:rPr>
                <w:sz w:val="20"/>
                <w:szCs w:val="20"/>
                <w:color w:val="auto"/>
              </w:rPr>
            </w:pPr>
            <w:r>
              <w:rPr>
                <w:rFonts w:ascii="Arial" w:cs="Arial" w:eastAsia="Arial" w:hAnsi="Arial"/>
                <w:sz w:val="18"/>
                <w:szCs w:val="18"/>
                <w:color w:val="auto"/>
                <w:w w:val="93"/>
              </w:rPr>
              <w:t>Michael A. Pangia</w:t>
            </w:r>
          </w:p>
        </w:tc>
        <w:tc>
          <w:tcPr>
            <w:tcW w:w="464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2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1520" w:type="dxa"/>
            <w:vAlign w:val="bottom"/>
            <w:gridSpan w:val="2"/>
            <w:vMerge w:val="restart"/>
          </w:tcPr>
          <w:p>
            <w:pPr>
              <w:ind w:left="1220"/>
              <w:spacing w:after="0"/>
              <w:rPr>
                <w:sz w:val="20"/>
                <w:szCs w:val="20"/>
                <w:color w:val="auto"/>
              </w:rPr>
            </w:pPr>
            <w:r>
              <w:rPr>
                <w:rFonts w:ascii="Arial" w:cs="Arial" w:eastAsia="Arial" w:hAnsi="Arial"/>
                <w:sz w:val="18"/>
                <w:szCs w:val="18"/>
                <w:color w:val="auto"/>
              </w:rPr>
              <w:t>/s/</w:t>
            </w:r>
          </w:p>
        </w:tc>
        <w:tc>
          <w:tcPr>
            <w:tcW w:w="2720" w:type="dxa"/>
            <w:vAlign w:val="bottom"/>
            <w:gridSpan w:val="3"/>
            <w:vMerge w:val="restart"/>
          </w:tcPr>
          <w:p>
            <w:pPr>
              <w:jc w:val="center"/>
              <w:ind w:right="1160"/>
              <w:spacing w:after="0"/>
              <w:rPr>
                <w:sz w:val="20"/>
                <w:szCs w:val="20"/>
                <w:color w:val="auto"/>
              </w:rPr>
            </w:pPr>
            <w:r>
              <w:rPr>
                <w:rFonts w:ascii="Arial" w:cs="Arial" w:eastAsia="Arial" w:hAnsi="Arial"/>
                <w:sz w:val="18"/>
                <w:szCs w:val="18"/>
                <w:color w:val="auto"/>
                <w:w w:val="89"/>
              </w:rPr>
              <w:t>Edward J. Hayes, Jr.</w:t>
            </w:r>
          </w:p>
        </w:tc>
        <w:tc>
          <w:tcPr>
            <w:tcW w:w="4640" w:type="dxa"/>
            <w:vAlign w:val="bottom"/>
            <w:gridSpan w:val="3"/>
          </w:tcPr>
          <w:p>
            <w:pPr>
              <w:jc w:val="center"/>
              <w:ind w:left="171"/>
              <w:spacing w:after="0"/>
              <w:rPr>
                <w:sz w:val="20"/>
                <w:szCs w:val="20"/>
                <w:color w:val="auto"/>
              </w:rPr>
            </w:pPr>
            <w:r>
              <w:rPr>
                <w:rFonts w:ascii="Arial" w:cs="Arial" w:eastAsia="Arial" w:hAnsi="Arial"/>
                <w:sz w:val="18"/>
                <w:szCs w:val="18"/>
                <w:color w:val="auto"/>
                <w:w w:val="89"/>
              </w:rPr>
              <w:t>Senior Vice President and</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82"/>
        </w:trPr>
        <w:tc>
          <w:tcPr>
            <w:tcW w:w="1520" w:type="dxa"/>
            <w:vAlign w:val="bottom"/>
            <w:gridSpan w:val="2"/>
            <w:vMerge w:val="continue"/>
          </w:tcPr>
          <w:p>
            <w:pPr>
              <w:spacing w:after="0"/>
              <w:rPr>
                <w:sz w:val="7"/>
                <w:szCs w:val="7"/>
                <w:color w:val="auto"/>
              </w:rPr>
            </w:pPr>
          </w:p>
        </w:tc>
        <w:tc>
          <w:tcPr>
            <w:tcW w:w="2720" w:type="dxa"/>
            <w:vAlign w:val="bottom"/>
            <w:gridSpan w:val="3"/>
            <w:vMerge w:val="continue"/>
          </w:tcPr>
          <w:p>
            <w:pPr>
              <w:spacing w:after="0"/>
              <w:rPr>
                <w:sz w:val="7"/>
                <w:szCs w:val="7"/>
                <w:color w:val="auto"/>
              </w:rPr>
            </w:pPr>
          </w:p>
        </w:tc>
        <w:tc>
          <w:tcPr>
            <w:tcW w:w="4640" w:type="dxa"/>
            <w:vAlign w:val="bottom"/>
            <w:gridSpan w:val="3"/>
            <w:vMerge w:val="restart"/>
          </w:tcPr>
          <w:p>
            <w:pPr>
              <w:jc w:val="center"/>
              <w:ind w:left="191"/>
              <w:spacing w:after="0"/>
              <w:rPr>
                <w:sz w:val="20"/>
                <w:szCs w:val="20"/>
                <w:color w:val="auto"/>
              </w:rPr>
            </w:pPr>
            <w:r>
              <w:rPr>
                <w:rFonts w:ascii="Arial" w:cs="Arial" w:eastAsia="Arial" w:hAnsi="Arial"/>
                <w:sz w:val="18"/>
                <w:szCs w:val="18"/>
                <w:color w:val="auto"/>
                <w:w w:val="94"/>
              </w:rPr>
              <w:t>Chief Financial Officer</w:t>
            </w: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340" w:type="dxa"/>
            <w:vAlign w:val="bottom"/>
          </w:tcPr>
          <w:p>
            <w:pPr>
              <w:spacing w:after="0"/>
              <w:rPr>
                <w:sz w:val="7"/>
                <w:szCs w:val="7"/>
                <w:color w:val="auto"/>
              </w:rPr>
            </w:pPr>
          </w:p>
        </w:tc>
        <w:tc>
          <w:tcPr>
            <w:tcW w:w="2900" w:type="dxa"/>
            <w:vAlign w:val="bottom"/>
            <w:gridSpan w:val="4"/>
            <w:vMerge w:val="restart"/>
          </w:tcPr>
          <w:p>
            <w:pPr>
              <w:jc w:val="center"/>
              <w:ind w:right="1340"/>
              <w:spacing w:after="0"/>
              <w:rPr>
                <w:sz w:val="20"/>
                <w:szCs w:val="20"/>
                <w:color w:val="auto"/>
              </w:rPr>
            </w:pPr>
            <w:r>
              <w:rPr>
                <w:rFonts w:ascii="Arial" w:cs="Arial" w:eastAsia="Arial" w:hAnsi="Arial"/>
                <w:sz w:val="18"/>
                <w:szCs w:val="18"/>
                <w:color w:val="auto"/>
                <w:w w:val="89"/>
              </w:rPr>
              <w:t>Edward J. Hayes, Jr.</w:t>
            </w:r>
          </w:p>
        </w:tc>
        <w:tc>
          <w:tcPr>
            <w:tcW w:w="464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900" w:type="dxa"/>
            <w:vAlign w:val="bottom"/>
            <w:gridSpan w:val="4"/>
            <w:vMerge w:val="continue"/>
          </w:tcPr>
          <w:p>
            <w:pPr>
              <w:spacing w:after="0"/>
              <w:rPr>
                <w:sz w:val="12"/>
                <w:szCs w:val="12"/>
                <w:color w:val="auto"/>
              </w:rPr>
            </w:pPr>
          </w:p>
        </w:tc>
        <w:tc>
          <w:tcPr>
            <w:tcW w:w="4640" w:type="dxa"/>
            <w:vAlign w:val="bottom"/>
            <w:gridSpan w:val="3"/>
            <w:vMerge w:val="restart"/>
          </w:tcPr>
          <w:p>
            <w:pPr>
              <w:jc w:val="center"/>
              <w:ind w:left="191"/>
              <w:spacing w:after="0"/>
              <w:rPr>
                <w:sz w:val="20"/>
                <w:szCs w:val="20"/>
                <w:color w:val="auto"/>
              </w:rPr>
            </w:pPr>
            <w:r>
              <w:rPr>
                <w:rFonts w:ascii="Arial" w:cs="Arial" w:eastAsia="Arial" w:hAnsi="Arial"/>
                <w:sz w:val="18"/>
                <w:szCs w:val="18"/>
                <w:color w:val="auto"/>
                <w:w w:val="94"/>
              </w:rPr>
              <w:t>(Principal Financial Officer)</w:t>
            </w: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464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1340" w:type="dxa"/>
            <w:vAlign w:val="bottom"/>
          </w:tcPr>
          <w:p>
            <w:pPr>
              <w:spacing w:after="0"/>
              <w:rPr>
                <w:sz w:val="24"/>
                <w:szCs w:val="24"/>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w w:val="73"/>
              </w:rPr>
              <w:t>/s/</w:t>
            </w:r>
          </w:p>
        </w:tc>
        <w:tc>
          <w:tcPr>
            <w:tcW w:w="2720" w:type="dxa"/>
            <w:vAlign w:val="bottom"/>
            <w:gridSpan w:val="3"/>
            <w:vMerge w:val="restart"/>
          </w:tcPr>
          <w:p>
            <w:pPr>
              <w:jc w:val="center"/>
              <w:ind w:right="1180"/>
              <w:spacing w:after="0"/>
              <w:rPr>
                <w:sz w:val="20"/>
                <w:szCs w:val="20"/>
                <w:color w:val="auto"/>
              </w:rPr>
            </w:pPr>
            <w:r>
              <w:rPr>
                <w:rFonts w:ascii="Arial" w:cs="Arial" w:eastAsia="Arial" w:hAnsi="Arial"/>
                <w:sz w:val="18"/>
                <w:szCs w:val="18"/>
                <w:color w:val="auto"/>
                <w:w w:val="89"/>
              </w:rPr>
              <w:t>John J. Madigan</w:t>
            </w:r>
          </w:p>
        </w:tc>
        <w:tc>
          <w:tcPr>
            <w:tcW w:w="4640" w:type="dxa"/>
            <w:vAlign w:val="bottom"/>
            <w:gridSpan w:val="3"/>
          </w:tcPr>
          <w:p>
            <w:pPr>
              <w:jc w:val="center"/>
              <w:ind w:left="171"/>
              <w:spacing w:after="0"/>
              <w:rPr>
                <w:sz w:val="20"/>
                <w:szCs w:val="20"/>
                <w:color w:val="auto"/>
              </w:rPr>
            </w:pPr>
            <w:r>
              <w:rPr>
                <w:rFonts w:ascii="Arial" w:cs="Arial" w:eastAsia="Arial" w:hAnsi="Arial"/>
                <w:sz w:val="18"/>
                <w:szCs w:val="18"/>
                <w:color w:val="auto"/>
                <w:w w:val="90"/>
              </w:rPr>
              <w:t>Vice President, Corporate Controller and</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82"/>
        </w:trPr>
        <w:tc>
          <w:tcPr>
            <w:tcW w:w="13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720" w:type="dxa"/>
            <w:vAlign w:val="bottom"/>
            <w:gridSpan w:val="3"/>
            <w:vMerge w:val="continue"/>
          </w:tcPr>
          <w:p>
            <w:pPr>
              <w:spacing w:after="0"/>
              <w:rPr>
                <w:sz w:val="7"/>
                <w:szCs w:val="7"/>
                <w:color w:val="auto"/>
              </w:rPr>
            </w:pPr>
          </w:p>
        </w:tc>
        <w:tc>
          <w:tcPr>
            <w:tcW w:w="4640" w:type="dxa"/>
            <w:vAlign w:val="bottom"/>
            <w:gridSpan w:val="3"/>
            <w:vMerge w:val="restart"/>
          </w:tcPr>
          <w:p>
            <w:pPr>
              <w:jc w:val="center"/>
              <w:ind w:left="171"/>
              <w:spacing w:after="0"/>
              <w:rPr>
                <w:sz w:val="20"/>
                <w:szCs w:val="20"/>
                <w:color w:val="auto"/>
              </w:rPr>
            </w:pPr>
            <w:r>
              <w:rPr>
                <w:rFonts w:ascii="Arial" w:cs="Arial" w:eastAsia="Arial" w:hAnsi="Arial"/>
                <w:sz w:val="18"/>
                <w:szCs w:val="18"/>
                <w:color w:val="auto"/>
                <w:w w:val="94"/>
              </w:rPr>
              <w:t>Principal Accounting Officer</w:t>
            </w: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464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3"/>
          </w:tcPr>
          <w:p>
            <w:pPr>
              <w:jc w:val="center"/>
              <w:ind w:right="1520"/>
              <w:spacing w:after="0"/>
              <w:rPr>
                <w:sz w:val="20"/>
                <w:szCs w:val="20"/>
                <w:color w:val="auto"/>
              </w:rPr>
            </w:pPr>
            <w:r>
              <w:rPr>
                <w:rFonts w:ascii="Arial" w:cs="Arial" w:eastAsia="Arial" w:hAnsi="Arial"/>
                <w:sz w:val="18"/>
                <w:szCs w:val="18"/>
                <w:color w:val="auto"/>
                <w:w w:val="90"/>
              </w:rPr>
              <w:t>John J. Madigan</w:t>
            </w:r>
          </w:p>
        </w:tc>
        <w:tc>
          <w:tcPr>
            <w:tcW w:w="4640" w:type="dxa"/>
            <w:vAlign w:val="bottom"/>
            <w:gridSpan w:val="3"/>
          </w:tcPr>
          <w:p>
            <w:pPr>
              <w:jc w:val="center"/>
              <w:ind w:left="191"/>
              <w:spacing w:after="0"/>
              <w:rPr>
                <w:sz w:val="20"/>
                <w:szCs w:val="20"/>
                <w:color w:val="auto"/>
              </w:rPr>
            </w:pPr>
            <w:r>
              <w:rPr>
                <w:rFonts w:ascii="Arial" w:cs="Arial" w:eastAsia="Arial" w:hAnsi="Arial"/>
                <w:sz w:val="18"/>
                <w:szCs w:val="18"/>
                <w:color w:val="auto"/>
                <w:w w:val="94"/>
              </w:rPr>
              <w:t>(Principal Accounting Officer)</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260"/>
              <w:spacing w:after="0"/>
              <w:rPr>
                <w:sz w:val="20"/>
                <w:szCs w:val="20"/>
                <w:color w:val="auto"/>
              </w:rPr>
            </w:pPr>
            <w:r>
              <w:rPr>
                <w:rFonts w:ascii="Arial" w:cs="Arial" w:eastAsia="Arial" w:hAnsi="Arial"/>
                <w:sz w:val="18"/>
                <w:szCs w:val="18"/>
                <w:color w:val="auto"/>
              </w:rPr>
              <w:t>/s/</w:t>
            </w:r>
          </w:p>
        </w:tc>
        <w:tc>
          <w:tcPr>
            <w:tcW w:w="2720" w:type="dxa"/>
            <w:vAlign w:val="bottom"/>
            <w:gridSpan w:val="3"/>
          </w:tcPr>
          <w:p>
            <w:pPr>
              <w:jc w:val="center"/>
              <w:ind w:right="1160"/>
              <w:spacing w:after="0"/>
              <w:rPr>
                <w:sz w:val="20"/>
                <w:szCs w:val="20"/>
                <w:color w:val="auto"/>
              </w:rPr>
            </w:pPr>
            <w:r>
              <w:rPr>
                <w:rFonts w:ascii="Arial" w:cs="Arial" w:eastAsia="Arial" w:hAnsi="Arial"/>
                <w:sz w:val="18"/>
                <w:szCs w:val="18"/>
                <w:color w:val="auto"/>
                <w:w w:val="90"/>
              </w:rPr>
              <w:t>Charles D. Kissner</w:t>
            </w:r>
          </w:p>
        </w:tc>
        <w:tc>
          <w:tcPr>
            <w:tcW w:w="4640" w:type="dxa"/>
            <w:vAlign w:val="bottom"/>
            <w:gridSpan w:val="3"/>
          </w:tcPr>
          <w:p>
            <w:pPr>
              <w:jc w:val="center"/>
              <w:ind w:left="171"/>
              <w:spacing w:after="0"/>
              <w:rPr>
                <w:sz w:val="20"/>
                <w:szCs w:val="20"/>
                <w:color w:val="auto"/>
              </w:rPr>
            </w:pPr>
            <w:r>
              <w:rPr>
                <w:rFonts w:ascii="Arial" w:cs="Arial" w:eastAsia="Arial" w:hAnsi="Arial"/>
                <w:sz w:val="18"/>
                <w:szCs w:val="18"/>
                <w:color w:val="auto"/>
                <w:w w:val="91"/>
              </w:rPr>
              <w:t>Chairman of the Board</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900" w:type="dxa"/>
            <w:vAlign w:val="bottom"/>
            <w:gridSpan w:val="4"/>
          </w:tcPr>
          <w:p>
            <w:pPr>
              <w:jc w:val="center"/>
              <w:ind w:right="1340"/>
              <w:spacing w:after="0"/>
              <w:rPr>
                <w:sz w:val="20"/>
                <w:szCs w:val="20"/>
                <w:color w:val="auto"/>
              </w:rPr>
            </w:pPr>
            <w:r>
              <w:rPr>
                <w:rFonts w:ascii="Arial" w:cs="Arial" w:eastAsia="Arial" w:hAnsi="Arial"/>
                <w:sz w:val="18"/>
                <w:szCs w:val="18"/>
                <w:color w:val="auto"/>
                <w:w w:val="90"/>
              </w:rPr>
              <w:t>Charles D. Kissner</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280"/>
              <w:spacing w:after="0"/>
              <w:rPr>
                <w:sz w:val="20"/>
                <w:szCs w:val="20"/>
                <w:color w:val="auto"/>
              </w:rPr>
            </w:pPr>
            <w:r>
              <w:rPr>
                <w:rFonts w:ascii="Arial" w:cs="Arial" w:eastAsia="Arial" w:hAnsi="Arial"/>
                <w:sz w:val="18"/>
                <w:szCs w:val="18"/>
                <w:color w:val="auto"/>
              </w:rPr>
              <w:t>/s/</w:t>
            </w:r>
          </w:p>
        </w:tc>
        <w:tc>
          <w:tcPr>
            <w:tcW w:w="2720" w:type="dxa"/>
            <w:vAlign w:val="bottom"/>
            <w:gridSpan w:val="3"/>
          </w:tcPr>
          <w:p>
            <w:pPr>
              <w:jc w:val="center"/>
              <w:ind w:right="1160"/>
              <w:spacing w:after="0"/>
              <w:rPr>
                <w:sz w:val="20"/>
                <w:szCs w:val="20"/>
                <w:color w:val="auto"/>
              </w:rPr>
            </w:pPr>
            <w:r>
              <w:rPr>
                <w:rFonts w:ascii="Arial" w:cs="Arial" w:eastAsia="Arial" w:hAnsi="Arial"/>
                <w:sz w:val="18"/>
                <w:szCs w:val="18"/>
                <w:color w:val="auto"/>
                <w:w w:val="96"/>
              </w:rPr>
              <w:t>William A. Hasler</w:t>
            </w:r>
          </w:p>
        </w:tc>
        <w:tc>
          <w:tcPr>
            <w:tcW w:w="46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900" w:type="dxa"/>
            <w:vAlign w:val="bottom"/>
            <w:gridSpan w:val="4"/>
          </w:tcPr>
          <w:p>
            <w:pPr>
              <w:jc w:val="center"/>
              <w:ind w:right="1340"/>
              <w:spacing w:after="0"/>
              <w:rPr>
                <w:sz w:val="20"/>
                <w:szCs w:val="20"/>
                <w:color w:val="auto"/>
              </w:rPr>
            </w:pPr>
            <w:r>
              <w:rPr>
                <w:rFonts w:ascii="Arial" w:cs="Arial" w:eastAsia="Arial" w:hAnsi="Arial"/>
                <w:sz w:val="18"/>
                <w:szCs w:val="18"/>
                <w:color w:val="auto"/>
                <w:w w:val="96"/>
              </w:rPr>
              <w:t>William A. Hasler</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40" w:type="dxa"/>
            <w:vAlign w:val="bottom"/>
          </w:tcPr>
          <w:p>
            <w:pPr>
              <w:ind w:left="1160"/>
              <w:spacing w:after="0"/>
              <w:rPr>
                <w:sz w:val="20"/>
                <w:szCs w:val="20"/>
                <w:color w:val="auto"/>
              </w:rPr>
            </w:pPr>
            <w:r>
              <w:rPr>
                <w:rFonts w:ascii="Arial" w:cs="Arial" w:eastAsia="Arial" w:hAnsi="Arial"/>
                <w:sz w:val="18"/>
                <w:szCs w:val="18"/>
                <w:color w:val="auto"/>
                <w:w w:val="83"/>
              </w:rPr>
              <w:t>/s/</w:t>
            </w:r>
          </w:p>
        </w:tc>
        <w:tc>
          <w:tcPr>
            <w:tcW w:w="2900" w:type="dxa"/>
            <w:vAlign w:val="bottom"/>
            <w:gridSpan w:val="4"/>
          </w:tcPr>
          <w:p>
            <w:pPr>
              <w:jc w:val="center"/>
              <w:ind w:right="980"/>
              <w:spacing w:after="0"/>
              <w:rPr>
                <w:sz w:val="20"/>
                <w:szCs w:val="20"/>
                <w:color w:val="auto"/>
              </w:rPr>
            </w:pPr>
            <w:r>
              <w:rPr>
                <w:rFonts w:ascii="Arial" w:cs="Arial" w:eastAsia="Arial" w:hAnsi="Arial"/>
                <w:sz w:val="18"/>
                <w:szCs w:val="18"/>
                <w:color w:val="auto"/>
                <w:w w:val="95"/>
              </w:rPr>
              <w:t>Clifford H. Higgerson</w:t>
            </w:r>
          </w:p>
        </w:tc>
        <w:tc>
          <w:tcPr>
            <w:tcW w:w="46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gridSpan w:val="5"/>
          </w:tcPr>
          <w:p>
            <w:pPr>
              <w:jc w:val="center"/>
              <w:spacing w:after="0"/>
              <w:rPr>
                <w:sz w:val="20"/>
                <w:szCs w:val="20"/>
                <w:color w:val="auto"/>
              </w:rPr>
            </w:pPr>
            <w:r>
              <w:rPr>
                <w:rFonts w:ascii="Arial" w:cs="Arial" w:eastAsia="Arial" w:hAnsi="Arial"/>
                <w:sz w:val="18"/>
                <w:szCs w:val="18"/>
                <w:color w:val="auto"/>
                <w:w w:val="95"/>
              </w:rPr>
              <w:t>Clifford H. Higgerson</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300"/>
              <w:spacing w:after="0"/>
              <w:rPr>
                <w:sz w:val="20"/>
                <w:szCs w:val="20"/>
                <w:color w:val="auto"/>
              </w:rPr>
            </w:pPr>
            <w:r>
              <w:rPr>
                <w:rFonts w:ascii="Arial" w:cs="Arial" w:eastAsia="Arial" w:hAnsi="Arial"/>
                <w:sz w:val="18"/>
                <w:szCs w:val="18"/>
                <w:color w:val="auto"/>
              </w:rPr>
              <w:t>/s/</w:t>
            </w:r>
          </w:p>
        </w:tc>
        <w:tc>
          <w:tcPr>
            <w:tcW w:w="2720" w:type="dxa"/>
            <w:vAlign w:val="bottom"/>
            <w:gridSpan w:val="3"/>
          </w:tcPr>
          <w:p>
            <w:pPr>
              <w:jc w:val="center"/>
              <w:ind w:right="1160"/>
              <w:spacing w:after="0"/>
              <w:rPr>
                <w:sz w:val="20"/>
                <w:szCs w:val="20"/>
                <w:color w:val="auto"/>
              </w:rPr>
            </w:pPr>
            <w:r>
              <w:rPr>
                <w:rFonts w:ascii="Arial" w:cs="Arial" w:eastAsia="Arial" w:hAnsi="Arial"/>
                <w:sz w:val="18"/>
                <w:szCs w:val="18"/>
                <w:color w:val="auto"/>
                <w:w w:val="87"/>
              </w:rPr>
              <w:t>Raghavendra Rau</w:t>
            </w:r>
          </w:p>
        </w:tc>
        <w:tc>
          <w:tcPr>
            <w:tcW w:w="46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900" w:type="dxa"/>
            <w:vAlign w:val="bottom"/>
            <w:gridSpan w:val="4"/>
          </w:tcPr>
          <w:p>
            <w:pPr>
              <w:jc w:val="center"/>
              <w:ind w:right="1340"/>
              <w:spacing w:after="0"/>
              <w:rPr>
                <w:sz w:val="20"/>
                <w:szCs w:val="20"/>
                <w:color w:val="auto"/>
              </w:rPr>
            </w:pPr>
            <w:r>
              <w:rPr>
                <w:rFonts w:ascii="Arial" w:cs="Arial" w:eastAsia="Arial" w:hAnsi="Arial"/>
                <w:sz w:val="18"/>
                <w:szCs w:val="18"/>
                <w:color w:val="auto"/>
                <w:w w:val="87"/>
              </w:rPr>
              <w:t>Raghavendra Rau</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340"/>
              <w:spacing w:after="0"/>
              <w:rPr>
                <w:sz w:val="20"/>
                <w:szCs w:val="20"/>
                <w:color w:val="auto"/>
              </w:rPr>
            </w:pPr>
            <w:r>
              <w:rPr>
                <w:rFonts w:ascii="Arial" w:cs="Arial" w:eastAsia="Arial" w:hAnsi="Arial"/>
                <w:sz w:val="18"/>
                <w:szCs w:val="18"/>
                <w:color w:val="auto"/>
                <w:w w:val="83"/>
              </w:rPr>
              <w:t>/s/</w:t>
            </w:r>
          </w:p>
        </w:tc>
        <w:tc>
          <w:tcPr>
            <w:tcW w:w="2720" w:type="dxa"/>
            <w:vAlign w:val="bottom"/>
            <w:gridSpan w:val="3"/>
          </w:tcPr>
          <w:p>
            <w:pPr>
              <w:jc w:val="center"/>
              <w:ind w:right="1180"/>
              <w:spacing w:after="0"/>
              <w:rPr>
                <w:sz w:val="20"/>
                <w:szCs w:val="20"/>
                <w:color w:val="auto"/>
              </w:rPr>
            </w:pPr>
            <w:r>
              <w:rPr>
                <w:rFonts w:ascii="Arial" w:cs="Arial" w:eastAsia="Arial" w:hAnsi="Arial"/>
                <w:sz w:val="18"/>
                <w:szCs w:val="18"/>
                <w:color w:val="auto"/>
                <w:w w:val="90"/>
              </w:rPr>
              <w:t>Dr. Mohsen Sohi</w:t>
            </w:r>
          </w:p>
        </w:tc>
        <w:tc>
          <w:tcPr>
            <w:tcW w:w="46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900" w:type="dxa"/>
            <w:vAlign w:val="bottom"/>
            <w:gridSpan w:val="4"/>
          </w:tcPr>
          <w:p>
            <w:pPr>
              <w:jc w:val="center"/>
              <w:ind w:right="1340"/>
              <w:spacing w:after="0"/>
              <w:rPr>
                <w:sz w:val="20"/>
                <w:szCs w:val="20"/>
                <w:color w:val="auto"/>
              </w:rPr>
            </w:pPr>
            <w:r>
              <w:rPr>
                <w:rFonts w:ascii="Arial" w:cs="Arial" w:eastAsia="Arial" w:hAnsi="Arial"/>
                <w:sz w:val="18"/>
                <w:szCs w:val="18"/>
                <w:color w:val="auto"/>
                <w:w w:val="92"/>
              </w:rPr>
              <w:t>Dr. Mohsen Sohi</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w w:val="73"/>
              </w:rPr>
              <w:t>/s/</w:t>
            </w:r>
          </w:p>
        </w:tc>
        <w:tc>
          <w:tcPr>
            <w:tcW w:w="272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James C. Stoffel</w:t>
            </w:r>
          </w:p>
        </w:tc>
        <w:tc>
          <w:tcPr>
            <w:tcW w:w="4640" w:type="dxa"/>
            <w:vAlign w:val="bottom"/>
            <w:gridSpan w:val="3"/>
          </w:tcPr>
          <w:p>
            <w:pPr>
              <w:jc w:val="center"/>
              <w:ind w:left="171"/>
              <w:spacing w:after="0"/>
              <w:rPr>
                <w:sz w:val="20"/>
                <w:szCs w:val="20"/>
                <w:color w:val="auto"/>
              </w:rPr>
            </w:pPr>
            <w:r>
              <w:rPr>
                <w:rFonts w:ascii="Arial" w:cs="Arial" w:eastAsia="Arial" w:hAnsi="Arial"/>
                <w:sz w:val="18"/>
                <w:szCs w:val="18"/>
                <w:color w:val="auto"/>
                <w:w w:val="91"/>
              </w:rPr>
              <w:t>Lead Independent Director</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3"/>
          </w:tcPr>
          <w:p>
            <w:pPr>
              <w:jc w:val="center"/>
              <w:ind w:right="1500"/>
              <w:spacing w:after="0"/>
              <w:rPr>
                <w:sz w:val="20"/>
                <w:szCs w:val="20"/>
                <w:color w:val="auto"/>
              </w:rPr>
            </w:pPr>
            <w:r>
              <w:rPr>
                <w:rFonts w:ascii="Arial" w:cs="Arial" w:eastAsia="Arial" w:hAnsi="Arial"/>
                <w:sz w:val="18"/>
                <w:szCs w:val="18"/>
                <w:color w:val="auto"/>
                <w:w w:val="89"/>
              </w:rPr>
              <w:t>James C. Stoffel</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40" w:type="dxa"/>
            <w:vAlign w:val="bottom"/>
          </w:tcPr>
          <w:p>
            <w:pPr>
              <w:ind w:left="1180"/>
              <w:spacing w:after="0"/>
              <w:rPr>
                <w:sz w:val="20"/>
                <w:szCs w:val="20"/>
                <w:color w:val="auto"/>
              </w:rPr>
            </w:pPr>
            <w:r>
              <w:rPr>
                <w:rFonts w:ascii="Arial" w:cs="Arial" w:eastAsia="Arial" w:hAnsi="Arial"/>
                <w:sz w:val="18"/>
                <w:szCs w:val="18"/>
                <w:color w:val="auto"/>
                <w:w w:val="73"/>
              </w:rPr>
              <w:t>/s/</w:t>
            </w:r>
          </w:p>
        </w:tc>
        <w:tc>
          <w:tcPr>
            <w:tcW w:w="2900" w:type="dxa"/>
            <w:vAlign w:val="bottom"/>
            <w:gridSpan w:val="4"/>
          </w:tcPr>
          <w:p>
            <w:pPr>
              <w:jc w:val="center"/>
              <w:ind w:right="980"/>
              <w:spacing w:after="0"/>
              <w:rPr>
                <w:sz w:val="20"/>
                <w:szCs w:val="20"/>
                <w:color w:val="auto"/>
              </w:rPr>
            </w:pPr>
            <w:r>
              <w:rPr>
                <w:rFonts w:ascii="Arial" w:cs="Arial" w:eastAsia="Arial" w:hAnsi="Arial"/>
                <w:sz w:val="18"/>
                <w:szCs w:val="18"/>
                <w:color w:val="auto"/>
                <w:w w:val="90"/>
              </w:rPr>
              <w:t>Edward F. Thompson</w:t>
            </w:r>
          </w:p>
        </w:tc>
        <w:tc>
          <w:tcPr>
            <w:tcW w:w="46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4, 2012</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900" w:type="dxa"/>
            <w:vAlign w:val="bottom"/>
            <w:gridSpan w:val="4"/>
          </w:tcPr>
          <w:p>
            <w:pPr>
              <w:jc w:val="center"/>
              <w:ind w:right="1340"/>
              <w:spacing w:after="0"/>
              <w:rPr>
                <w:sz w:val="20"/>
                <w:szCs w:val="20"/>
                <w:color w:val="auto"/>
              </w:rPr>
            </w:pPr>
            <w:r>
              <w:rPr>
                <w:rFonts w:ascii="Arial" w:cs="Arial" w:eastAsia="Arial" w:hAnsi="Arial"/>
                <w:sz w:val="18"/>
                <w:szCs w:val="18"/>
                <w:color w:val="auto"/>
                <w:w w:val="90"/>
              </w:rPr>
              <w:t>Edward F. Thompson</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240" w:top="125" w:right="699" w:bottom="1440" w:gutter="0" w:footer="0" w:header="0"/>
        </w:sectPr>
      </w:pPr>
    </w:p>
    <w:p>
      <w:pPr>
        <w:spacing w:after="0" w:line="5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960"/>
          </w:cols>
          <w:pgMar w:left="240" w:top="125" w:right="69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AVIAT NETWORKS, INC.</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Years Ended June 29, 2012, July 1, 2011 and July 2, 2010</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4"/>
              </w:rPr>
              <w:t>Balance at</w:t>
            </w:r>
          </w:p>
        </w:tc>
        <w:tc>
          <w:tcPr>
            <w:tcW w:w="380" w:type="dxa"/>
            <w:vAlign w:val="bottom"/>
          </w:tcPr>
          <w:p>
            <w:pPr>
              <w:spacing w:after="0"/>
              <w:rPr>
                <w:sz w:val="14"/>
                <w:szCs w:val="14"/>
                <w:color w:val="auto"/>
              </w:rPr>
            </w:pPr>
          </w:p>
        </w:tc>
        <w:tc>
          <w:tcPr>
            <w:tcW w:w="120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Additions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4"/>
              </w:rPr>
              <w:t>Charged to</w:t>
            </w:r>
          </w:p>
        </w:tc>
        <w:tc>
          <w:tcPr>
            <w:tcW w:w="300" w:type="dxa"/>
            <w:vAlign w:val="bottom"/>
          </w:tcPr>
          <w:p>
            <w:pPr>
              <w:spacing w:after="0"/>
              <w:rPr>
                <w:sz w:val="12"/>
                <w:szCs w:val="12"/>
                <w:color w:val="auto"/>
              </w:rPr>
            </w:pPr>
          </w:p>
        </w:tc>
        <w:tc>
          <w:tcPr>
            <w:tcW w:w="9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Deductions</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Beginning of</w:t>
            </w:r>
          </w:p>
        </w:tc>
        <w:tc>
          <w:tcPr>
            <w:tcW w:w="380" w:type="dxa"/>
            <w:vAlign w:val="bottom"/>
          </w:tcPr>
          <w:p>
            <w:pPr>
              <w:spacing w:after="0"/>
              <w:rPr>
                <w:sz w:val="12"/>
                <w:szCs w:val="12"/>
                <w:color w:val="auto"/>
              </w:rPr>
            </w:pPr>
          </w:p>
        </w:tc>
        <w:tc>
          <w:tcPr>
            <w:tcW w:w="12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1"/>
              </w:rPr>
              <w:t>Costs and</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Period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8"/>
              </w:rPr>
              <w:t>Expenses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Describe</w:t>
            </w:r>
          </w:p>
        </w:tc>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Allowances for collection losses: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Year ended June 29, 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14.2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ind w:left="60"/>
              <w:spacing w:after="0"/>
              <w:rPr>
                <w:sz w:val="20"/>
                <w:szCs w:val="20"/>
                <w:color w:val="auto"/>
              </w:rPr>
            </w:pPr>
            <w:r>
              <w:rPr>
                <w:rFonts w:ascii="Arial" w:cs="Arial" w:eastAsia="Arial" w:hAnsi="Arial"/>
                <w:sz w:val="13"/>
                <w:szCs w:val="13"/>
                <w:color w:val="auto"/>
              </w:rPr>
              <w:t>(A)</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July 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13.3</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Year ended July 2, 2010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27.0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380" w:type="dxa"/>
            <w:vAlign w:val="bottom"/>
          </w:tcPr>
          <w:p>
            <w:pPr>
              <w:ind w:left="60"/>
              <w:spacing w:after="0"/>
              <w:rPr>
                <w:sz w:val="20"/>
                <w:szCs w:val="20"/>
                <w:color w:val="auto"/>
              </w:rPr>
            </w:pPr>
            <w:r>
              <w:rPr>
                <w:rFonts w:ascii="Arial" w:cs="Arial" w:eastAsia="Arial" w:hAnsi="Arial"/>
                <w:sz w:val="13"/>
                <w:szCs w:val="13"/>
                <w:color w:val="auto"/>
              </w:rPr>
              <w:t>(C)</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Deferred tax asset valuation allowance:</w:t>
            </w:r>
            <w:r>
              <w:rPr>
                <w:rFonts w:ascii="Arial" w:cs="Arial" w:eastAsia="Arial" w:hAnsi="Arial"/>
                <w:sz w:val="25"/>
                <w:szCs w:val="25"/>
                <w:b w:val="1"/>
                <w:bCs w:val="1"/>
                <w:color w:val="auto"/>
                <w:vertAlign w:val="superscript"/>
              </w:rPr>
              <w:t>(D)</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Year ended June 29, 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196.4</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July 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183.4</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Year ended July 2, 2010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168.9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14.5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43"/>
        </w:trPr>
        <w:tc>
          <w:tcPr>
            <w:tcW w:w="530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960" w:right="120" w:hanging="917"/>
        <w:spacing w:after="0" w:line="277" w:lineRule="auto"/>
        <w:tabs>
          <w:tab w:leader="none" w:pos="940" w:val="left"/>
        </w:tabs>
        <w:rPr>
          <w:sz w:val="20"/>
          <w:szCs w:val="20"/>
          <w:color w:val="auto"/>
        </w:rPr>
      </w:pPr>
      <w:r>
        <w:rPr>
          <w:rFonts w:ascii="Arial" w:cs="Arial" w:eastAsia="Arial" w:hAnsi="Arial"/>
          <w:sz w:val="18"/>
          <w:szCs w:val="18"/>
          <w:color w:val="auto"/>
        </w:rPr>
        <w:t>Note A</w:t>
      </w:r>
      <w:r>
        <w:rPr>
          <w:sz w:val="20"/>
          <w:szCs w:val="20"/>
          <w:color w:val="auto"/>
        </w:rPr>
        <w:tab/>
      </w:r>
      <w:r>
        <w:rPr>
          <w:rFonts w:ascii="Arial" w:cs="Arial" w:eastAsia="Arial" w:hAnsi="Arial"/>
          <w:sz w:val="18"/>
          <w:szCs w:val="18"/>
          <w:color w:val="auto"/>
        </w:rPr>
        <w:t>Consists of changes to allowance for collection losses of $0.7 million for foreign currency translation gains and $1.2 million for uncollectible accounts charged off, net of recoveries on accounts previously charged off.</w:t>
      </w:r>
    </w:p>
    <w:p>
      <w:pPr>
        <w:spacing w:after="0" w:line="130" w:lineRule="exact"/>
        <w:rPr>
          <w:sz w:val="20"/>
          <w:szCs w:val="20"/>
          <w:color w:val="auto"/>
        </w:rPr>
      </w:pPr>
    </w:p>
    <w:p>
      <w:pPr>
        <w:ind w:left="960" w:right="20" w:hanging="917"/>
        <w:spacing w:after="0" w:line="308" w:lineRule="auto"/>
        <w:tabs>
          <w:tab w:leader="none" w:pos="940" w:val="left"/>
        </w:tabs>
        <w:rPr>
          <w:sz w:val="20"/>
          <w:szCs w:val="20"/>
          <w:color w:val="auto"/>
        </w:rPr>
      </w:pPr>
      <w:r>
        <w:rPr>
          <w:rFonts w:ascii="Arial" w:cs="Arial" w:eastAsia="Arial" w:hAnsi="Arial"/>
          <w:sz w:val="18"/>
          <w:szCs w:val="18"/>
          <w:color w:val="auto"/>
        </w:rPr>
        <w:t>Note B</w:t>
      </w:r>
      <w:r>
        <w:rPr>
          <w:sz w:val="20"/>
          <w:szCs w:val="20"/>
          <w:color w:val="auto"/>
        </w:rPr>
        <w:tab/>
      </w:r>
      <w:r>
        <w:rPr>
          <w:rFonts w:ascii="Arial" w:cs="Arial" w:eastAsia="Arial" w:hAnsi="Arial"/>
          <w:sz w:val="17"/>
          <w:szCs w:val="17"/>
          <w:color w:val="auto"/>
        </w:rPr>
        <w:t>Consists of changes to allowance for collection losses of $0.4 million for foreign currency translation losses, $1.7 million in additions from the sale of NetBoss assets and $4.1 million for uncollectible accounts charged off, net of recoveries on accounts previously charged off.</w:t>
      </w:r>
    </w:p>
    <w:p>
      <w:pPr>
        <w:spacing w:after="0" w:line="106" w:lineRule="exact"/>
        <w:rPr>
          <w:sz w:val="20"/>
          <w:szCs w:val="20"/>
          <w:color w:val="auto"/>
        </w:rPr>
      </w:pPr>
    </w:p>
    <w:p>
      <w:pPr>
        <w:ind w:left="960" w:right="260" w:hanging="917"/>
        <w:spacing w:after="0" w:line="277" w:lineRule="auto"/>
        <w:tabs>
          <w:tab w:leader="none" w:pos="940" w:val="left"/>
        </w:tabs>
        <w:rPr>
          <w:sz w:val="20"/>
          <w:szCs w:val="20"/>
          <w:color w:val="auto"/>
        </w:rPr>
      </w:pPr>
      <w:r>
        <w:rPr>
          <w:rFonts w:ascii="Arial" w:cs="Arial" w:eastAsia="Arial" w:hAnsi="Arial"/>
          <w:sz w:val="18"/>
          <w:szCs w:val="18"/>
          <w:color w:val="auto"/>
        </w:rPr>
        <w:t>Note C</w:t>
      </w:r>
      <w:r>
        <w:rPr>
          <w:sz w:val="20"/>
          <w:szCs w:val="20"/>
          <w:color w:val="auto"/>
        </w:rPr>
        <w:tab/>
      </w:r>
      <w:r>
        <w:rPr>
          <w:rFonts w:ascii="Arial" w:cs="Arial" w:eastAsia="Arial" w:hAnsi="Arial"/>
          <w:sz w:val="18"/>
          <w:szCs w:val="18"/>
          <w:color w:val="auto"/>
        </w:rPr>
        <w:t>Consists of changes to allowance for collection losses of $16.3 million for uncollectible accounts charged off, net of recoveries on accounts previously charged off.</w:t>
      </w:r>
    </w:p>
    <w:p>
      <w:pPr>
        <w:spacing w:after="0" w:line="25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Note D</w:t>
      </w:r>
      <w:r>
        <w:rPr>
          <w:sz w:val="20"/>
          <w:szCs w:val="20"/>
          <w:color w:val="auto"/>
        </w:rPr>
        <w:tab/>
      </w:r>
      <w:r>
        <w:rPr>
          <w:rFonts w:ascii="Arial" w:cs="Arial" w:eastAsia="Arial" w:hAnsi="Arial"/>
          <w:sz w:val="16"/>
          <w:szCs w:val="16"/>
          <w:color w:val="auto"/>
        </w:rPr>
        <w:t>Additions to deferred tax valuation allowance are recorded as expense and reductions to tax valuation allowance are recorded as benefit.</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60"/>
          </w:cols>
          <w:pgMar w:left="240" w:top="125" w:right="39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320" w:type="dxa"/>
            <w:vAlign w:val="bottom"/>
          </w:tcPr>
          <w:p>
            <w:pPr>
              <w:spacing w:after="0"/>
              <w:rPr>
                <w:sz w:val="24"/>
                <w:szCs w:val="24"/>
                <w:color w:val="auto"/>
              </w:rPr>
            </w:pPr>
          </w:p>
        </w:tc>
        <w:tc>
          <w:tcPr>
            <w:tcW w:w="11000" w:type="dxa"/>
            <w:vAlign w:val="bottom"/>
            <w:gridSpan w:val="5"/>
          </w:tcPr>
          <w:p>
            <w:pPr>
              <w:ind w:left="8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tc>
      </w:tr>
      <w:tr>
        <w:trPr>
          <w:trHeight w:val="486"/>
        </w:trPr>
        <w:tc>
          <w:tcPr>
            <w:tcW w:w="3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91"/>
              </w:rPr>
              <w:t>Ex. #</w:t>
            </w:r>
          </w:p>
        </w:tc>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85"/>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Asset Purchase Agreement by and among Aviat U.S., Inc. and EION Networks, Inc., dated as of September 2, 2011 (incorporated by</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reference to Exhibit 2.1 to the Report on Form 8-K filed with the Securities and Exchange Commission on September 9, 2011, File No. 001-</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77"/>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Amended and Restated Certificate of Incorporation of Harris Stratex Networks, Inc. as filed with the Secretary of State of the State of</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Delaware on November 19, 2009 (incorporated by reference to Exhibit 3.1 to the Report on Form 8-K filed with the Securities and Exchange</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Commission on November 20, 2009, File No. 001-33278)</w:t>
            </w:r>
          </w:p>
        </w:tc>
      </w:tr>
      <w:tr>
        <w:trPr>
          <w:trHeight w:val="377"/>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Amended and Restated Bylaws of Harris Stratex Networks, Inc. (incorporated by reference to Exhibit 3.2 to the Report on Form 8-K filed</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with the Securities and Exchange Commission on November 20, 2009, File No. 001-33278)</w:t>
            </w:r>
          </w:p>
        </w:tc>
      </w:tr>
      <w:tr>
        <w:trPr>
          <w:trHeight w:val="377"/>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4"/>
              </w:rPr>
              <w:t>Certificate of Ownership and Merger Merging Aviat Networks, Inc. into Harris Stratex Networks, Inc., effective January 27, 2010, as filed</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0"/>
              </w:rPr>
              <w:t>with the Secretary of State of the State of Delaware on January 27, 2010 (incorporated by reference to Exhibit 3.1 to the Report on Form 8-K</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filed with the Securities and Exchange Commission on January 28, 2010, File No. 001-33278)</w:t>
            </w:r>
          </w:p>
        </w:tc>
      </w:tr>
      <w:tr>
        <w:trPr>
          <w:trHeight w:val="392"/>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Specimen common stock certificate, adopted as of January 29, 2010 (incorporated by reference to Exhibit 4.1.1 to the Company’s Annual</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Report on Form 10-K for fiscal year end July 2, 2010 filed with the Securities and Exchange Commission on September 9, 2010, File No.</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001-33278)</w:t>
            </w:r>
          </w:p>
        </w:tc>
        <w:tc>
          <w:tcPr>
            <w:tcW w:w="7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92"/>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ind w:left="14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320" w:type="dxa"/>
            <w:vAlign w:val="bottom"/>
          </w:tcPr>
          <w:p>
            <w:pPr>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4"/>
              </w:rPr>
              <w:t>Intellectual Property Agreement between Harris Stratex Networks, Inc. and Harris Corporation dated January 26, 2007 (incorporated by</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reference to Exhibit 10.4 to the Report on Form 8-K filed with the Securities and Exchange Commission on February 1, 2007, File No. 001-</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86"/>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87</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91"/>
              </w:rPr>
              <w:t>Ex. #</w:t>
            </w: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85"/>
              </w:rPr>
              <w:t>10.4</w:t>
            </w:r>
          </w:p>
        </w:tc>
        <w:tc>
          <w:tcPr>
            <w:tcW w:w="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700" w:type="dxa"/>
            <w:vAlign w:val="bottom"/>
            <w:tcBorders>
              <w:top w:val="single" w:sz="8" w:color="auto"/>
            </w:tcBorders>
          </w:tcPr>
          <w:p>
            <w:pPr>
              <w:spacing w:after="0"/>
              <w:rPr>
                <w:sz w:val="24"/>
                <w:szCs w:val="24"/>
                <w:color w:val="auto"/>
              </w:rPr>
            </w:pPr>
          </w:p>
        </w:tc>
        <w:tc>
          <w:tcPr>
            <w:tcW w:w="4740" w:type="dxa"/>
            <w:vAlign w:val="bottom"/>
          </w:tcPr>
          <w:p>
            <w:pPr>
              <w:spacing w:after="0"/>
              <w:rPr>
                <w:sz w:val="24"/>
                <w:szCs w:val="24"/>
                <w:color w:val="auto"/>
              </w:rPr>
            </w:pP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w w:val="85"/>
              </w:rPr>
              <w:t>10.9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Tax Sharing Agreement between Harris Stratex Networks, Inc. and Harris Corporation dated January 26, 2007 (incorporated by reference to</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5"/>
              </w:rPr>
              <w:t>Exhibit 10.11 to the Report on Form 8-K filed with the Securities and Exchange Commission on February 1, 2007, File No. 001-33278)</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w w:val="92"/>
              </w:rPr>
              <w:t>10.13.1*</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7"/>
              </w:rPr>
              <w:t>Standard Form of Executive Employment Agreement between Harris Stratex Networks, Inc. and certain executives (incorporated by</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reference to Exhibit 10.16 to the Report on Form 8-K filed with the Securities and Exchange Commission on February 1, 2007, File No. 001-</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w w:val="91"/>
              </w:rPr>
              <w:t>Form of Indemnification Agreement between Harris Stratex Networks, Inc. and its directors and certain officers (incorporated by reference to</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Exhibit 10.16 to the Registration Statement on Form S-1 of Stratex Networks, Inc., File No. 33-13431)</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104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486"/>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91"/>
              </w:rPr>
              <w:t>Ex. #</w:t>
            </w: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71"/>
        </w:trPr>
        <w:tc>
          <w:tcPr>
            <w:tcW w:w="640" w:type="dxa"/>
            <w:vAlign w:val="bottom"/>
            <w:gridSpan w:val="2"/>
          </w:tcPr>
          <w:p>
            <w:pPr>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7"/>
              </w:rPr>
              <w:t>Harris Stratex Networks, Inc. Annual Incentive Plan (incorporated by reference to Exhibit 10.17 to the Company’s Annual Report on</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0"/>
              </w:rPr>
              <w:t>Form 10-K for the fiscal year ended June 27, 2008 filed with the Securities and Exchange Commission on September 25, 2008, File No. 001-</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Harris Stratex Networks, Inc. 2007 Stock Equity Plan (incorporated by reference to Exhibit 4.9 to the Registration Statement on Form S-8</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filed with the Securities and Exchange Commission on February 5, 2007, File No. 333-140442)</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Harris Stratex Networks, Inc. 2007 Stock Equity Plan (As Amended and Restated Effective November 19, 2009) (incorporated by reference</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5"/>
              </w:rPr>
              <w:t>to Appendix B to the Registrant’s Schedule 14A filed with the Securities and Exchange Commission on October 7, 2009, File No. 001-</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33278)</w:t>
            </w:r>
          </w:p>
        </w:tc>
        <w:tc>
          <w:tcPr>
            <w:tcW w:w="7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10.18.2</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Aviat Networks, Inc. 2007 Stock Equity Plan (As Amended and Restated Effective November 17, 2011) (incorporated by reference to</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Appendix A to the Registrant’s Schedule 14A filed with the Securities and Exchange Commission on October 3, 2011, File No. 001-33278)</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10.19.1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10.20.1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10.20.2</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4"/>
              </w:rPr>
              <w:t>Loan and Security Agreement between Aviat Networks, Inc., Aviat U.S., Inc., Aviat Networks (S) Pte Ltd. and Silicon Valley Bank, dated</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9"/>
              </w:rPr>
              <w:t>September 30, 2010 (incorporated by reference to Exhibit 10.1 to the Report on Form 8-K filed with the Securities and Exchange</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Commission on October 4, 2010, File No. 001-33278)</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w w:val="92"/>
              </w:rPr>
              <w:t>10.22.1*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0"/>
              </w:rPr>
              <w:t>Employment Agreement, effective as of October 31, 2011, between Aviat Networks, Inc. and Edward J. Hayes, Jr. (incorporated by reference</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to the Report on Form 8-K filed with the Securities and Exchange Commission on October 31, 2011, File No. 001-33278)</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(incorporated by reference to</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Exhibit 10.15.2 to the Company’s Quarterly Report on Form 10-Q for the fiscal quarter ended March 30, 2007 filed with the Securities and</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Exchange Commission on May 8, 2007, File No. 001-33278)</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Employment Agreement, dated as of May 14, 2002, between Stratex Networks, Inc. and Paul Kennard (incorporated by reference to</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Exhibit 10.1 to the Stratex Networks, Inc. Quarterly Report on Form 10-Q for the fiscal quarter ended June 30, 2006 filed with the Securities</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and Exchange Commission on August 9, 2006, File No. 000-15895)</w:t>
            </w:r>
          </w:p>
        </w:tc>
      </w:tr>
      <w:tr>
        <w:trPr>
          <w:trHeight w:val="377"/>
        </w:trPr>
        <w:tc>
          <w:tcPr>
            <w:tcW w:w="640" w:type="dxa"/>
            <w:vAlign w:val="bottom"/>
            <w:gridSpan w:val="2"/>
          </w:tcPr>
          <w:p>
            <w:pPr>
              <w:spacing w:after="0"/>
              <w:rPr>
                <w:sz w:val="20"/>
                <w:szCs w:val="20"/>
                <w:color w:val="auto"/>
              </w:rPr>
            </w:pPr>
            <w:r>
              <w:rPr>
                <w:rFonts w:ascii="Arial" w:cs="Arial" w:eastAsia="Arial" w:hAnsi="Arial"/>
                <w:sz w:val="18"/>
                <w:szCs w:val="18"/>
                <w:color w:val="auto"/>
                <w:w w:val="92"/>
              </w:rPr>
              <w:t>10.24.1*</w:t>
            </w:r>
          </w:p>
        </w:tc>
        <w:tc>
          <w:tcPr>
            <w:tcW w:w="240" w:type="dxa"/>
            <w:vAlign w:val="bottom"/>
          </w:tcPr>
          <w:p>
            <w:pPr>
              <w:spacing w:after="0"/>
              <w:rPr>
                <w:sz w:val="24"/>
                <w:szCs w:val="24"/>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5"/>
              </w:rPr>
              <w:t>Amendment A, effective as of April 1, 2006, to Employment Agreement, dated May 14, 2002, between Stratex Networks, Inc. and Paul</w:t>
            </w: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Kennard (incorporated by reference to Exhibit 10.2 to the Stratex Networks, Inc. Quarterly Report on Form 10-Q for the fiscal quarter ended</w:t>
            </w:r>
          </w:p>
        </w:tc>
      </w:tr>
      <w:tr>
        <w:trPr>
          <w:trHeight w:val="230"/>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June 30, 2006 filed with the Securities and Exchange Commission on August 9, 2006, File No. 000-15895)</w:t>
            </w:r>
          </w:p>
        </w:tc>
      </w:tr>
      <w:tr>
        <w:trPr>
          <w:trHeight w:val="486"/>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89</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Ex. #</w:t>
            </w:r>
          </w:p>
        </w:tc>
        <w:tc>
          <w:tcPr>
            <w:tcW w:w="3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60" w:type="dxa"/>
            <w:vAlign w:val="bottom"/>
          </w:tcPr>
          <w:p>
            <w:pPr>
              <w:spacing w:after="0"/>
              <w:rPr>
                <w:sz w:val="14"/>
                <w:szCs w:val="14"/>
                <w:color w:val="auto"/>
              </w:rPr>
            </w:pPr>
          </w:p>
        </w:tc>
      </w:tr>
      <w:tr>
        <w:trPr>
          <w:trHeight w:val="573"/>
        </w:trPr>
        <w:tc>
          <w:tcPr>
            <w:tcW w:w="740" w:type="dxa"/>
            <w:vAlign w:val="bottom"/>
            <w:gridSpan w:val="2"/>
          </w:tcPr>
          <w:p>
            <w:pPr>
              <w:spacing w:after="0"/>
              <w:rPr>
                <w:sz w:val="20"/>
                <w:szCs w:val="20"/>
                <w:color w:val="auto"/>
              </w:rPr>
            </w:pPr>
            <w:r>
              <w:rPr>
                <w:rFonts w:ascii="Arial" w:cs="Arial" w:eastAsia="Arial" w:hAnsi="Arial"/>
                <w:sz w:val="18"/>
                <w:szCs w:val="18"/>
                <w:color w:val="auto"/>
              </w:rPr>
              <w:t>10.24.2*</w:t>
            </w: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2"/>
              </w:rPr>
              <w:t>Amendment B, effective as of April 1, 2006, to Employment Agreement, dated May 14, 2002, between Stratex Networks, Inc. and Paul</w:t>
            </w: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3"/>
              </w:rPr>
              <w:t>Kennard (incorporated by reference to Exhibit 10.3 to the Stratex Networks, Inc. Quarterly Report on Form 10-Q for the fiscal quarter</w:t>
            </w:r>
          </w:p>
        </w:tc>
      </w:tr>
      <w:tr>
        <w:trPr>
          <w:trHeight w:val="230"/>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ended June 30, 2006 filed with the Securities and Exchange Commission on August 9, 2006, File No. 000-15895)</w:t>
            </w:r>
          </w:p>
        </w:tc>
      </w:tr>
      <w:tr>
        <w:trPr>
          <w:trHeight w:val="377"/>
        </w:trPr>
        <w:tc>
          <w:tcPr>
            <w:tcW w:w="740" w:type="dxa"/>
            <w:vAlign w:val="bottom"/>
            <w:gridSpan w:val="2"/>
          </w:tcPr>
          <w:p>
            <w:pPr>
              <w:spacing w:after="0"/>
              <w:rPr>
                <w:sz w:val="20"/>
                <w:szCs w:val="20"/>
                <w:color w:val="auto"/>
              </w:rPr>
            </w:pPr>
            <w:r>
              <w:rPr>
                <w:rFonts w:ascii="Arial" w:cs="Arial" w:eastAsia="Arial" w:hAnsi="Arial"/>
                <w:sz w:val="18"/>
                <w:szCs w:val="18"/>
                <w:color w:val="auto"/>
              </w:rPr>
              <w:t>10.25*</w:t>
            </w: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3"/>
              </w:rPr>
              <w:t>Employment Agreement, dated as of May 14, 2002, between Stratex Networks, Inc. and Shaun McFall (incorporated by reference to</w:t>
            </w: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8"/>
              </w:rPr>
              <w:t>Exhibit 10.25 to the Company’s Annual Report on Form 10-K for the fiscal year ended July 3, 2009 filed with the Securities and</w:t>
            </w:r>
          </w:p>
        </w:tc>
      </w:tr>
      <w:tr>
        <w:trPr>
          <w:trHeight w:val="230"/>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Exchange Commission on September 4, 2009, File No. 001-33278)</w:t>
            </w:r>
          </w:p>
        </w:tc>
      </w:tr>
      <w:tr>
        <w:trPr>
          <w:trHeight w:val="391"/>
        </w:trPr>
        <w:tc>
          <w:tcPr>
            <w:tcW w:w="740" w:type="dxa"/>
            <w:vAlign w:val="bottom"/>
            <w:gridSpan w:val="2"/>
          </w:tcPr>
          <w:p>
            <w:pPr>
              <w:spacing w:after="0"/>
              <w:rPr>
                <w:sz w:val="20"/>
                <w:szCs w:val="20"/>
                <w:color w:val="auto"/>
              </w:rPr>
            </w:pPr>
            <w:r>
              <w:rPr>
                <w:rFonts w:ascii="Arial" w:cs="Arial" w:eastAsia="Arial" w:hAnsi="Arial"/>
                <w:sz w:val="18"/>
                <w:szCs w:val="18"/>
                <w:color w:val="auto"/>
              </w:rPr>
              <w:t>10.25.1*</w:t>
            </w: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1"/>
              </w:rPr>
              <w:t>Amendment, effective April 1, 2006, to Employment Agreement, dated May 14, 2002, between Stratex Networks, Inc. and Shaun McFall</w:t>
            </w: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2"/>
              </w:rPr>
              <w:t>(incorporated by reference to Exhibit 10.25.1 to the Company’s Annual Report on Form 10-K for the fiscal year ended July 3, 2009 filed</w:t>
            </w:r>
          </w:p>
        </w:tc>
      </w:tr>
      <w:tr>
        <w:trPr>
          <w:trHeight w:val="230"/>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with the Securities and Exchange Commission on September 4, 2009, File No. 001-33278)</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10.26.1*</w:t>
            </w: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740" w:type="dxa"/>
            <w:vAlign w:val="bottom"/>
            <w:gridSpan w:val="2"/>
          </w:tcPr>
          <w:p>
            <w:pPr>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740" w:type="dxa"/>
            <w:vAlign w:val="bottom"/>
            <w:gridSpan w:val="2"/>
          </w:tcPr>
          <w:p>
            <w:pPr>
              <w:spacing w:after="0"/>
              <w:rPr>
                <w:sz w:val="20"/>
                <w:szCs w:val="20"/>
                <w:color w:val="auto"/>
              </w:rPr>
            </w:pPr>
            <w:r>
              <w:rPr>
                <w:rFonts w:ascii="Arial" w:cs="Arial" w:eastAsia="Arial" w:hAnsi="Arial"/>
                <w:sz w:val="18"/>
                <w:szCs w:val="18"/>
                <w:color w:val="auto"/>
              </w:rPr>
              <w:t>10.28*</w:t>
            </w: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0"/>
              </w:rPr>
              <w:t>Employment Agreement, dated July 18, 2011, between Aviat Networks, Inc. and Michael Pangia (incorporated by reference to the Report</w:t>
            </w:r>
          </w:p>
        </w:tc>
      </w:tr>
      <w:tr>
        <w:trPr>
          <w:trHeight w:val="230"/>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on Form 8-K filed with the Securities and Exchange Commission on July 20, 2011, File No. 001-33278)</w:t>
            </w:r>
          </w:p>
        </w:tc>
      </w:tr>
      <w:tr>
        <w:trPr>
          <w:trHeight w:val="377"/>
        </w:trPr>
        <w:tc>
          <w:tcPr>
            <w:tcW w:w="740" w:type="dxa"/>
            <w:vAlign w:val="bottom"/>
            <w:gridSpan w:val="2"/>
          </w:tcPr>
          <w:p>
            <w:pPr>
              <w:spacing w:after="0"/>
              <w:rPr>
                <w:sz w:val="20"/>
                <w:szCs w:val="20"/>
                <w:color w:val="auto"/>
              </w:rPr>
            </w:pPr>
            <w:r>
              <w:rPr>
                <w:rFonts w:ascii="Arial" w:cs="Arial" w:eastAsia="Arial" w:hAnsi="Arial"/>
                <w:sz w:val="18"/>
                <w:szCs w:val="18"/>
                <w:color w:val="auto"/>
              </w:rPr>
              <w:t>10.29*</w:t>
            </w: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4"/>
              </w:rPr>
              <w:t>Employment Agreement, dated December 30, 2010, between Aviat Networks, Inc. and John Madigan (incorporated by reference to</w:t>
            </w:r>
          </w:p>
        </w:tc>
      </w:tr>
      <w:tr>
        <w:trPr>
          <w:trHeight w:val="230"/>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w w:val="94"/>
              </w:rPr>
              <w:t>Exhibit 10.1 to the Report on Form 8-K filed with the Securities and Exchange Commission on January 4, 2011, File No. 001-33278)</w:t>
            </w:r>
          </w:p>
        </w:tc>
      </w:tr>
      <w:tr>
        <w:trPr>
          <w:trHeight w:val="392"/>
        </w:trPr>
        <w:tc>
          <w:tcPr>
            <w:tcW w:w="420" w:type="dxa"/>
            <w:vAlign w:val="bottom"/>
          </w:tcPr>
          <w:p>
            <w:pPr>
              <w:spacing w:after="0"/>
              <w:rPr>
                <w:sz w:val="20"/>
                <w:szCs w:val="20"/>
                <w:color w:val="auto"/>
              </w:rPr>
            </w:pPr>
            <w:r>
              <w:rPr>
                <w:rFonts w:ascii="Arial" w:cs="Arial" w:eastAsia="Arial" w:hAnsi="Arial"/>
                <w:sz w:val="18"/>
                <w:szCs w:val="18"/>
                <w:color w:val="auto"/>
                <w:w w:val="88"/>
              </w:rPr>
              <w:t>10.30</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Moved to item number 10.20.2</w:t>
            </w: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w w:val="88"/>
              </w:rPr>
              <w:t>10.31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List of Subsidiaries of Aviat Networks, Inc.</w:t>
            </w:r>
          </w:p>
        </w:tc>
      </w:tr>
      <w:tr>
        <w:trPr>
          <w:trHeight w:val="392"/>
        </w:trPr>
        <w:tc>
          <w:tcPr>
            <w:tcW w:w="420" w:type="dxa"/>
            <w:vAlign w:val="bottom"/>
          </w:tcPr>
          <w:p>
            <w:pPr>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4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92"/>
        </w:trPr>
        <w:tc>
          <w:tcPr>
            <w:tcW w:w="4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92"/>
        </w:trPr>
        <w:tc>
          <w:tcPr>
            <w:tcW w:w="4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92"/>
        </w:trPr>
        <w:tc>
          <w:tcPr>
            <w:tcW w:w="420" w:type="dxa"/>
            <w:vAlign w:val="bottom"/>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Section 1350 Certification of Chief Financial Officer</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XBRL Instance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w:t>
      </w:r>
    </w:p>
    <w:p>
      <w:pPr>
        <w:spacing w:after="0" w:line="171" w:lineRule="exact"/>
        <w:rPr>
          <w:sz w:val="20"/>
          <w:szCs w:val="20"/>
          <w:color w:val="auto"/>
        </w:rPr>
      </w:pPr>
    </w:p>
    <w:p>
      <w:pPr>
        <w:ind w:left="500" w:hanging="465"/>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w:t>
      </w:r>
    </w:p>
    <w:p>
      <w:pPr>
        <w:spacing w:after="0" w:line="185" w:lineRule="exact"/>
        <w:rPr>
          <w:sz w:val="20"/>
          <w:szCs w:val="20"/>
          <w:color w:val="auto"/>
        </w:rPr>
      </w:pPr>
    </w:p>
    <w:p>
      <w:pPr>
        <w:ind w:left="500" w:right="80" w:hanging="465"/>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ectPr>
          <w:pgSz w:w="11900" w:h="16838" w:orient="portrait"/>
          <w:cols w:equalWidth="0" w:num="1">
            <w:col w:w="11320"/>
          </w:cols>
          <w:pgMar w:left="240" w:top="125" w:right="339" w:bottom="1440" w:gutter="0" w:footer="0" w:header="0"/>
        </w:sect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20"/>
          </w:cols>
          <w:pgMar w:left="240" w:top="125" w:right="3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AVIAT NETWORKS, INC.</w:t>
      </w:r>
    </w:p>
    <w:p>
      <w:pPr>
        <w:spacing w:after="0" w:line="113"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SUBSIDIARIES AS OF JUNE 29, 2012</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(100% direct or indirect ownership by Aviat Networks, Inc.)</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6860" w:type="dxa"/>
            <w:vAlign w:val="bottom"/>
          </w:tcPr>
          <w:p>
            <w:pPr>
              <w:spacing w:after="0"/>
              <w:rPr>
                <w:sz w:val="14"/>
                <w:szCs w:val="14"/>
                <w:color w:val="auto"/>
              </w:rPr>
            </w:pPr>
          </w:p>
        </w:tc>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ind w:left="20"/>
              <w:spacing w:after="0"/>
              <w:rPr>
                <w:sz w:val="20"/>
                <w:szCs w:val="20"/>
                <w:color w:val="auto"/>
              </w:rPr>
            </w:pPr>
            <w:r>
              <w:rPr>
                <w:rFonts w:ascii="Arial" w:cs="Arial" w:eastAsia="Arial" w:hAnsi="Arial"/>
                <w:sz w:val="18"/>
                <w:szCs w:val="18"/>
                <w:color w:val="auto"/>
              </w:rPr>
              <w:t>Aviat Networks Algeria S.A.R.L.</w:t>
            </w:r>
          </w:p>
        </w:tc>
        <w:tc>
          <w:tcPr>
            <w:tcW w:w="3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80" w:type="dxa"/>
            <w:vAlign w:val="bottom"/>
            <w:gridSpan w:val="2"/>
            <w:vMerge w:val="continue"/>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Algeria</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(Australia) Pty. Ltd. .</w:t>
            </w:r>
          </w:p>
        </w:tc>
        <w:tc>
          <w:tcPr>
            <w:tcW w:w="330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(Bangladesh)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Bangladesh</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Brasil Servicos em Communicacoes Ltda.</w:t>
            </w:r>
          </w:p>
        </w:tc>
        <w:tc>
          <w:tcPr>
            <w:tcW w:w="330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Stratex Networks do Brasil Ltda.</w:t>
            </w:r>
          </w:p>
        </w:tc>
        <w:tc>
          <w:tcPr>
            <w:tcW w:w="330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Canada ULC</w:t>
            </w:r>
          </w:p>
        </w:tc>
        <w:tc>
          <w:tcPr>
            <w:tcW w:w="33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Aviat Communications Technology (Shenzhen) Company Ltd.</w:t>
            </w:r>
          </w:p>
        </w:tc>
        <w:tc>
          <w:tcPr>
            <w:tcW w:w="3300" w:type="dxa"/>
            <w:vAlign w:val="bottom"/>
          </w:tcPr>
          <w:p>
            <w:pPr>
              <w:ind w:left="20"/>
              <w:spacing w:after="0"/>
              <w:rPr>
                <w:sz w:val="20"/>
                <w:szCs w:val="20"/>
                <w:color w:val="auto"/>
              </w:rPr>
            </w:pPr>
            <w:r>
              <w:rPr>
                <w:rFonts w:ascii="Arial" w:cs="Arial" w:eastAsia="Arial" w:hAnsi="Arial"/>
                <w:sz w:val="18"/>
                <w:szCs w:val="18"/>
                <w:color w:val="auto"/>
              </w:rPr>
              <w:t>The People’s Republic of China</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France S.A.S.</w:t>
            </w:r>
          </w:p>
        </w:tc>
        <w:tc>
          <w:tcPr>
            <w:tcW w:w="330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Stratex Networks S.A.R.L.</w:t>
            </w:r>
          </w:p>
        </w:tc>
        <w:tc>
          <w:tcPr>
            <w:tcW w:w="330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Ghana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Ghana</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Holland B.V.</w:t>
            </w:r>
          </w:p>
        </w:tc>
        <w:tc>
          <w:tcPr>
            <w:tcW w:w="330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HK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(India) Private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Telsima Communications Private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Pt. Aviat Networks Indonesia</w:t>
            </w:r>
          </w:p>
        </w:tc>
        <w:tc>
          <w:tcPr>
            <w:tcW w:w="330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Aviat Networks Côte d’Ivoire</w:t>
            </w:r>
          </w:p>
        </w:tc>
        <w:tc>
          <w:tcPr>
            <w:tcW w:w="3300" w:type="dxa"/>
            <w:vAlign w:val="bottom"/>
          </w:tcPr>
          <w:p>
            <w:pPr>
              <w:ind w:left="20"/>
              <w:spacing w:after="0"/>
              <w:rPr>
                <w:sz w:val="20"/>
                <w:szCs w:val="20"/>
                <w:color w:val="auto"/>
              </w:rPr>
            </w:pPr>
            <w:r>
              <w:rPr>
                <w:rFonts w:ascii="Arial" w:cs="Arial" w:eastAsia="Arial" w:hAnsi="Arial"/>
                <w:sz w:val="18"/>
                <w:szCs w:val="18"/>
                <w:color w:val="auto"/>
              </w:rPr>
              <w:t>Ivory Coast</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(Kenya)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Aviat Networks Malaysia Sdn. Bhd.</w:t>
            </w:r>
          </w:p>
        </w:tc>
        <w:tc>
          <w:tcPr>
            <w:tcW w:w="3300" w:type="dxa"/>
            <w:vAlign w:val="bottom"/>
          </w:tcPr>
          <w:p>
            <w:pPr>
              <w:ind w:left="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Digital Microwave (Mauritius) Private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México S.A. de C.V.</w:t>
            </w:r>
          </w:p>
        </w:tc>
        <w:tc>
          <w:tcPr>
            <w:tcW w:w="33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(NZ)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 Solutions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Stratex Networks Nigeria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(Clark) Corporation</w:t>
            </w:r>
          </w:p>
        </w:tc>
        <w:tc>
          <w:tcPr>
            <w:tcW w:w="330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Philippines, Inc.</w:t>
            </w:r>
          </w:p>
        </w:tc>
        <w:tc>
          <w:tcPr>
            <w:tcW w:w="330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Polska Sp. z.o.o.</w:t>
            </w:r>
          </w:p>
        </w:tc>
        <w:tc>
          <w:tcPr>
            <w:tcW w:w="3300" w:type="dxa"/>
            <w:vAlign w:val="bottom"/>
          </w:tcPr>
          <w:p>
            <w:pPr>
              <w:ind w:left="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(S) Pte. Ltd.</w:t>
            </w:r>
          </w:p>
        </w:tc>
        <w:tc>
          <w:tcPr>
            <w:tcW w:w="3300" w:type="dxa"/>
            <w:vAlign w:val="bottom"/>
          </w:tcPr>
          <w:p>
            <w:pPr>
              <w:ind w:left="40"/>
              <w:spacing w:after="0"/>
              <w:rPr>
                <w:sz w:val="20"/>
                <w:szCs w:val="20"/>
                <w:color w:val="auto"/>
              </w:rPr>
            </w:pPr>
            <w:r>
              <w:rPr>
                <w:rFonts w:ascii="Arial" w:cs="Arial" w:eastAsia="Arial" w:hAnsi="Arial"/>
                <w:sz w:val="18"/>
                <w:szCs w:val="18"/>
                <w:color w:val="auto"/>
              </w:rPr>
              <w:t>Republic of Singapore</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storitveno podjetje, d.o.o.</w:t>
            </w:r>
          </w:p>
        </w:tc>
        <w:tc>
          <w:tcPr>
            <w:tcW w:w="3300" w:type="dxa"/>
            <w:vAlign w:val="bottom"/>
          </w:tcPr>
          <w:p>
            <w:pPr>
              <w:ind w:left="20"/>
              <w:spacing w:after="0"/>
              <w:rPr>
                <w:sz w:val="20"/>
                <w:szCs w:val="20"/>
                <w:color w:val="auto"/>
              </w:rPr>
            </w:pPr>
            <w:r>
              <w:rPr>
                <w:rFonts w:ascii="Arial" w:cs="Arial" w:eastAsia="Arial" w:hAnsi="Arial"/>
                <w:sz w:val="18"/>
                <w:szCs w:val="18"/>
                <w:color w:val="auto"/>
              </w:rPr>
              <w:t>Slovenia</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(South Africa) (Proprietary) Limited</w:t>
            </w:r>
          </w:p>
        </w:tc>
        <w:tc>
          <w:tcPr>
            <w:tcW w:w="330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MAS Technology Holdings (Proprietary) Limited</w:t>
            </w:r>
          </w:p>
        </w:tc>
        <w:tc>
          <w:tcPr>
            <w:tcW w:w="330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DMC Stratex Networks (South Africa) (Proprietary) Limited</w:t>
            </w:r>
          </w:p>
        </w:tc>
        <w:tc>
          <w:tcPr>
            <w:tcW w:w="330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Tanzania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Tanzania</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(Thailand) Ltd.</w:t>
            </w:r>
          </w:p>
        </w:tc>
        <w:tc>
          <w:tcPr>
            <w:tcW w:w="330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Networks (UK) Limited</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Aviat International Holdings,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Aviat U.S., Inc.</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Telsima Corporation</w:t>
            </w:r>
          </w:p>
        </w:tc>
        <w:tc>
          <w:tcPr>
            <w:tcW w:w="33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 of Aviat Networks, Inc.:</w:t>
      </w:r>
    </w:p>
    <w:p>
      <w:pPr>
        <w:spacing w:after="0" w:line="2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Registration Statement on Form S-8 (No. 333- 178467) pertaining to the Aviat Networks, Inc. 2007 Stock Equity Plan;</w:t>
      </w:r>
    </w:p>
    <w:p>
      <w:pPr>
        <w:spacing w:after="0" w:line="215" w:lineRule="exact"/>
        <w:rPr>
          <w:rFonts w:ascii="Arial" w:cs="Arial" w:eastAsia="Arial" w:hAnsi="Arial"/>
          <w:sz w:val="20"/>
          <w:szCs w:val="20"/>
          <w:color w:val="auto"/>
        </w:rPr>
      </w:pPr>
    </w:p>
    <w:p>
      <w:pPr>
        <w:ind w:left="660" w:right="620" w:hanging="328"/>
        <w:spacing w:after="0" w:line="303"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Registration Statement on Form S-8 (No. 333-163542) pertaining to the Aviat Networks, Inc. 2007 Stock Equity Plan and Aviat Networks, Inc. 2010 Employee Stock Purchase Plan;</w:t>
      </w:r>
    </w:p>
    <w:p>
      <w:pPr>
        <w:spacing w:after="0" w:line="135" w:lineRule="exact"/>
        <w:rPr>
          <w:rFonts w:ascii="Arial" w:cs="Arial" w:eastAsia="Arial" w:hAnsi="Arial"/>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Registration Statement on Form S-8 (No. 333-140442) pertaining to the Aviat Networks, Inc. 2007 Stock Equity Plan;</w:t>
      </w:r>
    </w:p>
    <w:p>
      <w:pPr>
        <w:spacing w:after="0" w:line="215" w:lineRule="exact"/>
        <w:rPr>
          <w:rFonts w:ascii="Arial" w:cs="Arial" w:eastAsia="Arial" w:hAnsi="Arial"/>
          <w:sz w:val="20"/>
          <w:szCs w:val="20"/>
          <w:color w:val="auto"/>
        </w:rPr>
      </w:pPr>
    </w:p>
    <w:p>
      <w:pPr>
        <w:ind w:left="660" w:right="160" w:hanging="328"/>
        <w:spacing w:after="0" w:line="303"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Registration Statement (Form S-1 No. 333-140193) pertaining to the registration of 539,195 shares of Class A Common Stock issued or issuable by Aviat Networks, Inc.</w:t>
      </w:r>
    </w:p>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of our reports dated September 4, 2012, with respect to the consolidated financial statements and schedule of Aviat Networks, Inc. and the effectiveness of internal control over financial reporting of Aviat Networks, Inc. included in this Annual Report (Form 10-K) for the year ended June 29, 2012.</w:t>
      </w:r>
    </w:p>
    <w:p>
      <w:pPr>
        <w:spacing w:after="0" w:line="14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Redwood City, California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September 4, 2012</w:t>
      </w:r>
    </w:p>
    <w:p>
      <w:pPr>
        <w:sectPr>
          <w:pgSz w:w="11900" w:h="16838" w:orient="portrait"/>
          <w:cols w:equalWidth="0" w:num="1">
            <w:col w:w="11380"/>
          </w:cols>
          <w:pgMar w:left="240" w:top="391" w:right="2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29, 2012,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4, 2012</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29, 2012,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4, 2012</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29, 2012, as filed with the Securities and Exchange Commission on the date hereof (the “Report”), the undersigned, Michael A. Pangia,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4, 2012</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Chapter 63 of Title 18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29, 2012, as filed with the Securities and Exchange Commission on the date hereof (the “Report”), the undersigned, Edward J. Hayes, Jr.,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Date: September 4, 2012</w:t>
            </w: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/s/ Edward J. Hayes, Jr.</w:t>
            </w:r>
          </w:p>
        </w:tc>
      </w:tr>
      <w:tr>
        <w:trPr>
          <w:trHeight w:val="27"/>
        </w:trPr>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rPr>
                <w:sz w:val="20"/>
                <w:szCs w:val="20"/>
                <w:color w:val="auto"/>
              </w:rPr>
            </w:pPr>
            <w:r>
              <w:rPr>
                <w:rFonts w:ascii="Arial" w:cs="Arial" w:eastAsia="Arial" w:hAnsi="Arial"/>
                <w:sz w:val="18"/>
                <w:szCs w:val="18"/>
                <w:color w:val="auto"/>
              </w:rPr>
              <w:t>Edward J. Hayes, Jr.</w:t>
            </w:r>
          </w:p>
        </w:tc>
      </w:tr>
      <w:tr>
        <w:trPr>
          <w:trHeight w:val="256"/>
        </w:trPr>
        <w:tc>
          <w:tcPr>
            <w:tcW w:w="58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5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Officer, 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2019-12-09T18:33:28Z</dcterms:created>
  <dcterms:modified xsi:type="dcterms:W3CDTF">2019-12-09T18:33:28Z</dcterms:modified>
</cp:coreProperties>
</file>