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840"/>
        <w:spacing w:after="0"/>
        <w:rPr>
          <w:sz w:val="20"/>
          <w:szCs w:val="20"/>
          <w:color w:val="auto"/>
        </w:rPr>
      </w:pPr>
      <w:r>
        <w:rPr>
          <w:rFonts w:ascii="Arial" w:cs="Arial" w:eastAsia="Arial" w:hAnsi="Arial"/>
          <w:sz w:val="28"/>
          <w:szCs w:val="28"/>
          <w:b w:val="1"/>
          <w:bCs w:val="1"/>
          <w:color w:val="auto"/>
        </w:rPr>
        <w:drawing>
          <wp:anchor simplePos="0" relativeHeight="251657728" behindDoc="1" locked="0" layoutInCell="0" allowOverlap="1">
            <wp:simplePos x="0" y="0"/>
            <wp:positionH relativeFrom="page">
              <wp:posOffset>206375</wp:posOffset>
            </wp:positionH>
            <wp:positionV relativeFrom="page">
              <wp:posOffset>346075</wp:posOffset>
            </wp:positionV>
            <wp:extent cx="713676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370840</wp:posOffset>
            </wp:positionV>
            <wp:extent cx="713676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6765" cy="8255"/>
                    </a:xfrm>
                    <a:prstGeom prst="rect">
                      <a:avLst/>
                    </a:prstGeom>
                    <a:noFill/>
                  </pic:spPr>
                </pic:pic>
              </a:graphicData>
            </a:graphic>
          </wp:anchor>
        </w:drawing>
        <w:t>UNITED STATES</w:t>
      </w:r>
    </w:p>
    <w:p>
      <w:pPr>
        <w:spacing w:after="0" w:line="42" w:lineRule="exact"/>
        <w:rPr>
          <w:sz w:val="24"/>
          <w:szCs w:val="24"/>
          <w:color w:val="auto"/>
        </w:rPr>
      </w:pPr>
    </w:p>
    <w:p>
      <w:pPr>
        <w:ind w:left="2620"/>
        <w:spacing w:after="0"/>
        <w:rPr>
          <w:sz w:val="20"/>
          <w:szCs w:val="20"/>
          <w:color w:val="auto"/>
        </w:rPr>
      </w:pPr>
      <w:r>
        <w:rPr>
          <w:rFonts w:ascii="Arial" w:cs="Arial" w:eastAsia="Arial" w:hAnsi="Arial"/>
          <w:sz w:val="28"/>
          <w:szCs w:val="28"/>
          <w:b w:val="1"/>
          <w:bCs w:val="1"/>
          <w:color w:val="auto"/>
        </w:rPr>
        <w:t>SECURITIES AND EXCHANGE COMMISSION</w:t>
      </w:r>
    </w:p>
    <w:p>
      <w:pPr>
        <w:spacing w:after="0" w:line="18" w:lineRule="exact"/>
        <w:rPr>
          <w:sz w:val="24"/>
          <w:szCs w:val="24"/>
          <w:color w:val="auto"/>
        </w:rPr>
      </w:pPr>
    </w:p>
    <w:p>
      <w:pPr>
        <w:jc w:val="center"/>
        <w:ind w:right="40"/>
        <w:spacing w:after="0"/>
        <w:rPr>
          <w:sz w:val="20"/>
          <w:szCs w:val="20"/>
          <w:color w:val="auto"/>
        </w:rPr>
      </w:pPr>
      <w:r>
        <w:rPr>
          <w:rFonts w:ascii="Arial" w:cs="Arial" w:eastAsia="Arial" w:hAnsi="Arial"/>
          <w:sz w:val="21"/>
          <w:szCs w:val="21"/>
          <w:b w:val="1"/>
          <w:bCs w:val="1"/>
          <w:color w:val="auto"/>
        </w:rPr>
        <w:t>Washington, D.C. 20549</w:t>
      </w:r>
    </w:p>
    <w:p>
      <w:pPr>
        <w:spacing w:after="0" w:line="11" w:lineRule="exact"/>
        <w:rPr>
          <w:sz w:val="24"/>
          <w:szCs w:val="24"/>
          <w:color w:val="auto"/>
        </w:rPr>
      </w:pPr>
    </w:p>
    <w:p>
      <w:pPr>
        <w:ind w:left="4780"/>
        <w:spacing w:after="0"/>
        <w:rPr>
          <w:sz w:val="20"/>
          <w:szCs w:val="20"/>
          <w:color w:val="auto"/>
        </w:rPr>
      </w:pPr>
      <w:r>
        <w:rPr>
          <w:rFonts w:ascii="Arial" w:cs="Arial" w:eastAsia="Arial" w:hAnsi="Arial"/>
          <w:sz w:val="10"/>
          <w:szCs w:val="10"/>
          <w:b w:val="1"/>
          <w:bCs w:val="1"/>
          <w:color w:val="auto"/>
        </w:rPr>
        <w:t>________________________________</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8"/>
          <w:szCs w:val="28"/>
          <w:b w:val="1"/>
          <w:bCs w:val="1"/>
          <w:color w:val="auto"/>
        </w:rPr>
        <w:t>FORM 10-Q</w:t>
      </w:r>
    </w:p>
    <w:p>
      <w:pPr>
        <w:spacing w:after="0" w:line="42"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07" w:lineRule="exact"/>
        <w:rPr>
          <w:sz w:val="24"/>
          <w:szCs w:val="24"/>
          <w:color w:val="auto"/>
        </w:rPr>
      </w:pPr>
    </w:p>
    <w:p>
      <w:pPr>
        <w:ind w:left="460" w:hanging="438"/>
        <w:spacing w:after="0"/>
        <w:tabs>
          <w:tab w:leader="none" w:pos="4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 the quarterly period ended December 30, 2022</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or</w:t>
      </w:r>
    </w:p>
    <w:p>
      <w:pPr>
        <w:spacing w:after="0" w:line="177" w:lineRule="exact"/>
        <w:rPr>
          <w:sz w:val="24"/>
          <w:szCs w:val="24"/>
          <w:color w:val="auto"/>
        </w:rPr>
      </w:pPr>
    </w:p>
    <w:p>
      <w:pPr>
        <w:ind w:left="480" w:hanging="445"/>
        <w:spacing w:after="0"/>
        <w:tabs>
          <w:tab w:leader="none" w:pos="480" w:val="left"/>
        </w:tabs>
        <w:numPr>
          <w:ilvl w:val="0"/>
          <w:numId w:val="2"/>
        </w:numPr>
        <w:rPr>
          <w:rFonts w:ascii="MS PGothic" w:cs="MS PGothic" w:eastAsia="MS PGothic" w:hAnsi="MS PGothic"/>
          <w:sz w:val="20"/>
          <w:szCs w:val="20"/>
          <w:color w:val="auto"/>
        </w:rPr>
      </w:pPr>
      <w:r>
        <w:rPr>
          <w:rFonts w:ascii="Arial" w:cs="Arial" w:eastAsia="Arial" w:hAnsi="Arial"/>
          <w:sz w:val="20"/>
          <w:szCs w:val="20"/>
          <w:b w:val="1"/>
          <w:bCs w:val="1"/>
          <w:color w:val="auto"/>
        </w:rPr>
        <w:t>TRANSITION REPORT PURSUANT TO SECTION 13 OR 15(d) OF THE SECURITIES EXCHANGE ACT OF 1934</w:t>
      </w:r>
    </w:p>
    <w:p>
      <w:pPr>
        <w:spacing w:after="0" w:line="136" w:lineRule="exact"/>
        <w:rPr>
          <w:sz w:val="24"/>
          <w:szCs w:val="24"/>
          <w:color w:val="auto"/>
        </w:rPr>
      </w:pPr>
    </w:p>
    <w:p>
      <w:pPr>
        <w:ind w:left="3080"/>
        <w:spacing w:after="0"/>
        <w:rPr>
          <w:sz w:val="20"/>
          <w:szCs w:val="20"/>
          <w:color w:val="auto"/>
        </w:rPr>
      </w:pPr>
      <w:r>
        <w:rPr>
          <w:rFonts w:ascii="Arial" w:cs="Arial" w:eastAsia="Arial" w:hAnsi="Arial"/>
          <w:sz w:val="21"/>
          <w:szCs w:val="21"/>
          <w:b w:val="1"/>
          <w:bCs w:val="1"/>
          <w:color w:val="auto"/>
        </w:rPr>
        <w:t>For the transition period from _______ to _______</w:t>
      </w:r>
    </w:p>
    <w:p>
      <w:pPr>
        <w:spacing w:after="0" w:line="59"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Commission File Number 001-33278</w:t>
      </w:r>
    </w:p>
    <w:p>
      <w:pPr>
        <w:spacing w:after="0" w:line="376" w:lineRule="exact"/>
        <w:rPr>
          <w:sz w:val="24"/>
          <w:szCs w:val="24"/>
          <w:color w:val="auto"/>
        </w:rPr>
      </w:pPr>
    </w:p>
    <w:p>
      <w:pPr>
        <w:jc w:val="center"/>
        <w:ind w:right="-99"/>
        <w:spacing w:after="0"/>
        <w:rPr>
          <w:sz w:val="20"/>
          <w:szCs w:val="20"/>
          <w:color w:val="auto"/>
        </w:rPr>
      </w:pPr>
      <w:r>
        <w:rPr>
          <w:rFonts w:ascii="Arial" w:cs="Arial" w:eastAsia="Arial" w:hAnsi="Arial"/>
          <w:sz w:val="35"/>
          <w:szCs w:val="35"/>
          <w:b w:val="1"/>
          <w:bCs w:val="1"/>
          <w:color w:val="auto"/>
        </w:rPr>
        <w:t>AVIAT NETWORKS, INC.</w:t>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(Exact name of registrant as specified in its charter)</w:t>
      </w:r>
    </w:p>
    <w:p>
      <w:pPr>
        <w:sectPr>
          <w:pgSz w:w="11900" w:h="16838" w:orient="portrait"/>
          <w:cols w:equalWidth="0" w:num="1">
            <w:col w:w="11240"/>
          </w:cols>
          <w:pgMar w:left="320" w:top="1009" w:right="339" w:bottom="1440" w:gutter="0" w:footer="0" w:header="0"/>
        </w:sectPr>
      </w:pPr>
    </w:p>
    <w:p>
      <w:pPr>
        <w:spacing w:after="0" w:line="200" w:lineRule="exact"/>
        <w:rPr>
          <w:sz w:val="24"/>
          <w:szCs w:val="24"/>
          <w:color w:val="auto"/>
        </w:rPr>
      </w:pPr>
    </w:p>
    <w:p>
      <w:pPr>
        <w:spacing w:after="0" w:line="226" w:lineRule="exact"/>
        <w:rPr>
          <w:sz w:val="24"/>
          <w:szCs w:val="24"/>
          <w:color w:val="auto"/>
        </w:rPr>
      </w:pPr>
    </w:p>
    <w:p>
      <w:pPr>
        <w:ind w:left="2600"/>
        <w:spacing w:after="0"/>
        <w:rPr>
          <w:sz w:val="20"/>
          <w:szCs w:val="20"/>
          <w:color w:val="auto"/>
        </w:rPr>
      </w:pPr>
      <w:r>
        <w:rPr>
          <w:rFonts w:ascii="Arial" w:cs="Arial" w:eastAsia="Arial" w:hAnsi="Arial"/>
          <w:sz w:val="15"/>
          <w:szCs w:val="15"/>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20-5961564</w:t>
      </w:r>
    </w:p>
    <w:p>
      <w:pPr>
        <w:spacing w:after="0" w:line="55" w:lineRule="exact"/>
        <w:rPr>
          <w:sz w:val="24"/>
          <w:szCs w:val="24"/>
          <w:color w:val="auto"/>
        </w:rPr>
      </w:pPr>
    </w:p>
    <w:p>
      <w:pPr>
        <w:sectPr>
          <w:pgSz w:w="11900" w:h="16838" w:orient="portrait"/>
          <w:cols w:equalWidth="0" w:num="2">
            <w:col w:w="8100" w:space="720"/>
            <w:col w:w="2420"/>
          </w:cols>
          <w:pgMar w:left="320" w:top="1009" w:right="339" w:bottom="1440" w:gutter="0" w:footer="0" w:header="0"/>
          <w:type w:val="continuous"/>
        </w:sectPr>
      </w:pPr>
    </w:p>
    <w:p>
      <w:pPr>
        <w:ind w:left="920"/>
        <w:spacing w:after="0"/>
        <w:rPr>
          <w:sz w:val="20"/>
          <w:szCs w:val="20"/>
          <w:color w:val="auto"/>
        </w:rPr>
      </w:pPr>
      <w:r>
        <w:rPr>
          <w:rFonts w:ascii="Arial" w:cs="Arial" w:eastAsia="Arial" w:hAnsi="Arial"/>
          <w:sz w:val="13"/>
          <w:szCs w:val="13"/>
          <w:b w:val="1"/>
          <w:bCs w:val="1"/>
          <w:color w:val="auto"/>
        </w:rPr>
        <w:t>(State or other jurisdiction of 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07" w:lineRule="exact"/>
        <w:rPr>
          <w:sz w:val="24"/>
          <w:szCs w:val="24"/>
          <w:color w:val="auto"/>
        </w:rPr>
      </w:pPr>
    </w:p>
    <w:p>
      <w:pPr>
        <w:sectPr>
          <w:pgSz w:w="11900" w:h="16838" w:orient="portrait"/>
          <w:cols w:equalWidth="0" w:num="2">
            <w:col w:w="7320" w:space="720"/>
            <w:col w:w="3200"/>
          </w:cols>
          <w:pgMar w:left="320" w:top="1009" w:right="339" w:bottom="1440" w:gutter="0" w:footer="0" w:header="0"/>
          <w:type w:val="continuous"/>
        </w:sectPr>
      </w:pPr>
    </w:p>
    <w:p>
      <w:pPr>
        <w:jc w:val="center"/>
        <w:ind w:left="700"/>
        <w:spacing w:after="0"/>
        <w:rPr>
          <w:sz w:val="20"/>
          <w:szCs w:val="20"/>
          <w:color w:val="auto"/>
        </w:rPr>
      </w:pPr>
      <w:r>
        <w:rPr>
          <w:rFonts w:ascii="Arial" w:cs="Arial" w:eastAsia="Arial" w:hAnsi="Arial"/>
          <w:sz w:val="16"/>
          <w:szCs w:val="16"/>
          <w:b w:val="1"/>
          <w:bCs w:val="1"/>
          <w:color w:val="auto"/>
        </w:rPr>
        <w:t>200 Parker Drive, Suite C100A,</w:t>
      </w:r>
    </w:p>
    <w:p>
      <w:pPr>
        <w:spacing w:after="0" w:line="20" w:lineRule="exact"/>
        <w:rPr>
          <w:sz w:val="24"/>
          <w:szCs w:val="24"/>
          <w:color w:val="auto"/>
        </w:rPr>
      </w:pPr>
      <w:r>
        <w:rPr>
          <w:sz w:val="24"/>
          <w:szCs w:val="24"/>
          <w:color w:val="auto"/>
        </w:rPr>
        <w:br w:type="column"/>
      </w:r>
    </w:p>
    <w:p>
      <w:pPr>
        <w:spacing w:after="0"/>
        <w:tabs>
          <w:tab w:leader="none" w:pos="800" w:val="left"/>
        </w:tabs>
        <w:rPr>
          <w:sz w:val="20"/>
          <w:szCs w:val="20"/>
          <w:color w:val="auto"/>
        </w:rPr>
      </w:pPr>
      <w:r>
        <w:rPr>
          <w:rFonts w:ascii="Arial" w:cs="Arial" w:eastAsia="Arial" w:hAnsi="Arial"/>
          <w:sz w:val="14"/>
          <w:szCs w:val="14"/>
          <w:b w:val="1"/>
          <w:bCs w:val="1"/>
          <w:color w:val="auto"/>
        </w:rPr>
        <w:t>Austin,</w:t>
      </w:r>
      <w:r>
        <w:rPr>
          <w:sz w:val="20"/>
          <w:szCs w:val="20"/>
          <w:color w:val="auto"/>
        </w:rPr>
        <w:tab/>
      </w:r>
      <w:r>
        <w:rPr>
          <w:rFonts w:ascii="Arial" w:cs="Arial" w:eastAsia="Arial" w:hAnsi="Arial"/>
          <w:sz w:val="14"/>
          <w:szCs w:val="14"/>
          <w:b w:val="1"/>
          <w:bCs w:val="1"/>
          <w:color w:val="auto"/>
        </w:rPr>
        <w:t>Texas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b w:val="1"/>
          <w:bCs w:val="1"/>
          <w:color w:val="auto"/>
        </w:rPr>
        <w:t>78728</w:t>
      </w:r>
    </w:p>
    <w:p>
      <w:pPr>
        <w:spacing w:after="0" w:line="54" w:lineRule="exact"/>
        <w:rPr>
          <w:sz w:val="24"/>
          <w:szCs w:val="24"/>
          <w:color w:val="auto"/>
        </w:rPr>
      </w:pPr>
    </w:p>
    <w:p>
      <w:pPr>
        <w:sectPr>
          <w:pgSz w:w="11900" w:h="16838" w:orient="portrait"/>
          <w:cols w:equalWidth="0" w:num="3">
            <w:col w:w="3140" w:space="720"/>
            <w:col w:w="4440" w:space="720"/>
            <w:col w:w="2220"/>
          </w:cols>
          <w:pgMar w:left="320" w:top="1009" w:right="339" w:bottom="1440" w:gutter="0" w:footer="0" w:header="0"/>
          <w:type w:val="continuous"/>
        </w:sectPr>
      </w:pPr>
    </w:p>
    <w:p>
      <w:pPr>
        <w:ind w:left="1640"/>
        <w:spacing w:after="0"/>
        <w:rPr>
          <w:sz w:val="20"/>
          <w:szCs w:val="20"/>
          <w:color w:val="auto"/>
        </w:rPr>
      </w:pPr>
      <w:r>
        <w:rPr>
          <w:rFonts w:ascii="Arial" w:cs="Arial" w:eastAsia="Arial" w:hAnsi="Arial"/>
          <w:sz w:val="13"/>
          <w:szCs w:val="13"/>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46" w:lineRule="exact"/>
        <w:rPr>
          <w:sz w:val="24"/>
          <w:szCs w:val="24"/>
          <w:color w:val="auto"/>
        </w:rPr>
      </w:pPr>
    </w:p>
    <w:p>
      <w:pPr>
        <w:sectPr>
          <w:pgSz w:w="11900" w:h="16838" w:orient="portrait"/>
          <w:cols w:equalWidth="0" w:num="2">
            <w:col w:w="8140" w:space="720"/>
            <w:col w:w="2380"/>
          </w:cols>
          <w:pgMar w:left="320" w:top="1009" w:right="339" w:bottom="1440" w:gutter="0" w:footer="0" w:header="0"/>
          <w:type w:val="continuous"/>
        </w:sectPr>
      </w:pPr>
    </w:p>
    <w:p>
      <w:pPr>
        <w:jc w:val="center"/>
        <w:ind w:right="-19"/>
        <w:spacing w:after="0"/>
        <w:rPr>
          <w:sz w:val="20"/>
          <w:szCs w:val="20"/>
          <w:color w:val="auto"/>
        </w:rPr>
      </w:pPr>
      <w:r>
        <w:rPr>
          <w:rFonts w:ascii="Arial" w:cs="Arial" w:eastAsia="Arial" w:hAnsi="Arial"/>
          <w:sz w:val="17"/>
          <w:szCs w:val="17"/>
          <w:b w:val="1"/>
          <w:bCs w:val="1"/>
          <w:color w:val="auto"/>
        </w:rPr>
        <w:t>(408) 941-7100</w:t>
      </w:r>
    </w:p>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5"/>
          <w:szCs w:val="15"/>
          <w:b w:val="1"/>
          <w:bCs w:val="1"/>
          <w:color w:val="auto"/>
        </w:rPr>
        <w:t>(Registrant’s telephone number, including area code)</w:t>
      </w:r>
    </w:p>
    <w:p>
      <w:pPr>
        <w:spacing w:after="0" w:line="227" w:lineRule="exact"/>
        <w:rPr>
          <w:sz w:val="24"/>
          <w:szCs w:val="24"/>
          <w:color w:val="auto"/>
        </w:rPr>
      </w:pPr>
    </w:p>
    <w:p>
      <w:pPr>
        <w:ind w:left="4700"/>
        <w:spacing w:after="0"/>
        <w:rPr>
          <w:sz w:val="20"/>
          <w:szCs w:val="20"/>
          <w:color w:val="auto"/>
        </w:rPr>
      </w:pPr>
      <w:r>
        <w:rPr>
          <w:rFonts w:ascii="Arial" w:cs="Arial" w:eastAsia="Arial" w:hAnsi="Arial"/>
          <w:sz w:val="14"/>
          <w:szCs w:val="14"/>
          <w:color w:val="auto"/>
        </w:rPr>
        <w:t>__________________________</w:t>
      </w:r>
    </w:p>
    <w:p>
      <w:pPr>
        <w:spacing w:after="0" w:line="120"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Securities registered pursuant to Section 12(b) of the Act:</w:t>
      </w:r>
    </w:p>
    <w:p>
      <w:pPr>
        <w:sectPr>
          <w:pgSz w:w="11900" w:h="16838" w:orient="portrait"/>
          <w:cols w:equalWidth="0" w:num="1">
            <w:col w:w="11240"/>
          </w:cols>
          <w:pgMar w:left="320" w:top="1009" w:right="339" w:bottom="1440" w:gutter="0" w:footer="0" w:header="0"/>
          <w:type w:val="continuous"/>
        </w:sectPr>
      </w:pPr>
    </w:p>
    <w:p>
      <w:pPr>
        <w:spacing w:after="0" w:line="266" w:lineRule="exact"/>
        <w:rPr>
          <w:sz w:val="24"/>
          <w:szCs w:val="24"/>
          <w:color w:val="auto"/>
        </w:rPr>
      </w:pPr>
    </w:p>
    <w:p>
      <w:pPr>
        <w:jc w:val="center"/>
        <w:ind w:right="280"/>
        <w:spacing w:after="0"/>
        <w:rPr>
          <w:sz w:val="20"/>
          <w:szCs w:val="20"/>
          <w:color w:val="auto"/>
        </w:rPr>
      </w:pPr>
      <w:r>
        <w:rPr>
          <w:rFonts w:ascii="Arial" w:cs="Arial" w:eastAsia="Arial" w:hAnsi="Arial"/>
          <w:sz w:val="15"/>
          <w:szCs w:val="15"/>
          <w:b w:val="1"/>
          <w:bCs w:val="1"/>
          <w:color w:val="auto"/>
        </w:rPr>
        <w:t>Title of each class</w:t>
      </w:r>
    </w:p>
    <w:p>
      <w:pPr>
        <w:spacing w:after="0" w:line="56" w:lineRule="exact"/>
        <w:rPr>
          <w:sz w:val="24"/>
          <w:szCs w:val="24"/>
          <w:color w:val="auto"/>
        </w:rPr>
      </w:pPr>
    </w:p>
    <w:p>
      <w:pPr>
        <w:jc w:val="center"/>
        <w:ind w:right="280"/>
        <w:spacing w:after="0"/>
        <w:rPr>
          <w:sz w:val="20"/>
          <w:szCs w:val="20"/>
          <w:color w:val="auto"/>
        </w:rPr>
      </w:pPr>
      <w:r>
        <w:rPr>
          <w:rFonts w:ascii="Arial" w:cs="Arial" w:eastAsia="Arial" w:hAnsi="Arial"/>
          <w:sz w:val="17"/>
          <w:szCs w:val="17"/>
          <w:color w:val="auto"/>
        </w:rPr>
        <w:t>Common Stock</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jc w:val="center"/>
        <w:ind w:right="880"/>
        <w:spacing w:after="0"/>
        <w:rPr>
          <w:sz w:val="20"/>
          <w:szCs w:val="20"/>
          <w:color w:val="auto"/>
        </w:rPr>
      </w:pPr>
      <w:r>
        <w:rPr>
          <w:rFonts w:ascii="Arial" w:cs="Arial" w:eastAsia="Arial" w:hAnsi="Arial"/>
          <w:sz w:val="15"/>
          <w:szCs w:val="15"/>
          <w:b w:val="1"/>
          <w:bCs w:val="1"/>
          <w:color w:val="auto"/>
        </w:rPr>
        <w:t>Trading Symbol(s)</w:t>
      </w:r>
    </w:p>
    <w:p>
      <w:pPr>
        <w:spacing w:after="0" w:line="56" w:lineRule="exact"/>
        <w:rPr>
          <w:sz w:val="24"/>
          <w:szCs w:val="24"/>
          <w:color w:val="auto"/>
        </w:rPr>
      </w:pPr>
    </w:p>
    <w:p>
      <w:pPr>
        <w:jc w:val="center"/>
        <w:ind w:right="880"/>
        <w:spacing w:after="0"/>
        <w:rPr>
          <w:sz w:val="20"/>
          <w:szCs w:val="20"/>
          <w:color w:val="auto"/>
        </w:rPr>
      </w:pPr>
      <w:r>
        <w:rPr>
          <w:rFonts w:ascii="Arial" w:cs="Arial" w:eastAsia="Arial" w:hAnsi="Arial"/>
          <w:sz w:val="17"/>
          <w:szCs w:val="17"/>
          <w:color w:val="auto"/>
        </w:rPr>
        <w:t>AVNW</w:t>
      </w:r>
    </w:p>
    <w:p>
      <w:pPr>
        <w:spacing w:after="0" w:line="20" w:lineRule="exact"/>
        <w:rPr>
          <w:sz w:val="24"/>
          <w:szCs w:val="24"/>
          <w:color w:val="auto"/>
        </w:rPr>
      </w:pPr>
      <w:r>
        <w:rPr>
          <w:sz w:val="24"/>
          <w:szCs w:val="24"/>
          <w:color w:val="auto"/>
        </w:rPr>
        <w:br w:type="column"/>
      </w:r>
    </w:p>
    <w:p>
      <w:pPr>
        <w:spacing w:after="0" w:line="246" w:lineRule="exact"/>
        <w:rPr>
          <w:sz w:val="24"/>
          <w:szCs w:val="24"/>
          <w:color w:val="auto"/>
        </w:rPr>
      </w:pPr>
    </w:p>
    <w:p>
      <w:pPr>
        <w:jc w:val="center"/>
        <w:ind w:right="58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56" w:lineRule="exact"/>
        <w:rPr>
          <w:sz w:val="24"/>
          <w:szCs w:val="24"/>
          <w:color w:val="auto"/>
        </w:rPr>
      </w:pPr>
    </w:p>
    <w:p>
      <w:pPr>
        <w:jc w:val="center"/>
        <w:ind w:right="580"/>
        <w:spacing w:after="0"/>
        <w:rPr>
          <w:sz w:val="20"/>
          <w:szCs w:val="20"/>
          <w:color w:val="auto"/>
        </w:rPr>
      </w:pPr>
      <w:r>
        <w:rPr>
          <w:rFonts w:ascii="Arial" w:cs="Arial" w:eastAsia="Arial" w:hAnsi="Arial"/>
          <w:sz w:val="17"/>
          <w:szCs w:val="17"/>
          <w:color w:val="auto"/>
        </w:rPr>
        <w:t>The Nasdaq Global Select Market</w:t>
      </w:r>
    </w:p>
    <w:p>
      <w:pPr>
        <w:spacing w:after="0" w:line="200" w:lineRule="exact"/>
        <w:rPr>
          <w:sz w:val="24"/>
          <w:szCs w:val="24"/>
          <w:color w:val="auto"/>
        </w:rPr>
      </w:pPr>
    </w:p>
    <w:p>
      <w:pPr>
        <w:sectPr>
          <w:pgSz w:w="11900" w:h="16838" w:orient="portrait"/>
          <w:cols w:equalWidth="0" w:num="3">
            <w:col w:w="3680" w:space="720"/>
            <w:col w:w="2260" w:space="720"/>
            <w:col w:w="3860"/>
          </w:cols>
          <w:pgMar w:left="320" w:top="1009" w:right="339" w:bottom="1440" w:gutter="0" w:footer="0" w:header="0"/>
          <w:type w:val="continuous"/>
        </w:sectPr>
      </w:pPr>
    </w:p>
    <w:p>
      <w:pPr>
        <w:spacing w:after="0" w:line="23"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checkmark whether the registrant (l) has filed all reports required to be filed by Section 13 or 15 (d)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jc w:val="both"/>
        <w:spacing w:after="0" w:line="22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75" w:lineRule="exact"/>
        <w:rPr>
          <w:sz w:val="24"/>
          <w:szCs w:val="24"/>
          <w:color w:val="auto"/>
        </w:rPr>
      </w:pPr>
    </w:p>
    <w:p>
      <w:pPr>
        <w:jc w:val="both"/>
        <w:spacing w:after="0" w:line="272"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48"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340" w:type="dxa"/>
            <w:vAlign w:val="bottom"/>
          </w:tcPr>
          <w:p>
            <w:pPr>
              <w:ind w:left="20"/>
              <w:spacing w:after="0"/>
              <w:rPr>
                <w:sz w:val="20"/>
                <w:szCs w:val="20"/>
                <w:color w:val="auto"/>
              </w:rPr>
            </w:pPr>
            <w:r>
              <w:rPr>
                <w:rFonts w:ascii="Arial" w:cs="Arial" w:eastAsia="Arial" w:hAnsi="Arial"/>
                <w:sz w:val="17"/>
                <w:szCs w:val="17"/>
                <w:color w:val="auto"/>
              </w:rPr>
              <w:t>Large accelerated filer</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ind w:left="2400"/>
              <w:spacing w:after="0"/>
              <w:rPr>
                <w:sz w:val="20"/>
                <w:szCs w:val="20"/>
                <w:color w:val="auto"/>
              </w:rPr>
            </w:pPr>
            <w:r>
              <w:rPr>
                <w:rFonts w:ascii="Arial" w:cs="Arial" w:eastAsia="Arial" w:hAnsi="Arial"/>
                <w:sz w:val="17"/>
                <w:szCs w:val="17"/>
                <w:color w:val="auto"/>
              </w:rPr>
              <w:t>Accelerated filer</w:t>
            </w:r>
          </w:p>
        </w:tc>
        <w:tc>
          <w:tcPr>
            <w:tcW w:w="10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r>
      <w:tr>
        <w:trPr>
          <w:trHeight w:val="222"/>
        </w:trPr>
        <w:tc>
          <w:tcPr>
            <w:tcW w:w="2340" w:type="dxa"/>
            <w:vAlign w:val="bottom"/>
          </w:tcPr>
          <w:p>
            <w:pPr>
              <w:ind w:left="20"/>
              <w:spacing w:after="0"/>
              <w:rPr>
                <w:sz w:val="20"/>
                <w:szCs w:val="20"/>
                <w:color w:val="auto"/>
              </w:rPr>
            </w:pPr>
            <w:r>
              <w:rPr>
                <w:rFonts w:ascii="Arial" w:cs="Arial" w:eastAsia="Arial" w:hAnsi="Arial"/>
                <w:sz w:val="17"/>
                <w:szCs w:val="17"/>
                <w:color w:val="auto"/>
              </w:rPr>
              <w:t>Non-accelerated filer</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ind w:left="2400"/>
              <w:spacing w:after="0"/>
              <w:rPr>
                <w:sz w:val="20"/>
                <w:szCs w:val="20"/>
                <w:color w:val="auto"/>
              </w:rPr>
            </w:pPr>
            <w:r>
              <w:rPr>
                <w:rFonts w:ascii="Arial" w:cs="Arial" w:eastAsia="Arial" w:hAnsi="Arial"/>
                <w:sz w:val="17"/>
                <w:szCs w:val="17"/>
                <w:color w:val="auto"/>
              </w:rPr>
              <w:t>Smaller reporting company</w:t>
            </w:r>
          </w:p>
        </w:tc>
        <w:tc>
          <w:tcPr>
            <w:tcW w:w="1040" w:type="dxa"/>
            <w:vAlign w:val="bottom"/>
          </w:tcPr>
          <w:p>
            <w:pPr>
              <w:ind w:left="600"/>
              <w:spacing w:after="0" w:line="171" w:lineRule="exact"/>
              <w:rPr>
                <w:sz w:val="20"/>
                <w:szCs w:val="20"/>
                <w:color w:val="auto"/>
              </w:rPr>
            </w:pPr>
            <w:r>
              <w:rPr>
                <w:rFonts w:ascii="MS PGothic" w:cs="MS PGothic" w:eastAsia="MS PGothic" w:hAnsi="MS PGothic"/>
                <w:sz w:val="17"/>
                <w:szCs w:val="17"/>
                <w:color w:val="auto"/>
              </w:rPr>
              <w:t>☐</w:t>
            </w:r>
          </w:p>
        </w:tc>
      </w:tr>
      <w:tr>
        <w:trPr>
          <w:trHeight w:val="274"/>
        </w:trPr>
        <w:tc>
          <w:tcPr>
            <w:tcW w:w="2340" w:type="dxa"/>
            <w:vAlign w:val="bottom"/>
          </w:tcPr>
          <w:p>
            <w:pPr>
              <w:ind w:left="20"/>
              <w:spacing w:after="0"/>
              <w:rPr>
                <w:sz w:val="20"/>
                <w:szCs w:val="20"/>
                <w:color w:val="auto"/>
              </w:rPr>
            </w:pPr>
            <w:r>
              <w:rPr>
                <w:rFonts w:ascii="Arial" w:cs="Arial" w:eastAsia="Arial" w:hAnsi="Arial"/>
                <w:sz w:val="17"/>
                <w:szCs w:val="17"/>
                <w:color w:val="auto"/>
              </w:rPr>
              <w:t>Emerging growth company</w:t>
            </w:r>
          </w:p>
        </w:tc>
        <w:tc>
          <w:tcPr>
            <w:tcW w:w="2960" w:type="dxa"/>
            <w:vAlign w:val="bottom"/>
          </w:tcPr>
          <w:p>
            <w:pPr>
              <w:ind w:left="420"/>
              <w:spacing w:after="0" w:line="171" w:lineRule="exact"/>
              <w:rPr>
                <w:sz w:val="20"/>
                <w:szCs w:val="20"/>
                <w:color w:val="auto"/>
              </w:rPr>
            </w:pPr>
            <w:r>
              <w:rPr>
                <w:rFonts w:ascii="MS PGothic" w:cs="MS PGothic" w:eastAsia="MS PGothic" w:hAnsi="MS PGothic"/>
                <w:sz w:val="17"/>
                <w:szCs w:val="17"/>
                <w:color w:val="auto"/>
              </w:rPr>
              <w:t>☐</w:t>
            </w:r>
          </w:p>
        </w:tc>
        <w:tc>
          <w:tcPr>
            <w:tcW w:w="49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673"/>
        </w:trPr>
        <w:tc>
          <w:tcPr>
            <w:tcW w:w="234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49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r>
        <w:trPr>
          <w:trHeight w:val="20"/>
        </w:trPr>
        <w:tc>
          <w:tcPr>
            <w:tcW w:w="2340" w:type="dxa"/>
            <w:vAlign w:val="bottom"/>
            <w:tcBorders>
              <w:bottom w:val="single" w:sz="8" w:color="auto"/>
            </w:tcBorders>
          </w:tcPr>
          <w:p>
            <w:pPr>
              <w:spacing w:after="0" w:line="20" w:lineRule="exact"/>
              <w:rPr>
                <w:sz w:val="1"/>
                <w:szCs w:val="1"/>
                <w:color w:val="auto"/>
              </w:rPr>
            </w:pPr>
          </w:p>
        </w:tc>
        <w:tc>
          <w:tcPr>
            <w:tcW w:w="2960" w:type="dxa"/>
            <w:vAlign w:val="bottom"/>
            <w:tcBorders>
              <w:bottom w:val="single" w:sz="8" w:color="auto"/>
            </w:tcBorders>
          </w:tcPr>
          <w:p>
            <w:pPr>
              <w:spacing w:after="0" w:line="20" w:lineRule="exact"/>
              <w:rPr>
                <w:sz w:val="1"/>
                <w:szCs w:val="1"/>
                <w:color w:val="auto"/>
              </w:rPr>
            </w:pPr>
          </w:p>
        </w:tc>
        <w:tc>
          <w:tcPr>
            <w:tcW w:w="49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194"/>
        </w:trPr>
        <w:tc>
          <w:tcPr>
            <w:tcW w:w="2340" w:type="dxa"/>
            <w:vAlign w:val="bottom"/>
            <w:tcBorders>
              <w:bottom w:val="single" w:sz="8" w:color="9A9A9A"/>
            </w:tcBorders>
          </w:tcPr>
          <w:p>
            <w:pPr>
              <w:spacing w:after="0"/>
              <w:rPr>
                <w:sz w:val="16"/>
                <w:szCs w:val="16"/>
                <w:color w:val="auto"/>
              </w:rPr>
            </w:pPr>
          </w:p>
        </w:tc>
        <w:tc>
          <w:tcPr>
            <w:tcW w:w="2960" w:type="dxa"/>
            <w:vAlign w:val="bottom"/>
            <w:tcBorders>
              <w:bottom w:val="single" w:sz="8" w:color="9A9A9A"/>
            </w:tcBorders>
          </w:tcPr>
          <w:p>
            <w:pPr>
              <w:spacing w:after="0"/>
              <w:rPr>
                <w:sz w:val="16"/>
                <w:szCs w:val="16"/>
                <w:color w:val="auto"/>
              </w:rPr>
            </w:pPr>
          </w:p>
        </w:tc>
        <w:tc>
          <w:tcPr>
            <w:tcW w:w="4900" w:type="dxa"/>
            <w:vAlign w:val="bottom"/>
            <w:tcBorders>
              <w:bottom w:val="single" w:sz="8" w:color="9A9A9A"/>
            </w:tcBorders>
          </w:tcPr>
          <w:p>
            <w:pPr>
              <w:spacing w:after="0"/>
              <w:rPr>
                <w:sz w:val="16"/>
                <w:szCs w:val="16"/>
                <w:color w:val="auto"/>
              </w:rPr>
            </w:pPr>
          </w:p>
        </w:tc>
        <w:tc>
          <w:tcPr>
            <w:tcW w:w="1040" w:type="dxa"/>
            <w:vAlign w:val="bottom"/>
            <w:tcBorders>
              <w:bottom w:val="single" w:sz="8" w:color="9A9A9A"/>
            </w:tcBorders>
          </w:tcPr>
          <w:p>
            <w:pPr>
              <w:spacing w:after="0"/>
              <w:rPr>
                <w:sz w:val="16"/>
                <w:szCs w:val="16"/>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009" w:right="339" w:bottom="1440" w:gutter="0" w:footer="0" w:header="0"/>
          <w:type w:val="continuous"/>
        </w:sectPr>
      </w:pPr>
    </w:p>
    <w:bookmarkStart w:id="1" w:name="page2"/>
    <w:bookmarkEnd w:id="1"/>
    <w:p>
      <w:pPr>
        <w:spacing w:after="0" w:line="225" w:lineRule="exact"/>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206375</wp:posOffset>
            </wp:positionH>
            <wp:positionV relativeFrom="page">
              <wp:posOffset>280035</wp:posOffset>
            </wp:positionV>
            <wp:extent cx="7136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page">
              <wp:posOffset>206375</wp:posOffset>
            </wp:positionH>
            <wp:positionV relativeFrom="page">
              <wp:posOffset>304800</wp:posOffset>
            </wp:positionV>
            <wp:extent cx="71367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6765" cy="8255"/>
                    </a:xfrm>
                    <a:prstGeom prst="rect">
                      <a:avLst/>
                    </a:prstGeom>
                    <a:noFill/>
                  </pic:spPr>
                </pic:pic>
              </a:graphicData>
            </a:graphic>
          </wp:anchor>
        </w:drawing>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41" w:lineRule="exact"/>
        <w:rPr>
          <w:sz w:val="20"/>
          <w:szCs w:val="20"/>
          <w:color w:val="auto"/>
        </w:rPr>
      </w:pPr>
    </w:p>
    <w:p>
      <w:pPr>
        <w:ind w:right="2020"/>
        <w:spacing w:after="0" w:line="284" w:lineRule="exact"/>
        <w:rPr>
          <w:sz w:val="20"/>
          <w:szCs w:val="20"/>
          <w:color w:val="auto"/>
        </w:rPr>
      </w:pPr>
      <w:r>
        <w:rPr>
          <w:rFonts w:ascii="Arial" w:cs="Arial" w:eastAsia="Arial" w:hAnsi="Arial"/>
          <w:sz w:val="17"/>
          <w:szCs w:val="17"/>
          <w:color w:val="auto"/>
        </w:rPr>
        <w:t xml:space="preserve">Indicate by check mark whether the registrant is a shell company (as defined in Rule 12b-2 of the Exchange Act).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r>
        <w:rPr>
          <w:rFonts w:ascii="Arial" w:cs="Arial" w:eastAsia="Arial" w:hAnsi="Arial"/>
          <w:sz w:val="17"/>
          <w:szCs w:val="17"/>
          <w:color w:val="auto"/>
        </w:rPr>
        <w:t xml:space="preserve"> The number of shares outstanding of the registrant’s Common Stock as of January 27, 2023 was 11,395,261.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527050</wp:posOffset>
            </wp:positionV>
            <wp:extent cx="716216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2165" cy="4191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390525</wp:posOffset>
            </wp:positionV>
            <wp:extent cx="71367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765"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415290</wp:posOffset>
            </wp:positionV>
            <wp:extent cx="71367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765" cy="8255"/>
                    </a:xfrm>
                    <a:prstGeom prst="rect">
                      <a:avLst/>
                    </a:prstGeom>
                    <a:noFill/>
                  </pic:spPr>
                </pic:pic>
              </a:graphicData>
            </a:graphic>
          </wp:anchor>
        </w:drawing>
      </w:r>
    </w:p>
    <w:p>
      <w:pPr>
        <w:sectPr>
          <w:pgSz w:w="11900" w:h="16838" w:orient="portrait"/>
          <w:cols w:equalWidth="0" w:num="1">
            <w:col w:w="11240"/>
          </w:cols>
          <w:pgMar w:left="320" w:top="885" w:right="339" w:bottom="1440" w:gutter="0" w:footer="0" w:header="0"/>
        </w:sectPr>
      </w:pPr>
    </w:p>
    <w:bookmarkStart w:id="2" w:name="page3"/>
    <w:bookmarkEnd w:id="2"/>
    <w:p>
      <w:pPr>
        <w:jc w:val="center"/>
        <w:ind w:right="20"/>
        <w:spacing w:after="0"/>
        <w:rPr>
          <w:sz w:val="20"/>
          <w:szCs w:val="20"/>
          <w:color w:val="auto"/>
        </w:rPr>
      </w:pPr>
      <w:r>
        <w:rPr>
          <w:rFonts w:ascii="Arial" w:cs="Arial" w:eastAsia="Arial" w:hAnsi="Arial"/>
          <w:sz w:val="17"/>
          <w:szCs w:val="17"/>
          <w:b w:val="1"/>
          <w:bCs w:val="1"/>
          <w:color w:val="auto"/>
        </w:rPr>
        <w:t>AVIAT NETWORKS, INC.</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QUARTERLY REPORT ON FORM 10-Q</w:t>
      </w:r>
    </w:p>
    <w:p>
      <w:pPr>
        <w:spacing w:after="0" w:line="9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 the Quarterly Period Ended December 30, 2022</w:t>
      </w:r>
    </w:p>
    <w:p>
      <w:pPr>
        <w:spacing w:after="0" w:line="10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of Contents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020" w:type="dxa"/>
            <w:vAlign w:val="bottom"/>
          </w:tcPr>
          <w:p>
            <w:pPr>
              <w:spacing w:after="0"/>
              <w:rPr>
                <w:sz w:val="15"/>
                <w:szCs w:val="15"/>
                <w:color w:val="auto"/>
              </w:rPr>
            </w:pPr>
          </w:p>
        </w:tc>
        <w:tc>
          <w:tcPr>
            <w:tcW w:w="9220" w:type="dxa"/>
            <w:vAlign w:val="bottom"/>
          </w:tcPr>
          <w:p>
            <w:pPr>
              <w:spacing w:after="0"/>
              <w:rPr>
                <w:sz w:val="15"/>
                <w:szCs w:val="15"/>
                <w:color w:val="auto"/>
              </w:rPr>
            </w:pPr>
          </w:p>
        </w:tc>
        <w:tc>
          <w:tcPr>
            <w:tcW w:w="580" w:type="dxa"/>
            <w:vAlign w:val="bottom"/>
          </w:tcPr>
          <w:p>
            <w:pPr>
              <w:jc w:val="right"/>
              <w:ind w:right="74"/>
              <w:spacing w:after="0"/>
              <w:rPr>
                <w:sz w:val="20"/>
                <w:szCs w:val="20"/>
                <w:color w:val="auto"/>
              </w:rPr>
            </w:pPr>
            <w:r>
              <w:rPr>
                <w:rFonts w:ascii="Arial" w:cs="Arial" w:eastAsia="Arial" w:hAnsi="Arial"/>
                <w:sz w:val="14"/>
                <w:szCs w:val="14"/>
                <w:b w:val="1"/>
                <w:bCs w:val="1"/>
                <w:color w:val="auto"/>
              </w:rPr>
              <w:t>Page</w:t>
            </w:r>
          </w:p>
        </w:tc>
      </w:tr>
      <w:tr>
        <w:trPr>
          <w:trHeight w:val="23"/>
        </w:trPr>
        <w:tc>
          <w:tcPr>
            <w:tcW w:w="1020" w:type="dxa"/>
            <w:vAlign w:val="bottom"/>
            <w:tcBorders>
              <w:bottom w:val="single" w:sz="8" w:color="CCEEFF"/>
            </w:tcBorders>
          </w:tcPr>
          <w:p>
            <w:pPr>
              <w:spacing w:after="0"/>
              <w:rPr>
                <w:sz w:val="2"/>
                <w:szCs w:val="2"/>
                <w:color w:val="auto"/>
              </w:rPr>
            </w:pPr>
          </w:p>
        </w:tc>
        <w:tc>
          <w:tcPr>
            <w:tcW w:w="922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15"/>
        </w:trPr>
        <w:tc>
          <w:tcPr>
            <w:tcW w:w="1024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0000FF"/>
              </w:rPr>
              <w:t>Part I. Financial Information</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0000FF"/>
              </w:rPr>
              <w:t>4</w:t>
            </w:r>
          </w:p>
        </w:tc>
      </w:tr>
      <w:tr>
        <w:trPr>
          <w:trHeight w:val="222"/>
        </w:trPr>
        <w:tc>
          <w:tcPr>
            <w:tcW w:w="10240" w:type="dxa"/>
            <w:vAlign w:val="bottom"/>
            <w:gridSpan w:val="2"/>
          </w:tcPr>
          <w:p>
            <w:pPr>
              <w:ind w:left="320"/>
              <w:spacing w:after="0"/>
              <w:rPr>
                <w:sz w:val="20"/>
                <w:szCs w:val="20"/>
                <w:color w:val="auto"/>
              </w:rPr>
            </w:pPr>
            <w:r>
              <w:rPr>
                <w:rFonts w:ascii="Arial" w:cs="Arial" w:eastAsia="Arial" w:hAnsi="Arial"/>
                <w:sz w:val="17"/>
                <w:szCs w:val="17"/>
                <w:color w:val="0000FF"/>
              </w:rPr>
              <w:t>Item 1. Financial Statements</w:t>
            </w:r>
          </w:p>
        </w:tc>
        <w:tc>
          <w:tcPr>
            <w:tcW w:w="580" w:type="dxa"/>
            <w:vAlign w:val="bottom"/>
          </w:tcPr>
          <w:p>
            <w:pPr>
              <w:jc w:val="right"/>
              <w:spacing w:after="0"/>
              <w:rPr>
                <w:sz w:val="20"/>
                <w:szCs w:val="20"/>
                <w:color w:val="auto"/>
              </w:rPr>
            </w:pPr>
            <w:r>
              <w:rPr>
                <w:rFonts w:ascii="Arial" w:cs="Arial" w:eastAsia="Arial" w:hAnsi="Arial"/>
                <w:sz w:val="17"/>
                <w:szCs w:val="17"/>
                <w:color w:val="0000FF"/>
              </w:rPr>
              <w:t>5</w:t>
            </w:r>
          </w:p>
        </w:tc>
      </w:tr>
      <w:tr>
        <w:trPr>
          <w:trHeight w:val="222"/>
        </w:trPr>
        <w:tc>
          <w:tcPr>
            <w:tcW w:w="10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0000FF"/>
              </w:rPr>
              <w:t>Condensed Consolidated Balance Sheets (Unaudited)</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0000FF"/>
              </w:rPr>
              <w:t>5</w:t>
            </w:r>
          </w:p>
        </w:tc>
      </w:tr>
      <w:tr>
        <w:trPr>
          <w:trHeight w:val="222"/>
        </w:trPr>
        <w:tc>
          <w:tcPr>
            <w:tcW w:w="10240" w:type="dxa"/>
            <w:vAlign w:val="bottom"/>
            <w:gridSpan w:val="2"/>
          </w:tcPr>
          <w:p>
            <w:pPr>
              <w:ind w:left="320"/>
              <w:spacing w:after="0"/>
              <w:rPr>
                <w:sz w:val="20"/>
                <w:szCs w:val="20"/>
                <w:color w:val="auto"/>
              </w:rPr>
            </w:pPr>
            <w:r>
              <w:rPr>
                <w:rFonts w:ascii="Arial" w:cs="Arial" w:eastAsia="Arial" w:hAnsi="Arial"/>
                <w:sz w:val="17"/>
                <w:szCs w:val="17"/>
                <w:color w:val="0000FF"/>
              </w:rPr>
              <w:t>Condensed Consolidated Statements of Operations (Unaudited)</w:t>
            </w:r>
          </w:p>
        </w:tc>
        <w:tc>
          <w:tcPr>
            <w:tcW w:w="580" w:type="dxa"/>
            <w:vAlign w:val="bottom"/>
          </w:tcPr>
          <w:p>
            <w:pPr>
              <w:jc w:val="right"/>
              <w:spacing w:after="0"/>
              <w:rPr>
                <w:sz w:val="20"/>
                <w:szCs w:val="20"/>
                <w:color w:val="auto"/>
              </w:rPr>
            </w:pPr>
            <w:r>
              <w:rPr>
                <w:rFonts w:ascii="Arial" w:cs="Arial" w:eastAsia="Arial" w:hAnsi="Arial"/>
                <w:sz w:val="17"/>
                <w:szCs w:val="17"/>
                <w:color w:val="0000FF"/>
              </w:rPr>
              <w:t>6</w:t>
            </w:r>
          </w:p>
        </w:tc>
      </w:tr>
      <w:tr>
        <w:trPr>
          <w:trHeight w:val="222"/>
        </w:trPr>
        <w:tc>
          <w:tcPr>
            <w:tcW w:w="1024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0000FF"/>
              </w:rPr>
              <w:t>Condensed Consolidated Statements of Comprehensive Income (Loss) (Unaudited)</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0000FF"/>
              </w:rPr>
              <w:t>7</w:t>
            </w:r>
          </w:p>
        </w:tc>
      </w:tr>
      <w:tr>
        <w:trPr>
          <w:trHeight w:val="222"/>
        </w:trPr>
        <w:tc>
          <w:tcPr>
            <w:tcW w:w="10240" w:type="dxa"/>
            <w:vAlign w:val="bottom"/>
            <w:gridSpan w:val="2"/>
          </w:tcPr>
          <w:p>
            <w:pPr>
              <w:ind w:left="320"/>
              <w:spacing w:after="0"/>
              <w:rPr>
                <w:sz w:val="20"/>
                <w:szCs w:val="20"/>
                <w:color w:val="auto"/>
              </w:rPr>
            </w:pPr>
            <w:r>
              <w:rPr>
                <w:rFonts w:ascii="Arial" w:cs="Arial" w:eastAsia="Arial" w:hAnsi="Arial"/>
                <w:sz w:val="17"/>
                <w:szCs w:val="17"/>
                <w:color w:val="0000FF"/>
              </w:rPr>
              <w:t>Condensed Consolidated Statements of Cash Flows (Unaudited)</w:t>
            </w:r>
          </w:p>
        </w:tc>
        <w:tc>
          <w:tcPr>
            <w:tcW w:w="580" w:type="dxa"/>
            <w:vAlign w:val="bottom"/>
          </w:tcPr>
          <w:p>
            <w:pPr>
              <w:jc w:val="right"/>
              <w:spacing w:after="0"/>
              <w:rPr>
                <w:sz w:val="20"/>
                <w:szCs w:val="20"/>
                <w:color w:val="auto"/>
              </w:rPr>
            </w:pPr>
            <w:r>
              <w:rPr>
                <w:rFonts w:ascii="Arial" w:cs="Arial" w:eastAsia="Arial" w:hAnsi="Arial"/>
                <w:sz w:val="17"/>
                <w:szCs w:val="17"/>
                <w:color w:val="0000FF"/>
              </w:rPr>
              <w:t>8</w:t>
            </w:r>
          </w:p>
        </w:tc>
      </w:tr>
      <w:tr>
        <w:trPr>
          <w:trHeight w:val="222"/>
        </w:trPr>
        <w:tc>
          <w:tcPr>
            <w:tcW w:w="10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0000FF"/>
              </w:rPr>
              <w:t>Condensed Consolidated Statements of Equity (Unaudited)</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0000FF"/>
              </w:rPr>
              <w:t>10</w:t>
            </w:r>
          </w:p>
        </w:tc>
      </w:tr>
      <w:tr>
        <w:trPr>
          <w:trHeight w:val="222"/>
        </w:trPr>
        <w:tc>
          <w:tcPr>
            <w:tcW w:w="10240" w:type="dxa"/>
            <w:vAlign w:val="bottom"/>
            <w:gridSpan w:val="2"/>
          </w:tcPr>
          <w:p>
            <w:pPr>
              <w:ind w:left="320"/>
              <w:spacing w:after="0"/>
              <w:rPr>
                <w:sz w:val="20"/>
                <w:szCs w:val="20"/>
                <w:color w:val="auto"/>
              </w:rPr>
            </w:pPr>
            <w:r>
              <w:rPr>
                <w:rFonts w:ascii="Arial" w:cs="Arial" w:eastAsia="Arial" w:hAnsi="Arial"/>
                <w:sz w:val="17"/>
                <w:szCs w:val="17"/>
                <w:color w:val="0000FF"/>
              </w:rPr>
              <w:t>Notes to Condensed Consolidated Financial Statements (Unaudited)</w:t>
            </w:r>
          </w:p>
        </w:tc>
        <w:tc>
          <w:tcPr>
            <w:tcW w:w="580" w:type="dxa"/>
            <w:vAlign w:val="bottom"/>
          </w:tcPr>
          <w:p>
            <w:pPr>
              <w:jc w:val="right"/>
              <w:spacing w:after="0"/>
              <w:rPr>
                <w:sz w:val="20"/>
                <w:szCs w:val="20"/>
                <w:color w:val="auto"/>
              </w:rPr>
            </w:pPr>
            <w:r>
              <w:rPr>
                <w:rFonts w:ascii="Arial" w:cs="Arial" w:eastAsia="Arial" w:hAnsi="Arial"/>
                <w:sz w:val="17"/>
                <w:szCs w:val="17"/>
                <w:color w:val="0000FF"/>
              </w:rPr>
              <w:t>12</w:t>
            </w:r>
          </w:p>
        </w:tc>
      </w:tr>
      <w:tr>
        <w:trPr>
          <w:trHeight w:val="222"/>
        </w:trPr>
        <w:tc>
          <w:tcPr>
            <w:tcW w:w="10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0000FF"/>
              </w:rPr>
              <w:t>Item 2. Management’s Discussion and Analysis of Financial Condition and Results of Operations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0000FF"/>
              </w:rPr>
              <w:t>25</w:t>
            </w:r>
          </w:p>
        </w:tc>
      </w:tr>
      <w:tr>
        <w:trPr>
          <w:trHeight w:val="222"/>
        </w:trPr>
        <w:tc>
          <w:tcPr>
            <w:tcW w:w="10240" w:type="dxa"/>
            <w:vAlign w:val="bottom"/>
            <w:gridSpan w:val="2"/>
          </w:tcPr>
          <w:p>
            <w:pPr>
              <w:ind w:left="320"/>
              <w:spacing w:after="0"/>
              <w:rPr>
                <w:sz w:val="20"/>
                <w:szCs w:val="20"/>
                <w:color w:val="auto"/>
              </w:rPr>
            </w:pPr>
            <w:r>
              <w:rPr>
                <w:rFonts w:ascii="Arial" w:cs="Arial" w:eastAsia="Arial" w:hAnsi="Arial"/>
                <w:sz w:val="17"/>
                <w:szCs w:val="17"/>
                <w:color w:val="0000FF"/>
              </w:rPr>
              <w:t>Item 3. Quantitative and Qualitative Disclosures About Market Risk</w:t>
            </w:r>
          </w:p>
        </w:tc>
        <w:tc>
          <w:tcPr>
            <w:tcW w:w="580" w:type="dxa"/>
            <w:vAlign w:val="bottom"/>
          </w:tcPr>
          <w:p>
            <w:pPr>
              <w:jc w:val="right"/>
              <w:spacing w:after="0"/>
              <w:rPr>
                <w:sz w:val="20"/>
                <w:szCs w:val="20"/>
                <w:color w:val="auto"/>
              </w:rPr>
            </w:pPr>
            <w:r>
              <w:rPr>
                <w:rFonts w:ascii="Arial" w:cs="Arial" w:eastAsia="Arial" w:hAnsi="Arial"/>
                <w:sz w:val="17"/>
                <w:szCs w:val="17"/>
                <w:color w:val="0000FF"/>
              </w:rPr>
              <w:t>32</w:t>
            </w:r>
          </w:p>
        </w:tc>
      </w:tr>
      <w:tr>
        <w:trPr>
          <w:trHeight w:val="222"/>
        </w:trPr>
        <w:tc>
          <w:tcPr>
            <w:tcW w:w="10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0000FF"/>
              </w:rPr>
              <w:t>Item 4. Controls and Procedures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0000FF"/>
              </w:rPr>
              <w:t>33</w:t>
            </w:r>
          </w:p>
        </w:tc>
      </w:tr>
      <w:tr>
        <w:trPr>
          <w:trHeight w:val="222"/>
        </w:trPr>
        <w:tc>
          <w:tcPr>
            <w:tcW w:w="10240" w:type="dxa"/>
            <w:vAlign w:val="bottom"/>
            <w:gridSpan w:val="2"/>
          </w:tcPr>
          <w:p>
            <w:pPr>
              <w:spacing w:after="0"/>
              <w:rPr>
                <w:sz w:val="20"/>
                <w:szCs w:val="20"/>
                <w:color w:val="auto"/>
              </w:rPr>
            </w:pPr>
            <w:r>
              <w:rPr>
                <w:rFonts w:ascii="Arial" w:cs="Arial" w:eastAsia="Arial" w:hAnsi="Arial"/>
                <w:sz w:val="17"/>
                <w:szCs w:val="17"/>
                <w:b w:val="1"/>
                <w:bCs w:val="1"/>
                <w:color w:val="0000FF"/>
              </w:rPr>
              <w:t>Part II. Other Information</w:t>
            </w:r>
          </w:p>
        </w:tc>
        <w:tc>
          <w:tcPr>
            <w:tcW w:w="580" w:type="dxa"/>
            <w:vAlign w:val="bottom"/>
          </w:tcPr>
          <w:p>
            <w:pPr>
              <w:jc w:val="right"/>
              <w:spacing w:after="0"/>
              <w:rPr>
                <w:sz w:val="20"/>
                <w:szCs w:val="20"/>
                <w:color w:val="auto"/>
              </w:rPr>
            </w:pPr>
            <w:r>
              <w:rPr>
                <w:rFonts w:ascii="Arial" w:cs="Arial" w:eastAsia="Arial" w:hAnsi="Arial"/>
                <w:sz w:val="17"/>
                <w:szCs w:val="17"/>
                <w:color w:val="0000FF"/>
              </w:rPr>
              <w:t>34</w:t>
            </w:r>
          </w:p>
        </w:tc>
      </w:tr>
      <w:tr>
        <w:trPr>
          <w:trHeight w:val="222"/>
        </w:trPr>
        <w:tc>
          <w:tcPr>
            <w:tcW w:w="10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0000FF"/>
              </w:rPr>
              <w:t>Item 1. Legal Proceedings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0000FF"/>
              </w:rPr>
              <w:t>34</w:t>
            </w:r>
          </w:p>
        </w:tc>
      </w:tr>
      <w:tr>
        <w:trPr>
          <w:trHeight w:val="222"/>
        </w:trPr>
        <w:tc>
          <w:tcPr>
            <w:tcW w:w="10240" w:type="dxa"/>
            <w:vAlign w:val="bottom"/>
            <w:gridSpan w:val="2"/>
          </w:tcPr>
          <w:p>
            <w:pPr>
              <w:ind w:left="320"/>
              <w:spacing w:after="0"/>
              <w:rPr>
                <w:sz w:val="20"/>
                <w:szCs w:val="20"/>
                <w:color w:val="auto"/>
              </w:rPr>
            </w:pPr>
            <w:r>
              <w:rPr>
                <w:rFonts w:ascii="Arial" w:cs="Arial" w:eastAsia="Arial" w:hAnsi="Arial"/>
                <w:sz w:val="17"/>
                <w:szCs w:val="17"/>
                <w:color w:val="0000FF"/>
              </w:rPr>
              <w:t>Item 1A. Risk Factors</w:t>
            </w:r>
          </w:p>
        </w:tc>
        <w:tc>
          <w:tcPr>
            <w:tcW w:w="580" w:type="dxa"/>
            <w:vAlign w:val="bottom"/>
          </w:tcPr>
          <w:p>
            <w:pPr>
              <w:jc w:val="right"/>
              <w:spacing w:after="0"/>
              <w:rPr>
                <w:sz w:val="20"/>
                <w:szCs w:val="20"/>
                <w:color w:val="auto"/>
              </w:rPr>
            </w:pPr>
            <w:r>
              <w:rPr>
                <w:rFonts w:ascii="Arial" w:cs="Arial" w:eastAsia="Arial" w:hAnsi="Arial"/>
                <w:sz w:val="17"/>
                <w:szCs w:val="17"/>
                <w:color w:val="0000FF"/>
              </w:rPr>
              <w:t>34</w:t>
            </w:r>
          </w:p>
        </w:tc>
      </w:tr>
      <w:tr>
        <w:trPr>
          <w:trHeight w:val="222"/>
        </w:trPr>
        <w:tc>
          <w:tcPr>
            <w:tcW w:w="10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0000FF"/>
              </w:rPr>
              <w:t>Item 2. Unregistered Sales of Equity Securities and Use of Proceeds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0000FF"/>
              </w:rPr>
              <w:t>34</w:t>
            </w:r>
          </w:p>
        </w:tc>
      </w:tr>
      <w:tr>
        <w:trPr>
          <w:trHeight w:val="222"/>
        </w:trPr>
        <w:tc>
          <w:tcPr>
            <w:tcW w:w="10240" w:type="dxa"/>
            <w:vAlign w:val="bottom"/>
            <w:gridSpan w:val="2"/>
          </w:tcPr>
          <w:p>
            <w:pPr>
              <w:ind w:left="320"/>
              <w:spacing w:after="0"/>
              <w:rPr>
                <w:sz w:val="20"/>
                <w:szCs w:val="20"/>
                <w:color w:val="auto"/>
              </w:rPr>
            </w:pPr>
            <w:r>
              <w:rPr>
                <w:rFonts w:ascii="Arial" w:cs="Arial" w:eastAsia="Arial" w:hAnsi="Arial"/>
                <w:sz w:val="17"/>
                <w:szCs w:val="17"/>
                <w:color w:val="0000FF"/>
              </w:rPr>
              <w:t>Item 3. Defaults upon Senior Securities</w:t>
            </w:r>
          </w:p>
        </w:tc>
        <w:tc>
          <w:tcPr>
            <w:tcW w:w="580" w:type="dxa"/>
            <w:vAlign w:val="bottom"/>
          </w:tcPr>
          <w:p>
            <w:pPr>
              <w:jc w:val="right"/>
              <w:spacing w:after="0"/>
              <w:rPr>
                <w:sz w:val="20"/>
                <w:szCs w:val="20"/>
                <w:color w:val="auto"/>
              </w:rPr>
            </w:pPr>
            <w:r>
              <w:rPr>
                <w:rFonts w:ascii="Arial" w:cs="Arial" w:eastAsia="Arial" w:hAnsi="Arial"/>
                <w:sz w:val="17"/>
                <w:szCs w:val="17"/>
                <w:color w:val="0000FF"/>
              </w:rPr>
              <w:t>34</w:t>
            </w:r>
          </w:p>
        </w:tc>
      </w:tr>
      <w:tr>
        <w:trPr>
          <w:trHeight w:val="222"/>
        </w:trPr>
        <w:tc>
          <w:tcPr>
            <w:tcW w:w="10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0000FF"/>
              </w:rPr>
              <w:t>Item 4. Mine Safety Disclosures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0000FF"/>
              </w:rPr>
              <w:t>34</w:t>
            </w:r>
          </w:p>
        </w:tc>
      </w:tr>
      <w:tr>
        <w:trPr>
          <w:trHeight w:val="222"/>
        </w:trPr>
        <w:tc>
          <w:tcPr>
            <w:tcW w:w="10240" w:type="dxa"/>
            <w:vAlign w:val="bottom"/>
            <w:gridSpan w:val="2"/>
          </w:tcPr>
          <w:p>
            <w:pPr>
              <w:ind w:left="320"/>
              <w:spacing w:after="0"/>
              <w:rPr>
                <w:sz w:val="20"/>
                <w:szCs w:val="20"/>
                <w:color w:val="auto"/>
              </w:rPr>
            </w:pPr>
            <w:r>
              <w:rPr>
                <w:rFonts w:ascii="Arial" w:cs="Arial" w:eastAsia="Arial" w:hAnsi="Arial"/>
                <w:sz w:val="17"/>
                <w:szCs w:val="17"/>
                <w:color w:val="0000FF"/>
              </w:rPr>
              <w:t>Item 5. Other Information</w:t>
            </w:r>
          </w:p>
        </w:tc>
        <w:tc>
          <w:tcPr>
            <w:tcW w:w="580" w:type="dxa"/>
            <w:vAlign w:val="bottom"/>
          </w:tcPr>
          <w:p>
            <w:pPr>
              <w:jc w:val="right"/>
              <w:spacing w:after="0"/>
              <w:rPr>
                <w:sz w:val="20"/>
                <w:szCs w:val="20"/>
                <w:color w:val="auto"/>
              </w:rPr>
            </w:pPr>
            <w:r>
              <w:rPr>
                <w:rFonts w:ascii="Arial" w:cs="Arial" w:eastAsia="Arial" w:hAnsi="Arial"/>
                <w:sz w:val="17"/>
                <w:szCs w:val="17"/>
                <w:color w:val="0000FF"/>
              </w:rPr>
              <w:t>34</w:t>
            </w:r>
          </w:p>
        </w:tc>
      </w:tr>
      <w:tr>
        <w:trPr>
          <w:trHeight w:val="222"/>
        </w:trPr>
        <w:tc>
          <w:tcPr>
            <w:tcW w:w="10240" w:type="dxa"/>
            <w:vAlign w:val="bottom"/>
            <w:gridSpan w:val="2"/>
            <w:shd w:val="clear" w:color="auto" w:fill="CCEEFF"/>
          </w:tcPr>
          <w:p>
            <w:pPr>
              <w:ind w:left="320"/>
              <w:spacing w:after="0"/>
              <w:rPr>
                <w:sz w:val="20"/>
                <w:szCs w:val="20"/>
                <w:color w:val="auto"/>
              </w:rPr>
            </w:pPr>
            <w:r>
              <w:rPr>
                <w:rFonts w:ascii="Arial" w:cs="Arial" w:eastAsia="Arial" w:hAnsi="Arial"/>
                <w:sz w:val="17"/>
                <w:szCs w:val="17"/>
                <w:color w:val="0000FF"/>
              </w:rPr>
              <w:t>Item 6. Exhibits</w:t>
            </w: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0000FF"/>
              </w:rPr>
              <w:t>35</w:t>
            </w:r>
          </w:p>
        </w:tc>
      </w:tr>
      <w:tr>
        <w:trPr>
          <w:trHeight w:val="222"/>
        </w:trPr>
        <w:tc>
          <w:tcPr>
            <w:tcW w:w="10240" w:type="dxa"/>
            <w:vAlign w:val="bottom"/>
            <w:gridSpan w:val="2"/>
          </w:tcPr>
          <w:p>
            <w:pPr>
              <w:spacing w:after="0"/>
              <w:rPr>
                <w:sz w:val="20"/>
                <w:szCs w:val="20"/>
                <w:color w:val="auto"/>
              </w:rPr>
            </w:pPr>
            <w:r>
              <w:rPr>
                <w:rFonts w:ascii="Arial" w:cs="Arial" w:eastAsia="Arial" w:hAnsi="Arial"/>
                <w:sz w:val="17"/>
                <w:szCs w:val="17"/>
                <w:b w:val="1"/>
                <w:bCs w:val="1"/>
                <w:color w:val="0000FF"/>
              </w:rPr>
              <w:t>Signatures</w:t>
            </w:r>
          </w:p>
        </w:tc>
        <w:tc>
          <w:tcPr>
            <w:tcW w:w="580" w:type="dxa"/>
            <w:vAlign w:val="bottom"/>
          </w:tcPr>
          <w:p>
            <w:pPr>
              <w:jc w:val="right"/>
              <w:spacing w:after="0"/>
              <w:rPr>
                <w:sz w:val="20"/>
                <w:szCs w:val="20"/>
                <w:color w:val="auto"/>
              </w:rPr>
            </w:pPr>
            <w:r>
              <w:rPr>
                <w:rFonts w:ascii="Arial" w:cs="Arial" w:eastAsia="Arial" w:hAnsi="Arial"/>
                <w:sz w:val="17"/>
                <w:szCs w:val="17"/>
                <w:color w:val="0000FF"/>
              </w:rPr>
              <w:t>36</w:t>
            </w:r>
          </w:p>
        </w:tc>
      </w:tr>
      <w:tr>
        <w:trPr>
          <w:trHeight w:val="183"/>
        </w:trPr>
        <w:tc>
          <w:tcPr>
            <w:tcW w:w="10240" w:type="dxa"/>
            <w:vAlign w:val="bottom"/>
            <w:gridSpan w:val="2"/>
            <w:shd w:val="clear" w:color="auto" w:fill="CCEEFF"/>
          </w:tcPr>
          <w:p>
            <w:pPr>
              <w:spacing w:after="0" w:line="183" w:lineRule="exact"/>
              <w:rPr>
                <w:sz w:val="20"/>
                <w:szCs w:val="20"/>
                <w:color w:val="auto"/>
              </w:rPr>
            </w:pPr>
            <w:r>
              <w:rPr>
                <w:rFonts w:ascii="Arial" w:cs="Arial" w:eastAsia="Arial" w:hAnsi="Arial"/>
                <w:sz w:val="17"/>
                <w:szCs w:val="17"/>
                <w:b w:val="1"/>
                <w:bCs w:val="1"/>
                <w:color w:val="0000FF"/>
              </w:rPr>
              <w:t>Exhibit Index</w:t>
            </w:r>
          </w:p>
        </w:tc>
        <w:tc>
          <w:tcPr>
            <w:tcW w:w="580" w:type="dxa"/>
            <w:vAlign w:val="bottom"/>
            <w:shd w:val="clear" w:color="auto" w:fill="CCEEFF"/>
          </w:tcPr>
          <w:p>
            <w:pPr>
              <w:jc w:val="right"/>
              <w:spacing w:after="0" w:line="183" w:lineRule="exact"/>
              <w:rPr>
                <w:sz w:val="20"/>
                <w:szCs w:val="20"/>
                <w:color w:val="auto"/>
              </w:rPr>
            </w:pPr>
            <w:r>
              <w:rPr>
                <w:rFonts w:ascii="Arial" w:cs="Arial" w:eastAsia="Arial" w:hAnsi="Arial"/>
                <w:sz w:val="17"/>
                <w:szCs w:val="17"/>
                <w:color w:val="0000FF"/>
              </w:rPr>
              <w:t>36</w:t>
            </w:r>
          </w:p>
        </w:tc>
      </w:tr>
      <w:tr>
        <w:trPr>
          <w:trHeight w:val="39"/>
        </w:trPr>
        <w:tc>
          <w:tcPr>
            <w:tcW w:w="1020" w:type="dxa"/>
            <w:vAlign w:val="bottom"/>
            <w:shd w:val="clear" w:color="auto" w:fill="0000FF"/>
          </w:tcPr>
          <w:p>
            <w:pPr>
              <w:spacing w:after="0"/>
              <w:rPr>
                <w:sz w:val="3"/>
                <w:szCs w:val="3"/>
                <w:color w:val="auto"/>
              </w:rPr>
            </w:pPr>
          </w:p>
        </w:tc>
        <w:tc>
          <w:tcPr>
            <w:tcW w:w="922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70485</wp:posOffset>
            </wp:positionV>
            <wp:extent cx="716216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820"/>
          </w:cols>
          <w:pgMar w:left="540" w:top="1062" w:right="539" w:bottom="1440" w:gutter="0" w:footer="0" w:header="0"/>
        </w:sectPr>
      </w:pPr>
    </w:p>
    <w:bookmarkStart w:id="3" w:name="page4"/>
    <w:bookmarkEnd w:id="3"/>
    <w:p>
      <w:pPr>
        <w:spacing w:after="0"/>
        <w:tabs>
          <w:tab w:leader="none" w:pos="800" w:val="left"/>
        </w:tabs>
        <w:rPr>
          <w:sz w:val="20"/>
          <w:szCs w:val="20"/>
          <w:color w:val="auto"/>
        </w:rPr>
      </w:pPr>
      <w:r>
        <w:rPr>
          <w:rFonts w:ascii="Arial" w:cs="Arial" w:eastAsia="Arial" w:hAnsi="Arial"/>
          <w:sz w:val="17"/>
          <w:szCs w:val="17"/>
          <w:b w:val="1"/>
          <w:bCs w:val="1"/>
          <w:color w:val="auto"/>
        </w:rPr>
        <w:t>PART I.</w:t>
        <w:tab/>
        <w:t>FINANCIAL INFORMATION</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right"/>
        <w:ind w:right="447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0139"/>
          </w:cols>
          <w:pgMar w:left="320" w:top="1376" w:right="1440" w:bottom="1440" w:gutter="0" w:footer="0" w:header="0"/>
        </w:sectPr>
      </w:pPr>
    </w:p>
    <w:bookmarkStart w:id="4" w:name="page5"/>
    <w:bookmarkEnd w:id="4"/>
    <w:p>
      <w:pPr>
        <w:spacing w:after="0"/>
        <w:rPr>
          <w:sz w:val="20"/>
          <w:szCs w:val="20"/>
          <w:color w:val="auto"/>
        </w:rPr>
      </w:pPr>
      <w:r>
        <w:rPr>
          <w:rFonts w:ascii="Arial" w:cs="Arial" w:eastAsia="Arial" w:hAnsi="Arial"/>
          <w:sz w:val="17"/>
          <w:szCs w:val="17"/>
          <w:b w:val="1"/>
          <w:bCs w:val="1"/>
          <w:color w:val="auto"/>
        </w:rPr>
        <w:t>Item 1.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BALANCE SHEETS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share and par value amounts)</w:t>
            </w:r>
          </w:p>
        </w:tc>
        <w:tc>
          <w:tcPr>
            <w:tcW w:w="240" w:type="dxa"/>
            <w:vAlign w:val="bottom"/>
          </w:tcPr>
          <w:p>
            <w:pPr>
              <w:spacing w:after="0"/>
              <w:rPr>
                <w:sz w:val="14"/>
                <w:szCs w:val="14"/>
                <w:color w:val="auto"/>
              </w:rPr>
            </w:pPr>
          </w:p>
        </w:tc>
        <w:tc>
          <w:tcPr>
            <w:tcW w:w="142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December 30,</w:t>
            </w:r>
          </w:p>
        </w:tc>
        <w:tc>
          <w:tcPr>
            <w:tcW w:w="360" w:type="dxa"/>
            <w:vAlign w:val="bottom"/>
          </w:tcPr>
          <w:p>
            <w:pPr>
              <w:spacing w:after="0"/>
              <w:rPr>
                <w:sz w:val="14"/>
                <w:szCs w:val="14"/>
                <w:color w:val="auto"/>
              </w:rPr>
            </w:pPr>
          </w:p>
        </w:tc>
        <w:tc>
          <w:tcPr>
            <w:tcW w:w="1200" w:type="dxa"/>
            <w:vAlign w:val="bottom"/>
          </w:tcPr>
          <w:p>
            <w:pPr>
              <w:jc w:val="right"/>
              <w:ind w:right="494"/>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89"/>
        </w:trPr>
        <w:tc>
          <w:tcPr>
            <w:tcW w:w="80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21,360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36,877</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Marketable securities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10,893</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receivable,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91,371</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73,168</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Unbilled receivables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53,600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45,857</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35,185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25,394</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Customer service inventories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1,875</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1,775</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20,132</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12,437</w:t>
            </w:r>
          </w:p>
        </w:tc>
        <w:tc>
          <w:tcPr>
            <w:tcW w:w="0" w:type="dxa"/>
            <w:vAlign w:val="bottom"/>
          </w:tcPr>
          <w:p>
            <w:pPr>
              <w:spacing w:after="0"/>
              <w:rPr>
                <w:sz w:val="1"/>
                <w:szCs w:val="1"/>
                <w:color w:val="auto"/>
              </w:rPr>
            </w:pPr>
          </w:p>
        </w:tc>
      </w:tr>
      <w:tr>
        <w:trPr>
          <w:trHeight w:val="215"/>
        </w:trPr>
        <w:tc>
          <w:tcPr>
            <w:tcW w:w="8020" w:type="dxa"/>
            <w:vAlign w:val="bottom"/>
          </w:tcPr>
          <w:p>
            <w:pPr>
              <w:ind w:left="460"/>
              <w:spacing w:after="0"/>
              <w:rPr>
                <w:sz w:val="20"/>
                <w:szCs w:val="20"/>
                <w:color w:val="auto"/>
              </w:rPr>
            </w:pPr>
            <w:r>
              <w:rPr>
                <w:rFonts w:ascii="Arial" w:cs="Arial" w:eastAsia="Arial" w:hAnsi="Arial"/>
                <w:sz w:val="17"/>
                <w:szCs w:val="17"/>
                <w:color w:val="auto"/>
              </w:rPr>
              <w:t>Total current assets</w:t>
            </w:r>
          </w:p>
        </w:tc>
        <w:tc>
          <w:tcPr>
            <w:tcW w:w="24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223,525</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206,401</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Property, plant and equipment,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11,416</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8,887</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Goodwill</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4,950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Intangible assets, net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Deferred income taxes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89,647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95,412</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Right of use assets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2,874</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2,759</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assets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9,834</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10,445</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ASSETS</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349,288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323,904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LIABILITIES AND EQUITY</w:t>
            </w: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802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59,750</w:t>
            </w:r>
          </w:p>
        </w:tc>
        <w:tc>
          <w:tcPr>
            <w:tcW w:w="100" w:type="dxa"/>
            <w:vAlign w:val="bottom"/>
          </w:tcPr>
          <w:p>
            <w:pPr>
              <w:spacing w:after="0"/>
              <w:rPr>
                <w:sz w:val="19"/>
                <w:szCs w:val="19"/>
                <w:color w:val="auto"/>
              </w:rPr>
            </w:pPr>
          </w:p>
        </w:tc>
        <w:tc>
          <w:tcPr>
            <w:tcW w:w="360" w:type="dxa"/>
            <w:vAlign w:val="bottom"/>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Pr>
          <w:p>
            <w:pPr>
              <w:jc w:val="right"/>
              <w:spacing w:after="0"/>
              <w:rPr>
                <w:sz w:val="20"/>
                <w:szCs w:val="20"/>
                <w:color w:val="auto"/>
              </w:rPr>
            </w:pPr>
            <w:r>
              <w:rPr>
                <w:rFonts w:ascii="Arial" w:cs="Arial" w:eastAsia="Arial" w:hAnsi="Arial"/>
                <w:sz w:val="17"/>
                <w:szCs w:val="17"/>
                <w:color w:val="auto"/>
              </w:rPr>
              <w:t>42,394</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23,605</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26,451</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Short-term lease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784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513</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Advance payments and unearned revenue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33,740</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Restructuring liabilities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1,472</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1,381</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current liabilities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124,481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104,479</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Unearned revenue</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7,824</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8,920</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Long-term lease liabilities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2,368</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2,412</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Other long-term liabilities</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273</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Reserve for uncertain tax positions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5,307</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5,504</w:t>
            </w:r>
          </w:p>
        </w:tc>
        <w:tc>
          <w:tcPr>
            <w:tcW w:w="0" w:type="dxa"/>
            <w:vAlign w:val="bottom"/>
          </w:tcPr>
          <w:p>
            <w:pPr>
              <w:spacing w:after="0"/>
              <w:rPr>
                <w:sz w:val="1"/>
                <w:szCs w:val="1"/>
                <w:color w:val="auto"/>
              </w:rPr>
            </w:pPr>
          </w:p>
        </w:tc>
      </w:tr>
      <w:tr>
        <w:trPr>
          <w:trHeight w:val="222"/>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 income taxes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563</w:t>
            </w:r>
          </w:p>
        </w:tc>
        <w:tc>
          <w:tcPr>
            <w:tcW w:w="0" w:type="dxa"/>
            <w:vAlign w:val="bottom"/>
          </w:tcPr>
          <w:p>
            <w:pPr>
              <w:spacing w:after="0"/>
              <w:rPr>
                <w:sz w:val="1"/>
                <w:szCs w:val="1"/>
                <w:color w:val="auto"/>
              </w:rPr>
            </w:pPr>
          </w:p>
        </w:tc>
      </w:tr>
      <w:tr>
        <w:trPr>
          <w:trHeight w:val="215"/>
        </w:trPr>
        <w:tc>
          <w:tcPr>
            <w:tcW w:w="8020" w:type="dxa"/>
            <w:vAlign w:val="bottom"/>
            <w:shd w:val="clear" w:color="auto" w:fill="CCEEFF"/>
          </w:tcPr>
          <w:p>
            <w:pPr>
              <w:ind w:left="460"/>
              <w:spacing w:after="0"/>
              <w:rPr>
                <w:sz w:val="20"/>
                <w:szCs w:val="20"/>
                <w:color w:val="auto"/>
              </w:rPr>
            </w:pPr>
            <w:r>
              <w:rPr>
                <w:rFonts w:ascii="Arial" w:cs="Arial" w:eastAsia="Arial" w:hAnsi="Arial"/>
                <w:sz w:val="17"/>
                <w:szCs w:val="17"/>
                <w:color w:val="auto"/>
              </w:rPr>
              <w:t>Total liabilities</w:t>
            </w:r>
          </w:p>
        </w:tc>
        <w:tc>
          <w:tcPr>
            <w:tcW w:w="24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140,792</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122,151</w:t>
            </w:r>
          </w:p>
        </w:tc>
        <w:tc>
          <w:tcPr>
            <w:tcW w:w="0" w:type="dxa"/>
            <w:vAlign w:val="bottom"/>
          </w:tcPr>
          <w:p>
            <w:pPr>
              <w:spacing w:after="0"/>
              <w:rPr>
                <w:sz w:val="1"/>
                <w:szCs w:val="1"/>
                <w:color w:val="auto"/>
              </w:rPr>
            </w:pPr>
          </w:p>
        </w:tc>
      </w:tr>
      <w:tr>
        <w:trPr>
          <w:trHeight w:val="222"/>
        </w:trPr>
        <w:tc>
          <w:tcPr>
            <w:tcW w:w="8020" w:type="dxa"/>
            <w:vAlign w:val="bottom"/>
          </w:tcPr>
          <w:p>
            <w:pPr>
              <w:ind w:left="20"/>
              <w:spacing w:after="0"/>
              <w:rPr>
                <w:sz w:val="20"/>
                <w:szCs w:val="20"/>
                <w:color w:val="auto"/>
              </w:rPr>
            </w:pPr>
            <w:r>
              <w:rPr>
                <w:rFonts w:ascii="Arial" w:cs="Arial" w:eastAsia="Arial" w:hAnsi="Arial"/>
                <w:sz w:val="17"/>
                <w:szCs w:val="17"/>
                <w:color w:val="auto"/>
              </w:rPr>
              <w:t>Commitments and contingencies (Note 13)</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Preferred stock, $0.01 par value, 50,000,000 shares authorized, none issued</w:t>
            </w:r>
          </w:p>
        </w:tc>
        <w:tc>
          <w:tcPr>
            <w:tcW w:w="24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71"/>
        </w:trPr>
        <w:tc>
          <w:tcPr>
            <w:tcW w:w="8020" w:type="dxa"/>
            <w:vAlign w:val="bottom"/>
            <w:shd w:val="clear" w:color="auto" w:fill="CCEEFF"/>
          </w:tcPr>
          <w:p>
            <w:pPr>
              <w:ind w:left="220"/>
              <w:spacing w:after="0" w:line="171" w:lineRule="exact"/>
              <w:rPr>
                <w:sz w:val="20"/>
                <w:szCs w:val="20"/>
                <w:color w:val="auto"/>
              </w:rPr>
            </w:pPr>
            <w:r>
              <w:rPr>
                <w:rFonts w:ascii="Arial" w:cs="Arial" w:eastAsia="Arial" w:hAnsi="Arial"/>
                <w:sz w:val="17"/>
                <w:szCs w:val="17"/>
                <w:color w:val="auto"/>
                <w:w w:val="93"/>
              </w:rPr>
              <w:t>Common stock, $0.01 par value, 300,000,000 shares authorized, 11,377,066 shares issued and outstanding at</w:t>
            </w:r>
          </w:p>
        </w:tc>
        <w:tc>
          <w:tcPr>
            <w:tcW w:w="24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35"/>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December 30, 2022; 11,160,160 shares issued and outstanding at July 1, 2022</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Treasury stock</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(6,147)</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(6,147)</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paid-in-capital</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826,812</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823,259</w:t>
            </w:r>
          </w:p>
        </w:tc>
        <w:tc>
          <w:tcPr>
            <w:tcW w:w="0" w:type="dxa"/>
            <w:vAlign w:val="bottom"/>
          </w:tcPr>
          <w:p>
            <w:pPr>
              <w:spacing w:after="0"/>
              <w:rPr>
                <w:sz w:val="1"/>
                <w:szCs w:val="1"/>
                <w:color w:val="auto"/>
              </w:rPr>
            </w:pPr>
          </w:p>
        </w:tc>
      </w:tr>
      <w:tr>
        <w:trPr>
          <w:trHeight w:val="222"/>
        </w:trPr>
        <w:tc>
          <w:tcPr>
            <w:tcW w:w="8020" w:type="dxa"/>
            <w:vAlign w:val="bottom"/>
          </w:tcPr>
          <w:p>
            <w:pPr>
              <w:ind w:left="220"/>
              <w:spacing w:after="0"/>
              <w:rPr>
                <w:sz w:val="20"/>
                <w:szCs w:val="20"/>
                <w:color w:val="auto"/>
              </w:rPr>
            </w:pPr>
            <w:r>
              <w:rPr>
                <w:rFonts w:ascii="Arial" w:cs="Arial" w:eastAsia="Arial" w:hAnsi="Arial"/>
                <w:sz w:val="17"/>
                <w:szCs w:val="17"/>
                <w:color w:val="auto"/>
              </w:rPr>
              <w:t>Accumulated deficit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(596,142)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(599,442)</w:t>
            </w:r>
          </w:p>
        </w:tc>
        <w:tc>
          <w:tcPr>
            <w:tcW w:w="0" w:type="dxa"/>
            <w:vAlign w:val="bottom"/>
          </w:tcPr>
          <w:p>
            <w:pPr>
              <w:spacing w:after="0"/>
              <w:rPr>
                <w:sz w:val="1"/>
                <w:szCs w:val="1"/>
                <w:color w:val="auto"/>
              </w:rPr>
            </w:pPr>
          </w:p>
        </w:tc>
      </w:tr>
      <w:tr>
        <w:trPr>
          <w:trHeight w:val="222"/>
        </w:trPr>
        <w:tc>
          <w:tcPr>
            <w:tcW w:w="80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(16,141)</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(16,029)</w:t>
            </w:r>
          </w:p>
        </w:tc>
        <w:tc>
          <w:tcPr>
            <w:tcW w:w="0" w:type="dxa"/>
            <w:vAlign w:val="bottom"/>
          </w:tcPr>
          <w:p>
            <w:pPr>
              <w:spacing w:after="0"/>
              <w:rPr>
                <w:sz w:val="1"/>
                <w:szCs w:val="1"/>
                <w:color w:val="auto"/>
              </w:rPr>
            </w:pPr>
          </w:p>
        </w:tc>
      </w:tr>
      <w:tr>
        <w:trPr>
          <w:trHeight w:val="215"/>
        </w:trPr>
        <w:tc>
          <w:tcPr>
            <w:tcW w:w="802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Total equity</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208,496</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201,753</w:t>
            </w:r>
          </w:p>
        </w:tc>
        <w:tc>
          <w:tcPr>
            <w:tcW w:w="0" w:type="dxa"/>
            <w:vAlign w:val="bottom"/>
          </w:tcPr>
          <w:p>
            <w:pPr>
              <w:spacing w:after="0"/>
              <w:rPr>
                <w:sz w:val="1"/>
                <w:szCs w:val="1"/>
                <w:color w:val="auto"/>
              </w:rPr>
            </w:pPr>
          </w:p>
        </w:tc>
      </w:tr>
      <w:tr>
        <w:trPr>
          <w:trHeight w:val="240"/>
        </w:trPr>
        <w:tc>
          <w:tcPr>
            <w:tcW w:w="8020" w:type="dxa"/>
            <w:vAlign w:val="bottom"/>
            <w:tcBorders>
              <w:bottom w:val="single" w:sz="8" w:color="CCEEFF"/>
            </w:tcBorders>
            <w:shd w:val="clear" w:color="auto" w:fill="CCEEFF"/>
          </w:tcPr>
          <w:p>
            <w:pPr>
              <w:ind w:left="640"/>
              <w:spacing w:after="0"/>
              <w:rPr>
                <w:sz w:val="20"/>
                <w:szCs w:val="20"/>
                <w:color w:val="auto"/>
              </w:rPr>
            </w:pPr>
            <w:r>
              <w:rPr>
                <w:rFonts w:ascii="Arial" w:cs="Arial" w:eastAsia="Arial" w:hAnsi="Arial"/>
                <w:sz w:val="17"/>
                <w:szCs w:val="17"/>
                <w:color w:val="auto"/>
              </w:rPr>
              <w:t>TOTAL LIABILITIES AND EQUITY</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349,288</w:t>
            </w: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323,904</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OPERATIONS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68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5"/>
                <w:szCs w:val="15"/>
                <w:color w:val="auto"/>
              </w:rPr>
            </w:pPr>
          </w:p>
        </w:tc>
        <w:tc>
          <w:tcPr>
            <w:tcW w:w="2380" w:type="dxa"/>
            <w:vAlign w:val="bottom"/>
            <w:gridSpan w:val="4"/>
          </w:tcPr>
          <w:p>
            <w:pPr>
              <w:jc w:val="right"/>
              <w:ind w:right="63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5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6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 per share amounts)</w:t>
            </w:r>
          </w:p>
        </w:tc>
        <w:tc>
          <w:tcPr>
            <w:tcW w:w="180" w:type="dxa"/>
            <w:vAlign w:val="bottom"/>
            <w:tcBorders>
              <w:top w:val="single" w:sz="8" w:color="auto"/>
            </w:tcBorders>
          </w:tcPr>
          <w:p>
            <w:pPr>
              <w:spacing w:after="0"/>
              <w:rPr>
                <w:sz w:val="10"/>
                <w:szCs w:val="10"/>
                <w:color w:val="auto"/>
              </w:rPr>
            </w:pPr>
          </w:p>
        </w:tc>
        <w:tc>
          <w:tcPr>
            <w:tcW w:w="1260" w:type="dxa"/>
            <w:vAlign w:val="bottom"/>
            <w:tcBorders>
              <w:top w:val="single" w:sz="8" w:color="auto"/>
            </w:tcBorders>
            <w:gridSpan w:val="2"/>
          </w:tcPr>
          <w:p>
            <w:pPr>
              <w:ind w:left="80"/>
              <w:spacing w:after="0" w:line="124" w:lineRule="exact"/>
              <w:rPr>
                <w:sz w:val="20"/>
                <w:szCs w:val="20"/>
                <w:color w:val="auto"/>
              </w:rPr>
            </w:pPr>
            <w:r>
              <w:rPr>
                <w:rFonts w:ascii="Arial" w:cs="Arial" w:eastAsia="Arial" w:hAnsi="Arial"/>
                <w:sz w:val="14"/>
                <w:szCs w:val="14"/>
                <w:b w:val="1"/>
                <w:bCs w:val="1"/>
                <w:color w:val="auto"/>
              </w:rPr>
              <w:t>December 30,</w:t>
            </w:r>
          </w:p>
        </w:tc>
        <w:tc>
          <w:tcPr>
            <w:tcW w:w="14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14"/>
              <w:spacing w:after="0" w:line="124" w:lineRule="exact"/>
              <w:rPr>
                <w:sz w:val="20"/>
                <w:szCs w:val="20"/>
                <w:color w:val="auto"/>
              </w:rPr>
            </w:pPr>
            <w:r>
              <w:rPr>
                <w:rFonts w:ascii="Arial" w:cs="Arial" w:eastAsia="Arial" w:hAnsi="Arial"/>
                <w:sz w:val="14"/>
                <w:szCs w:val="14"/>
                <w:b w:val="1"/>
                <w:bCs w:val="1"/>
                <w:color w:val="auto"/>
                <w:w w:val="92"/>
              </w:rPr>
              <w:t>December 31,</w:t>
            </w:r>
          </w:p>
        </w:tc>
        <w:tc>
          <w:tcPr>
            <w:tcW w:w="220" w:type="dxa"/>
            <w:vAlign w:val="bottom"/>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ind w:left="60"/>
              <w:spacing w:after="0" w:line="124" w:lineRule="exact"/>
              <w:rPr>
                <w:sz w:val="20"/>
                <w:szCs w:val="20"/>
                <w:color w:val="auto"/>
              </w:rPr>
            </w:pPr>
            <w:r>
              <w:rPr>
                <w:rFonts w:ascii="Arial" w:cs="Arial" w:eastAsia="Arial" w:hAnsi="Arial"/>
                <w:sz w:val="14"/>
                <w:szCs w:val="14"/>
                <w:b w:val="1"/>
                <w:bCs w:val="1"/>
                <w:color w:val="auto"/>
              </w:rPr>
              <w:t>December 30,</w:t>
            </w:r>
          </w:p>
        </w:tc>
        <w:tc>
          <w:tcPr>
            <w:tcW w:w="16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tcPr>
          <w:p>
            <w:pPr>
              <w:jc w:val="right"/>
              <w:ind w:right="114"/>
              <w:spacing w:after="0" w:line="124"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89"/>
        </w:trPr>
        <w:tc>
          <w:tcPr>
            <w:tcW w:w="584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2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Revenues: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840" w:type="dxa"/>
            <w:vAlign w:val="bottom"/>
          </w:tcPr>
          <w:p>
            <w:pPr>
              <w:ind w:left="20"/>
              <w:spacing w:after="0"/>
              <w:rPr>
                <w:sz w:val="20"/>
                <w:szCs w:val="20"/>
                <w:color w:val="auto"/>
              </w:rPr>
            </w:pPr>
            <w:r>
              <w:rPr>
                <w:rFonts w:ascii="Arial" w:cs="Arial" w:eastAsia="Arial" w:hAnsi="Arial"/>
                <w:sz w:val="17"/>
                <w:szCs w:val="17"/>
                <w:color w:val="auto"/>
              </w:rPr>
              <w:t>Revenue from product sales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65,561</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53,467</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120,662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104,314</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 from services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25,122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24,397</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51,272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46,708</w:t>
            </w:r>
          </w:p>
        </w:tc>
        <w:tc>
          <w:tcPr>
            <w:tcW w:w="0" w:type="dxa"/>
            <w:vAlign w:val="bottom"/>
          </w:tcPr>
          <w:p>
            <w:pPr>
              <w:spacing w:after="0"/>
              <w:rPr>
                <w:sz w:val="1"/>
                <w:szCs w:val="1"/>
                <w:color w:val="auto"/>
              </w:rPr>
            </w:pPr>
          </w:p>
        </w:tc>
      </w:tr>
      <w:tr>
        <w:trPr>
          <w:trHeight w:val="215"/>
        </w:trPr>
        <w:tc>
          <w:tcPr>
            <w:tcW w:w="58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revenues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90,683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77,864</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171,934</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151,022</w:t>
            </w:r>
          </w:p>
        </w:tc>
        <w:tc>
          <w:tcPr>
            <w:tcW w:w="0" w:type="dxa"/>
            <w:vAlign w:val="bottom"/>
          </w:tcPr>
          <w:p>
            <w:pPr>
              <w:spacing w:after="0"/>
              <w:rPr>
                <w:sz w:val="1"/>
                <w:szCs w:val="1"/>
                <w:color w:val="auto"/>
              </w:rPr>
            </w:pPr>
          </w:p>
        </w:tc>
      </w:tr>
      <w:tr>
        <w:trPr>
          <w:trHeight w:val="20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Cost of revenues:</w:t>
            </w:r>
          </w:p>
        </w:tc>
        <w:tc>
          <w:tcPr>
            <w:tcW w:w="18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40" w:type="dxa"/>
            <w:vAlign w:val="bottom"/>
          </w:tcPr>
          <w:p>
            <w:pPr>
              <w:ind w:left="20"/>
              <w:spacing w:after="0"/>
              <w:rPr>
                <w:sz w:val="20"/>
                <w:szCs w:val="20"/>
                <w:color w:val="auto"/>
              </w:rPr>
            </w:pPr>
            <w:r>
              <w:rPr>
                <w:rFonts w:ascii="Arial" w:cs="Arial" w:eastAsia="Arial" w:hAnsi="Arial"/>
                <w:sz w:val="17"/>
                <w:szCs w:val="17"/>
                <w:color w:val="auto"/>
              </w:rPr>
              <w:t>Cost of product sales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40,569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34,014</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75,822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65,939</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Cost of services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17,894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15,694</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34,438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30,846</w:t>
            </w:r>
          </w:p>
        </w:tc>
        <w:tc>
          <w:tcPr>
            <w:tcW w:w="0" w:type="dxa"/>
            <w:vAlign w:val="bottom"/>
          </w:tcPr>
          <w:p>
            <w:pPr>
              <w:spacing w:after="0"/>
              <w:rPr>
                <w:sz w:val="1"/>
                <w:szCs w:val="1"/>
                <w:color w:val="auto"/>
              </w:rPr>
            </w:pPr>
          </w:p>
        </w:tc>
      </w:tr>
      <w:tr>
        <w:trPr>
          <w:trHeight w:val="215"/>
        </w:trPr>
        <w:tc>
          <w:tcPr>
            <w:tcW w:w="58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cost of revenues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58,463</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49,708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110,260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96,785</w:t>
            </w: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Gross margin</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32,220</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28,156</w:t>
            </w:r>
          </w:p>
        </w:tc>
        <w:tc>
          <w:tcPr>
            <w:tcW w:w="2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61,674</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54,237</w:t>
            </w:r>
          </w:p>
        </w:tc>
        <w:tc>
          <w:tcPr>
            <w:tcW w:w="0" w:type="dxa"/>
            <w:vAlign w:val="bottom"/>
          </w:tcPr>
          <w:p>
            <w:pPr>
              <w:spacing w:after="0"/>
              <w:rPr>
                <w:sz w:val="1"/>
                <w:szCs w:val="1"/>
                <w:color w:val="auto"/>
              </w:rPr>
            </w:pPr>
          </w:p>
        </w:tc>
      </w:tr>
      <w:tr>
        <w:trPr>
          <w:trHeight w:val="202"/>
        </w:trPr>
        <w:tc>
          <w:tcPr>
            <w:tcW w:w="5840" w:type="dxa"/>
            <w:vAlign w:val="bottom"/>
          </w:tcPr>
          <w:p>
            <w:pPr>
              <w:ind w:left="20"/>
              <w:spacing w:after="0"/>
              <w:rPr>
                <w:sz w:val="20"/>
                <w:szCs w:val="20"/>
                <w:color w:val="auto"/>
              </w:rPr>
            </w:pPr>
            <w:r>
              <w:rPr>
                <w:rFonts w:ascii="Arial" w:cs="Arial" w:eastAsia="Arial" w:hAnsi="Arial"/>
                <w:sz w:val="17"/>
                <w:szCs w:val="17"/>
                <w:b w:val="1"/>
                <w:bCs w:val="1"/>
                <w:color w:val="auto"/>
              </w:rPr>
              <w:t>Operating expenses:</w:t>
            </w: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Research and development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12,079</w:t>
            </w:r>
          </w:p>
        </w:tc>
        <w:tc>
          <w:tcPr>
            <w:tcW w:w="0" w:type="dxa"/>
            <w:vAlign w:val="bottom"/>
          </w:tcPr>
          <w:p>
            <w:pPr>
              <w:spacing w:after="0"/>
              <w:rPr>
                <w:sz w:val="1"/>
                <w:szCs w:val="1"/>
                <w:color w:val="auto"/>
              </w:rPr>
            </w:pPr>
          </w:p>
        </w:tc>
      </w:tr>
      <w:tr>
        <w:trPr>
          <w:trHeight w:val="222"/>
        </w:trPr>
        <w:tc>
          <w:tcPr>
            <w:tcW w:w="5840" w:type="dxa"/>
            <w:vAlign w:val="bottom"/>
          </w:tcPr>
          <w:p>
            <w:pPr>
              <w:ind w:left="20"/>
              <w:spacing w:after="0"/>
              <w:rPr>
                <w:sz w:val="20"/>
                <w:szCs w:val="20"/>
                <w:color w:val="auto"/>
              </w:rPr>
            </w:pPr>
            <w:r>
              <w:rPr>
                <w:rFonts w:ascii="Arial" w:cs="Arial" w:eastAsia="Arial" w:hAnsi="Arial"/>
                <w:sz w:val="17"/>
                <w:szCs w:val="17"/>
                <w:color w:val="auto"/>
              </w:rPr>
              <w:t>Selling and administrative expenses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16,567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13,739</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34,071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26,437</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Restructuring charges (recovery)</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928</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(960)</w:t>
            </w:r>
          </w:p>
        </w:tc>
        <w:tc>
          <w:tcPr>
            <w:tcW w:w="2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2,878</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15"/>
        </w:trPr>
        <w:tc>
          <w:tcPr>
            <w:tcW w:w="584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Total operating expenses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23,542</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18,948</w:t>
            </w:r>
          </w:p>
        </w:tc>
        <w:tc>
          <w:tcPr>
            <w:tcW w:w="2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49,083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38,215</w:t>
            </w: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Operating income</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8,678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9,208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12,591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16,022</w:t>
            </w:r>
          </w:p>
        </w:tc>
        <w:tc>
          <w:tcPr>
            <w:tcW w:w="0" w:type="dxa"/>
            <w:vAlign w:val="bottom"/>
          </w:tcPr>
          <w:p>
            <w:pPr>
              <w:spacing w:after="0"/>
              <w:rPr>
                <w:sz w:val="1"/>
                <w:szCs w:val="1"/>
                <w:color w:val="auto"/>
              </w:rPr>
            </w:pPr>
          </w:p>
        </w:tc>
      </w:tr>
      <w:tr>
        <w:trPr>
          <w:trHeight w:val="222"/>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(income)/expense, net</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240</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2,322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212</w:t>
            </w:r>
          </w:p>
        </w:tc>
        <w:tc>
          <w:tcPr>
            <w:tcW w:w="0" w:type="dxa"/>
            <w:vAlign w:val="bottom"/>
          </w:tcPr>
          <w:p>
            <w:pPr>
              <w:spacing w:after="0"/>
              <w:rPr>
                <w:sz w:val="1"/>
                <w:szCs w:val="1"/>
                <w:color w:val="auto"/>
              </w:rPr>
            </w:pPr>
          </w:p>
        </w:tc>
      </w:tr>
      <w:tr>
        <w:trPr>
          <w:trHeight w:val="215"/>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Income before income taxes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9,138</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8,968</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10,269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15,810</w:t>
            </w:r>
          </w:p>
        </w:tc>
        <w:tc>
          <w:tcPr>
            <w:tcW w:w="0" w:type="dxa"/>
            <w:vAlign w:val="bottom"/>
          </w:tcPr>
          <w:p>
            <w:pPr>
              <w:spacing w:after="0"/>
              <w:rPr>
                <w:sz w:val="1"/>
                <w:szCs w:val="1"/>
                <w:color w:val="auto"/>
              </w:rPr>
            </w:pPr>
          </w:p>
        </w:tc>
      </w:tr>
      <w:tr>
        <w:trPr>
          <w:trHeight w:val="222"/>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Provision for income taxes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3,092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3,052</w:t>
            </w:r>
          </w:p>
        </w:tc>
        <w:tc>
          <w:tcPr>
            <w:tcW w:w="2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6,969</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5,212</w:t>
            </w:r>
          </w:p>
        </w:tc>
        <w:tc>
          <w:tcPr>
            <w:tcW w:w="0" w:type="dxa"/>
            <w:vAlign w:val="bottom"/>
          </w:tcPr>
          <w:p>
            <w:pPr>
              <w:spacing w:after="0"/>
              <w:rPr>
                <w:sz w:val="1"/>
                <w:szCs w:val="1"/>
                <w:color w:val="auto"/>
              </w:rPr>
            </w:pPr>
          </w:p>
        </w:tc>
      </w:tr>
      <w:tr>
        <w:trPr>
          <w:trHeight w:val="24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6,046</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5,916</w:t>
            </w:r>
          </w:p>
        </w:tc>
        <w:tc>
          <w:tcPr>
            <w:tcW w:w="2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3,300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10,598</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5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 per share of common stock outstanding:</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ind w:left="340"/>
              <w:spacing w:after="0"/>
              <w:rPr>
                <w:sz w:val="20"/>
                <w:szCs w:val="20"/>
                <w:color w:val="auto"/>
              </w:rPr>
            </w:pPr>
            <w:r>
              <w:rPr>
                <w:rFonts w:ascii="Arial" w:cs="Arial" w:eastAsia="Arial" w:hAnsi="Arial"/>
                <w:sz w:val="17"/>
                <w:szCs w:val="17"/>
                <w:color w:val="auto"/>
              </w:rPr>
              <w:t>Basic</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0.53</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0.52</w:t>
            </w:r>
          </w:p>
        </w:tc>
        <w:tc>
          <w:tcPr>
            <w:tcW w:w="2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0.29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0.95</w:t>
            </w: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Diluted</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0.89</w:t>
            </w:r>
          </w:p>
        </w:tc>
        <w:tc>
          <w:tcPr>
            <w:tcW w:w="0" w:type="dxa"/>
            <w:vAlign w:val="bottom"/>
          </w:tcPr>
          <w:p>
            <w:pPr>
              <w:spacing w:after="0"/>
              <w:rPr>
                <w:sz w:val="1"/>
                <w:szCs w:val="1"/>
                <w:color w:val="auto"/>
              </w:rPr>
            </w:pPr>
          </w:p>
        </w:tc>
      </w:tr>
      <w:tr>
        <w:trPr>
          <w:trHeight w:val="222"/>
        </w:trPr>
        <w:tc>
          <w:tcPr>
            <w:tcW w:w="5840" w:type="dxa"/>
            <w:vAlign w:val="bottom"/>
          </w:tcPr>
          <w:p>
            <w:pPr>
              <w:ind w:left="20"/>
              <w:spacing w:after="0"/>
              <w:rPr>
                <w:sz w:val="20"/>
                <w:szCs w:val="20"/>
                <w:color w:val="auto"/>
              </w:rPr>
            </w:pPr>
            <w:r>
              <w:rPr>
                <w:rFonts w:ascii="Arial" w:cs="Arial" w:eastAsia="Arial" w:hAnsi="Arial"/>
                <w:sz w:val="17"/>
                <w:szCs w:val="17"/>
                <w:b w:val="1"/>
                <w:bCs w:val="1"/>
                <w:color w:val="auto"/>
              </w:rPr>
              <w:t>Weighted-average shares outstanding:</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shd w:val="clear" w:color="auto" w:fill="CCEEFF"/>
          </w:tcPr>
          <w:p>
            <w:pPr>
              <w:ind w:left="340"/>
              <w:spacing w:after="0"/>
              <w:rPr>
                <w:sz w:val="20"/>
                <w:szCs w:val="20"/>
                <w:color w:val="auto"/>
              </w:rPr>
            </w:pPr>
            <w:r>
              <w:rPr>
                <w:rFonts w:ascii="Arial" w:cs="Arial" w:eastAsia="Arial" w:hAnsi="Arial"/>
                <w:sz w:val="17"/>
                <w:szCs w:val="17"/>
                <w:color w:val="auto"/>
              </w:rPr>
              <w:t>Basic</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11,347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11,309</w:t>
            </w:r>
          </w:p>
        </w:tc>
        <w:tc>
          <w:tcPr>
            <w:tcW w:w="2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11,172</w:t>
            </w:r>
          </w:p>
        </w:tc>
        <w:tc>
          <w:tcPr>
            <w:tcW w:w="0" w:type="dxa"/>
            <w:vAlign w:val="bottom"/>
          </w:tcPr>
          <w:p>
            <w:pPr>
              <w:spacing w:after="0"/>
              <w:rPr>
                <w:sz w:val="1"/>
                <w:szCs w:val="1"/>
                <w:color w:val="auto"/>
              </w:rPr>
            </w:pPr>
          </w:p>
        </w:tc>
      </w:tr>
      <w:tr>
        <w:trPr>
          <w:trHeight w:val="222"/>
        </w:trPr>
        <w:tc>
          <w:tcPr>
            <w:tcW w:w="5840" w:type="dxa"/>
            <w:vAlign w:val="bottom"/>
          </w:tcPr>
          <w:p>
            <w:pPr>
              <w:ind w:left="340"/>
              <w:spacing w:after="0"/>
              <w:rPr>
                <w:sz w:val="20"/>
                <w:szCs w:val="20"/>
                <w:color w:val="auto"/>
              </w:rPr>
            </w:pPr>
            <w:r>
              <w:rPr>
                <w:rFonts w:ascii="Arial" w:cs="Arial" w:eastAsia="Arial" w:hAnsi="Arial"/>
                <w:sz w:val="17"/>
                <w:szCs w:val="17"/>
                <w:color w:val="auto"/>
              </w:rPr>
              <w:t>Diluted</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11,805</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11,960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11,795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11,895</w:t>
            </w:r>
          </w:p>
        </w:tc>
        <w:tc>
          <w:tcPr>
            <w:tcW w:w="0" w:type="dxa"/>
            <w:vAlign w:val="bottom"/>
          </w:tcPr>
          <w:p>
            <w:pPr>
              <w:spacing w:after="0"/>
              <w:rPr>
                <w:sz w:val="1"/>
                <w:szCs w:val="1"/>
                <w:color w:val="auto"/>
              </w:rPr>
            </w:pPr>
          </w:p>
        </w:tc>
      </w:tr>
    </w:tbl>
    <w:p>
      <w:pPr>
        <w:spacing w:after="0" w:line="1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COMPREHENSIVE INCOME</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9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4"/>
          </w:tcPr>
          <w:p>
            <w:pPr>
              <w:jc w:val="right"/>
              <w:ind w:right="899"/>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800" w:type="dxa"/>
            <w:vAlign w:val="bottom"/>
            <w:gridSpan w:val="4"/>
          </w:tcPr>
          <w:p>
            <w:pPr>
              <w:jc w:val="right"/>
              <w:ind w:right="8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9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92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420" w:type="dxa"/>
            <w:vAlign w:val="bottom"/>
            <w:gridSpan w:val="2"/>
          </w:tcPr>
          <w:p>
            <w:pPr>
              <w:ind w:left="140"/>
              <w:spacing w:after="0" w:line="127" w:lineRule="exact"/>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1"/>
                <w:szCs w:val="11"/>
                <w:color w:val="auto"/>
              </w:rPr>
            </w:pPr>
          </w:p>
        </w:tc>
        <w:tc>
          <w:tcPr>
            <w:tcW w:w="1320" w:type="dxa"/>
            <w:vAlign w:val="bottom"/>
          </w:tcPr>
          <w:p>
            <w:pPr>
              <w:jc w:val="right"/>
              <w:ind w:right="299"/>
              <w:spacing w:after="0" w:line="127"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360" w:type="dxa"/>
            <w:vAlign w:val="bottom"/>
            <w:gridSpan w:val="2"/>
          </w:tcPr>
          <w:p>
            <w:pPr>
              <w:ind w:left="120"/>
              <w:spacing w:after="0" w:line="127" w:lineRule="exact"/>
              <w:rPr>
                <w:sz w:val="20"/>
                <w:szCs w:val="20"/>
                <w:color w:val="auto"/>
              </w:rPr>
            </w:pPr>
            <w:r>
              <w:rPr>
                <w:rFonts w:ascii="Arial" w:cs="Arial" w:eastAsia="Arial" w:hAnsi="Arial"/>
                <w:sz w:val="14"/>
                <w:szCs w:val="14"/>
                <w:b w:val="1"/>
                <w:bCs w:val="1"/>
                <w:color w:val="auto"/>
              </w:rPr>
              <w:t>December 30,</w:t>
            </w:r>
          </w:p>
        </w:tc>
        <w:tc>
          <w:tcPr>
            <w:tcW w:w="200" w:type="dxa"/>
            <w:vAlign w:val="bottom"/>
          </w:tcPr>
          <w:p>
            <w:pPr>
              <w:spacing w:after="0"/>
              <w:rPr>
                <w:sz w:val="11"/>
                <w:szCs w:val="11"/>
                <w:color w:val="auto"/>
              </w:rPr>
            </w:pPr>
          </w:p>
        </w:tc>
        <w:tc>
          <w:tcPr>
            <w:tcW w:w="1240" w:type="dxa"/>
            <w:vAlign w:val="bottom"/>
          </w:tcPr>
          <w:p>
            <w:pPr>
              <w:jc w:val="right"/>
              <w:ind w:right="239"/>
              <w:spacing w:after="0" w:line="127" w:lineRule="exact"/>
              <w:rPr>
                <w:sz w:val="20"/>
                <w:szCs w:val="20"/>
                <w:color w:val="auto"/>
              </w:rPr>
            </w:pPr>
            <w:r>
              <w:rPr>
                <w:rFonts w:ascii="Arial" w:cs="Arial" w:eastAsia="Arial" w:hAnsi="Arial"/>
                <w:sz w:val="14"/>
                <w:szCs w:val="14"/>
                <w:b w:val="1"/>
                <w:bCs w:val="1"/>
                <w:color w:val="auto"/>
                <w:w w:val="98"/>
              </w:rPr>
              <w:t>December 31,</w:t>
            </w:r>
          </w:p>
        </w:tc>
        <w:tc>
          <w:tcPr>
            <w:tcW w:w="0" w:type="dxa"/>
            <w:vAlign w:val="bottom"/>
          </w:tcPr>
          <w:p>
            <w:pPr>
              <w:spacing w:after="0"/>
              <w:rPr>
                <w:sz w:val="1"/>
                <w:szCs w:val="1"/>
                <w:color w:val="auto"/>
              </w:rPr>
            </w:pPr>
          </w:p>
        </w:tc>
      </w:tr>
      <w:tr>
        <w:trPr>
          <w:trHeight w:val="187"/>
        </w:trPr>
        <w:tc>
          <w:tcPr>
            <w:tcW w:w="49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0"/>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0"/>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Net income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5,916</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10,598</w:t>
            </w:r>
          </w:p>
        </w:tc>
        <w:tc>
          <w:tcPr>
            <w:tcW w:w="0" w:type="dxa"/>
            <w:vAlign w:val="bottom"/>
          </w:tcPr>
          <w:p>
            <w:pPr>
              <w:spacing w:after="0"/>
              <w:rPr>
                <w:sz w:val="1"/>
                <w:szCs w:val="1"/>
                <w:color w:val="auto"/>
              </w:rPr>
            </w:pPr>
          </w:p>
        </w:tc>
      </w:tr>
      <w:tr>
        <w:trPr>
          <w:trHeight w:val="222"/>
        </w:trPr>
        <w:tc>
          <w:tcPr>
            <w:tcW w:w="4920" w:type="dxa"/>
            <w:vAlign w:val="bottom"/>
          </w:tcPr>
          <w:p>
            <w:pPr>
              <w:ind w:left="20"/>
              <w:spacing w:after="0"/>
              <w:rPr>
                <w:sz w:val="20"/>
                <w:szCs w:val="20"/>
                <w:color w:val="auto"/>
              </w:rPr>
            </w:pPr>
            <w:r>
              <w:rPr>
                <w:rFonts w:ascii="Arial" w:cs="Arial" w:eastAsia="Arial" w:hAnsi="Arial"/>
                <w:sz w:val="17"/>
                <w:szCs w:val="17"/>
                <w:b w:val="1"/>
                <w:bCs w:val="1"/>
                <w:color w:val="auto"/>
              </w:rPr>
              <w:t>Other comprehensive income (loss):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9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change in cumulative translation adjustments</w:t>
            </w: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1,001</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BFE4FF"/>
          </w:tcPr>
          <w:p>
            <w:pPr>
              <w:spacing w:after="0"/>
              <w:rPr>
                <w:sz w:val="19"/>
                <w:szCs w:val="19"/>
                <w:color w:val="auto"/>
              </w:rPr>
            </w:pPr>
          </w:p>
        </w:tc>
        <w:tc>
          <w:tcPr>
            <w:tcW w:w="132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(108)</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BFE4FF"/>
          </w:tcPr>
          <w:p>
            <w:pPr>
              <w:spacing w:after="0"/>
              <w:rPr>
                <w:sz w:val="19"/>
                <w:szCs w:val="19"/>
                <w:color w:val="auto"/>
              </w:rPr>
            </w:pPr>
          </w:p>
        </w:tc>
        <w:tc>
          <w:tcPr>
            <w:tcW w:w="1240" w:type="dxa"/>
            <w:vAlign w:val="bottom"/>
            <w:tcBorders>
              <w:bottom w:val="single" w:sz="8" w:color="auto"/>
            </w:tcBorders>
            <w:shd w:val="clear" w:color="auto" w:fill="BFE4FF"/>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15"/>
        </w:trPr>
        <w:tc>
          <w:tcPr>
            <w:tcW w:w="49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income (loss)</w:t>
            </w: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1,001</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(108)</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(272)</w:t>
            </w:r>
          </w:p>
        </w:tc>
        <w:tc>
          <w:tcPr>
            <w:tcW w:w="0" w:type="dxa"/>
            <w:vAlign w:val="bottom"/>
          </w:tcPr>
          <w:p>
            <w:pPr>
              <w:spacing w:after="0"/>
              <w:rPr>
                <w:sz w:val="1"/>
                <w:szCs w:val="1"/>
                <w:color w:val="auto"/>
              </w:rPr>
            </w:pPr>
          </w:p>
        </w:tc>
      </w:tr>
      <w:tr>
        <w:trPr>
          <w:trHeight w:val="235"/>
        </w:trPr>
        <w:tc>
          <w:tcPr>
            <w:tcW w:w="492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Comprehensive income</w:t>
            </w: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7,047</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5,808</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3,188</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10,326</w:t>
            </w:r>
          </w:p>
        </w:tc>
        <w:tc>
          <w:tcPr>
            <w:tcW w:w="0" w:type="dxa"/>
            <w:vAlign w:val="bottom"/>
          </w:tcPr>
          <w:p>
            <w:pPr>
              <w:spacing w:after="0"/>
              <w:rPr>
                <w:sz w:val="1"/>
                <w:szCs w:val="1"/>
                <w:color w:val="auto"/>
              </w:rPr>
            </w:pP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CASH FLOWS</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3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8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580" w:type="dxa"/>
            <w:vAlign w:val="bottom"/>
            <w:gridSpan w:val="4"/>
          </w:tcPr>
          <w:p>
            <w:pPr>
              <w:jc w:val="right"/>
              <w:ind w:right="75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84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8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1"/>
                <w:szCs w:val="11"/>
                <w:color w:val="auto"/>
              </w:rPr>
            </w:pPr>
          </w:p>
        </w:tc>
        <w:tc>
          <w:tcPr>
            <w:tcW w:w="1260" w:type="dxa"/>
            <w:vAlign w:val="bottom"/>
            <w:gridSpan w:val="2"/>
          </w:tcPr>
          <w:p>
            <w:pPr>
              <w:ind w:left="80"/>
              <w:spacing w:after="0" w:line="127" w:lineRule="exact"/>
              <w:rPr>
                <w:sz w:val="20"/>
                <w:szCs w:val="20"/>
                <w:color w:val="auto"/>
              </w:rPr>
            </w:pPr>
            <w:r>
              <w:rPr>
                <w:rFonts w:ascii="Arial" w:cs="Arial" w:eastAsia="Arial" w:hAnsi="Arial"/>
                <w:sz w:val="14"/>
                <w:szCs w:val="14"/>
                <w:b w:val="1"/>
                <w:bCs w:val="1"/>
                <w:color w:val="auto"/>
              </w:rPr>
              <w:t>December 30,</w:t>
            </w:r>
          </w:p>
        </w:tc>
        <w:tc>
          <w:tcPr>
            <w:tcW w:w="180" w:type="dxa"/>
            <w:vAlign w:val="bottom"/>
          </w:tcPr>
          <w:p>
            <w:pPr>
              <w:spacing w:after="0"/>
              <w:rPr>
                <w:sz w:val="11"/>
                <w:szCs w:val="11"/>
                <w:color w:val="auto"/>
              </w:rPr>
            </w:pPr>
          </w:p>
        </w:tc>
        <w:tc>
          <w:tcPr>
            <w:tcW w:w="1140" w:type="dxa"/>
            <w:vAlign w:val="bottom"/>
          </w:tcPr>
          <w:p>
            <w:pPr>
              <w:jc w:val="right"/>
              <w:ind w:right="174"/>
              <w:spacing w:after="0" w:line="127" w:lineRule="exact"/>
              <w:rPr>
                <w:sz w:val="20"/>
                <w:szCs w:val="20"/>
                <w:color w:val="auto"/>
              </w:rPr>
            </w:pPr>
            <w:r>
              <w:rPr>
                <w:rFonts w:ascii="Arial" w:cs="Arial" w:eastAsia="Arial" w:hAnsi="Arial"/>
                <w:sz w:val="14"/>
                <w:szCs w:val="14"/>
                <w:b w:val="1"/>
                <w:bCs w:val="1"/>
                <w:color w:val="auto"/>
                <w:w w:val="94"/>
              </w:rPr>
              <w:t>December 31,</w:t>
            </w:r>
          </w:p>
        </w:tc>
        <w:tc>
          <w:tcPr>
            <w:tcW w:w="0" w:type="dxa"/>
            <w:vAlign w:val="bottom"/>
          </w:tcPr>
          <w:p>
            <w:pPr>
              <w:spacing w:after="0"/>
              <w:rPr>
                <w:sz w:val="1"/>
                <w:szCs w:val="1"/>
                <w:color w:val="auto"/>
              </w:rPr>
            </w:pPr>
          </w:p>
        </w:tc>
      </w:tr>
      <w:tr>
        <w:trPr>
          <w:trHeight w:val="185"/>
        </w:trPr>
        <w:tc>
          <w:tcPr>
            <w:tcW w:w="8480" w:type="dxa"/>
            <w:vAlign w:val="bottom"/>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Operating Activities</w:t>
            </w: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3,300</w:t>
            </w:r>
          </w:p>
        </w:tc>
        <w:tc>
          <w:tcPr>
            <w:tcW w:w="12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Pr>
          <w:p>
            <w:pPr>
              <w:jc w:val="right"/>
              <w:spacing w:after="0"/>
              <w:rPr>
                <w:sz w:val="20"/>
                <w:szCs w:val="20"/>
                <w:color w:val="auto"/>
              </w:rPr>
            </w:pPr>
            <w:r>
              <w:rPr>
                <w:rFonts w:ascii="Arial" w:cs="Arial" w:eastAsia="Arial" w:hAnsi="Arial"/>
                <w:sz w:val="17"/>
                <w:szCs w:val="17"/>
                <w:color w:val="auto"/>
              </w:rPr>
              <w:t>10,598</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Adjustments to reconcile net income to net cash used in operating activities: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Depreciation and amortization of property, plant and equipment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2,393</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Amortization of intangible assets acquired</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Provision (recoveries) for uncollectible receivables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474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Share-based compensation</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Deferred tax assets, net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5,278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3,548</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Charges for inventory and customer service inventory write-downs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Noncash lease expense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319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445</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loss on marketable securities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Restructuring recoveries</w:t>
            </w:r>
          </w:p>
        </w:tc>
        <w:tc>
          <w:tcPr>
            <w:tcW w:w="18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Changes in operating assets and liabilities: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Accounts receivable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(14,865)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(21,063)</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Unbilled receivables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(5,570)</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Inventories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(4,826)</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(2,393)</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Customer service inventories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(745)</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10,429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11,159</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expenses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(3,759)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(605)</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Advance payments and unearned revenue</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578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2,843</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taxes payable or receivable</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754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(1,550)</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Other assets and liabilities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(6,414)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(2,729)</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 in lease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(472)</w:t>
            </w:r>
          </w:p>
        </w:tc>
        <w:tc>
          <w:tcPr>
            <w:tcW w:w="0" w:type="dxa"/>
            <w:vAlign w:val="bottom"/>
          </w:tcPr>
          <w:p>
            <w:pPr>
              <w:spacing w:after="0"/>
              <w:rPr>
                <w:sz w:val="1"/>
                <w:szCs w:val="1"/>
                <w:color w:val="auto"/>
              </w:rPr>
            </w:pPr>
          </w:p>
        </w:tc>
      </w:tr>
      <w:tr>
        <w:trPr>
          <w:trHeight w:val="215"/>
        </w:trPr>
        <w:tc>
          <w:tcPr>
            <w:tcW w:w="8480" w:type="dxa"/>
            <w:vAlign w:val="bottom"/>
          </w:tcPr>
          <w:p>
            <w:pPr>
              <w:ind w:left="460"/>
              <w:spacing w:after="0"/>
              <w:rPr>
                <w:sz w:val="20"/>
                <w:szCs w:val="20"/>
                <w:color w:val="auto"/>
              </w:rPr>
            </w:pPr>
            <w:r>
              <w:rPr>
                <w:rFonts w:ascii="Arial" w:cs="Arial" w:eastAsia="Arial" w:hAnsi="Arial"/>
                <w:sz w:val="17"/>
                <w:szCs w:val="17"/>
                <w:color w:val="auto"/>
              </w:rPr>
              <w:t>Net cash used in operating activities</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(8,359)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(2,163)</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Investing Activities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Payments for acquisition of property, plant and equipment</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(798)</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sale of marketable securities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9,151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4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Acquisition, net of cash acquired and purchases of intangible assets</w:t>
            </w: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(15,769)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460"/>
              <w:spacing w:after="0"/>
              <w:rPr>
                <w:sz w:val="20"/>
                <w:szCs w:val="20"/>
                <w:color w:val="auto"/>
              </w:rPr>
            </w:pPr>
            <w:r>
              <w:rPr>
                <w:rFonts w:ascii="Arial" w:cs="Arial" w:eastAsia="Arial" w:hAnsi="Arial"/>
                <w:sz w:val="17"/>
                <w:szCs w:val="17"/>
                <w:color w:val="auto"/>
              </w:rPr>
              <w:t>Net cash used in investing activities</w:t>
            </w: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(798)</w:t>
            </w:r>
          </w:p>
        </w:tc>
        <w:tc>
          <w:tcPr>
            <w:tcW w:w="0" w:type="dxa"/>
            <w:vAlign w:val="bottom"/>
          </w:tcPr>
          <w:p>
            <w:pPr>
              <w:spacing w:after="0"/>
              <w:rPr>
                <w:sz w:val="1"/>
                <w:szCs w:val="1"/>
                <w:color w:val="auto"/>
              </w:rPr>
            </w:pPr>
          </w:p>
        </w:tc>
      </w:tr>
      <w:tr>
        <w:trPr>
          <w:trHeight w:val="222"/>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Financing Activities</w:t>
            </w: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borrowings</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Repayments of borrowings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(24,000)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Payments for repurchase of common stock - treasury shares</w:t>
            </w: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(2,621)</w:t>
            </w:r>
          </w:p>
        </w:tc>
        <w:tc>
          <w:tcPr>
            <w:tcW w:w="0" w:type="dxa"/>
            <w:vAlign w:val="bottom"/>
          </w:tcPr>
          <w:p>
            <w:pPr>
              <w:spacing w:after="0"/>
              <w:rPr>
                <w:sz w:val="1"/>
                <w:szCs w:val="1"/>
                <w:color w:val="auto"/>
              </w:rPr>
            </w:pPr>
          </w:p>
        </w:tc>
      </w:tr>
      <w:tr>
        <w:trPr>
          <w:trHeight w:val="222"/>
        </w:trPr>
        <w:tc>
          <w:tcPr>
            <w:tcW w:w="8480" w:type="dxa"/>
            <w:vAlign w:val="bottom"/>
          </w:tcPr>
          <w:p>
            <w:pPr>
              <w:ind w:left="220"/>
              <w:spacing w:after="0"/>
              <w:rPr>
                <w:sz w:val="20"/>
                <w:szCs w:val="20"/>
                <w:color w:val="auto"/>
              </w:rPr>
            </w:pPr>
            <w:r>
              <w:rPr>
                <w:rFonts w:ascii="Arial" w:cs="Arial" w:eastAsia="Arial" w:hAnsi="Arial"/>
                <w:sz w:val="17"/>
                <w:szCs w:val="17"/>
                <w:color w:val="auto"/>
              </w:rPr>
              <w:t>Payments for taxes related to net settlement of equity awards</w:t>
            </w: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(689)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(358)</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Proceeds from issuance of common stock under employee stock plans</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0" w:type="dxa"/>
            <w:vAlign w:val="bottom"/>
          </w:tcPr>
          <w:p>
            <w:pPr>
              <w:spacing w:after="0"/>
              <w:rPr>
                <w:sz w:val="1"/>
                <w:szCs w:val="1"/>
                <w:color w:val="auto"/>
              </w:rPr>
            </w:pPr>
          </w:p>
        </w:tc>
      </w:tr>
      <w:tr>
        <w:trPr>
          <w:trHeight w:val="215"/>
        </w:trPr>
        <w:tc>
          <w:tcPr>
            <w:tcW w:w="8480" w:type="dxa"/>
            <w:vAlign w:val="bottom"/>
            <w:tcBorders>
              <w:bottom w:val="single" w:sz="8" w:color="CCEEFF"/>
            </w:tcBorders>
          </w:tcPr>
          <w:p>
            <w:pPr>
              <w:ind w:left="460"/>
              <w:spacing w:after="0"/>
              <w:rPr>
                <w:sz w:val="20"/>
                <w:szCs w:val="20"/>
                <w:color w:val="auto"/>
              </w:rPr>
            </w:pPr>
            <w:r>
              <w:rPr>
                <w:rFonts w:ascii="Arial" w:cs="Arial" w:eastAsia="Arial" w:hAnsi="Arial"/>
                <w:sz w:val="17"/>
                <w:szCs w:val="17"/>
                <w:color w:val="auto"/>
              </w:rPr>
              <w:t>Net cash provided by (used in) financing activities</w:t>
            </w: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58</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(2,393)</w:t>
            </w:r>
          </w:p>
        </w:tc>
        <w:tc>
          <w:tcPr>
            <w:tcW w:w="0" w:type="dxa"/>
            <w:vAlign w:val="bottom"/>
          </w:tcPr>
          <w:p>
            <w:pPr>
              <w:spacing w:after="0"/>
              <w:rPr>
                <w:sz w:val="1"/>
                <w:szCs w:val="1"/>
                <w:color w:val="auto"/>
              </w:rPr>
            </w:pPr>
          </w:p>
        </w:tc>
      </w:tr>
      <w:tr>
        <w:trPr>
          <w:trHeight w:val="215"/>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Effect of exchange rate changes on cash, cash equivalents, and restricted cash</w:t>
            </w: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(291)</w:t>
            </w: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Net decrease in cash, cash equivalents, and restricted cash</w:t>
            </w: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(15,550)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(5,645)</w:t>
            </w:r>
          </w:p>
        </w:tc>
        <w:tc>
          <w:tcPr>
            <w:tcW w:w="0" w:type="dxa"/>
            <w:vAlign w:val="bottom"/>
          </w:tcPr>
          <w:p>
            <w:pPr>
              <w:spacing w:after="0"/>
              <w:rPr>
                <w:sz w:val="1"/>
                <w:szCs w:val="1"/>
                <w:color w:val="auto"/>
              </w:rPr>
            </w:pPr>
          </w:p>
        </w:tc>
      </w:tr>
      <w:tr>
        <w:trPr>
          <w:trHeight w:val="222"/>
        </w:trPr>
        <w:tc>
          <w:tcPr>
            <w:tcW w:w="848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Cash, cash equivalents, and restricted cash, beginning of period</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37,104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48,198</w:t>
            </w:r>
          </w:p>
        </w:tc>
        <w:tc>
          <w:tcPr>
            <w:tcW w:w="0" w:type="dxa"/>
            <w:vAlign w:val="bottom"/>
          </w:tcPr>
          <w:p>
            <w:pPr>
              <w:spacing w:after="0"/>
              <w:rPr>
                <w:sz w:val="1"/>
                <w:szCs w:val="1"/>
                <w:color w:val="auto"/>
              </w:rPr>
            </w:pPr>
          </w:p>
        </w:tc>
      </w:tr>
      <w:tr>
        <w:trPr>
          <w:trHeight w:val="215"/>
        </w:trPr>
        <w:tc>
          <w:tcPr>
            <w:tcW w:w="8480" w:type="dxa"/>
            <w:vAlign w:val="bottom"/>
          </w:tcPr>
          <w:p>
            <w:pPr>
              <w:ind w:left="20"/>
              <w:spacing w:after="0"/>
              <w:rPr>
                <w:sz w:val="20"/>
                <w:szCs w:val="20"/>
                <w:color w:val="auto"/>
              </w:rPr>
            </w:pPr>
            <w:r>
              <w:rPr>
                <w:rFonts w:ascii="Arial" w:cs="Arial" w:eastAsia="Arial" w:hAnsi="Arial"/>
                <w:sz w:val="17"/>
                <w:szCs w:val="17"/>
                <w:b w:val="1"/>
                <w:bCs w:val="1"/>
                <w:color w:val="auto"/>
              </w:rPr>
              <w:t>Cash, cash equivalents, and restricted cash, end of period</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21,554</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42,553</w:t>
            </w:r>
          </w:p>
        </w:tc>
        <w:tc>
          <w:tcPr>
            <w:tcW w:w="0" w:type="dxa"/>
            <w:vAlign w:val="bottom"/>
          </w:tcPr>
          <w:p>
            <w:pPr>
              <w:spacing w:after="0"/>
              <w:rPr>
                <w:sz w:val="1"/>
                <w:szCs w:val="1"/>
                <w:color w:val="auto"/>
              </w:rPr>
            </w:pPr>
          </w:p>
        </w:tc>
      </w:tr>
      <w:tr>
        <w:trPr>
          <w:trHeight w:val="20"/>
        </w:trPr>
        <w:tc>
          <w:tcPr>
            <w:tcW w:w="8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5"/>
          <w:szCs w:val="15"/>
          <w:color w:val="auto"/>
        </w:rPr>
        <w:t>See accompanying Notes to Unaudited Condensed Consolidated Financial Statements.</w:t>
      </w:r>
    </w:p>
    <w:p>
      <w:pPr>
        <w:sectPr>
          <w:pgSz w:w="11900" w:h="16838" w:orient="portrait"/>
          <w:cols w:equalWidth="0" w:num="1">
            <w:col w:w="9019"/>
          </w:cols>
          <w:pgMar w:left="1440" w:top="112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-720090</wp:posOffset>
            </wp:positionH>
            <wp:positionV relativeFrom="paragraph">
              <wp:posOffset>92075</wp:posOffset>
            </wp:positionV>
            <wp:extent cx="716216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9019"/>
          </w:cols>
          <w:pgMar w:left="1440" w:top="1120" w:right="1440"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7"/>
          <w:szCs w:val="17"/>
          <w:b w:val="1"/>
          <w:bCs w:val="1"/>
          <w:color w:val="auto"/>
        </w:rPr>
        <w:t>AVIAT NETWORKS, INC.</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EQUITY</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140" w:type="dxa"/>
            <w:vAlign w:val="bottom"/>
            <w:gridSpan w:val="13"/>
          </w:tcPr>
          <w:p>
            <w:pPr>
              <w:jc w:val="right"/>
              <w:ind w:right="260"/>
              <w:spacing w:after="0"/>
              <w:rPr>
                <w:sz w:val="20"/>
                <w:szCs w:val="20"/>
                <w:color w:val="auto"/>
              </w:rPr>
            </w:pPr>
            <w:r>
              <w:rPr>
                <w:rFonts w:ascii="Arial" w:cs="Arial" w:eastAsia="Arial" w:hAnsi="Arial"/>
                <w:sz w:val="14"/>
                <w:szCs w:val="14"/>
                <w:b w:val="1"/>
                <w:bCs w:val="1"/>
                <w:color w:val="auto"/>
              </w:rPr>
              <w:t>Three Months Ended December 30, 2022</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gridSpan w:val="3"/>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00" w:type="dxa"/>
            <w:vAlign w:val="bottom"/>
            <w:gridSpan w:val="8"/>
          </w:tcPr>
          <w:p>
            <w:pPr>
              <w:ind w:left="42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3720" w:type="dxa"/>
            <w:vAlign w:val="bottom"/>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60" w:type="dxa"/>
            <w:vAlign w:val="bottom"/>
            <w:tcBorders>
              <w:top w:val="single" w:sz="8" w:color="auto"/>
            </w:tcBorders>
            <w:vMerge w:val="restart"/>
          </w:tcPr>
          <w:p>
            <w:pPr>
              <w:jc w:val="right"/>
              <w:ind w:right="290"/>
              <w:spacing w:after="0"/>
              <w:rPr>
                <w:sz w:val="20"/>
                <w:szCs w:val="20"/>
                <w:color w:val="auto"/>
              </w:rPr>
            </w:pPr>
            <w:r>
              <w:rPr>
                <w:rFonts w:ascii="Arial" w:cs="Arial" w:eastAsia="Arial" w:hAnsi="Arial"/>
                <w:sz w:val="14"/>
                <w:szCs w:val="14"/>
                <w:b w:val="1"/>
                <w:bCs w:val="1"/>
                <w:color w:val="auto"/>
              </w:rPr>
              <w:t>$</w:t>
            </w: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3"/>
            <w:vMerge w:val="restart"/>
          </w:tcPr>
          <w:p>
            <w:pPr>
              <w:jc w:val="center"/>
              <w:ind w:right="240"/>
              <w:spacing w:after="0"/>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5"/>
                <w:szCs w:val="5"/>
                <w:color w:val="auto"/>
              </w:rPr>
            </w:pPr>
          </w:p>
        </w:tc>
        <w:tc>
          <w:tcPr>
            <w:tcW w:w="140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vMerge w:val="restart"/>
          </w:tcPr>
          <w:p>
            <w:pPr>
              <w:ind w:left="24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220"/>
              <w:spacing w:after="0" w:line="144"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9"/>
              </w:rPr>
              <w:t>Total Equity</w:t>
            </w:r>
          </w:p>
        </w:tc>
        <w:tc>
          <w:tcPr>
            <w:tcW w:w="0" w:type="dxa"/>
            <w:vAlign w:val="bottom"/>
          </w:tcPr>
          <w:p>
            <w:pPr>
              <w:spacing w:after="0"/>
              <w:rPr>
                <w:sz w:val="1"/>
                <w:szCs w:val="1"/>
                <w:color w:val="auto"/>
              </w:rPr>
            </w:pPr>
          </w:p>
        </w:tc>
      </w:tr>
      <w:tr>
        <w:trPr>
          <w:trHeight w:val="189"/>
        </w:trPr>
        <w:tc>
          <w:tcPr>
            <w:tcW w:w="3720" w:type="dxa"/>
            <w:vAlign w:val="bottom"/>
          </w:tcPr>
          <w:p>
            <w:pPr>
              <w:ind w:left="20"/>
              <w:spacing w:after="0"/>
              <w:rPr>
                <w:sz w:val="20"/>
                <w:szCs w:val="20"/>
                <w:color w:val="auto"/>
              </w:rPr>
            </w:pPr>
            <w:r>
              <w:rPr>
                <w:rFonts w:ascii="Arial" w:cs="Arial" w:eastAsia="Arial" w:hAnsi="Arial"/>
                <w:sz w:val="12"/>
                <w:szCs w:val="12"/>
                <w:b w:val="1"/>
                <w:bCs w:val="1"/>
                <w:color w:val="auto"/>
              </w:rPr>
              <w:t>(In thousands, except share amounts)</w:t>
            </w:r>
          </w:p>
        </w:tc>
        <w:tc>
          <w:tcPr>
            <w:tcW w:w="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14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40"/>
              <w:spacing w:after="0"/>
              <w:rPr>
                <w:sz w:val="20"/>
                <w:szCs w:val="20"/>
                <w:color w:val="auto"/>
              </w:rPr>
            </w:pPr>
            <w:r>
              <w:rPr>
                <w:rFonts w:ascii="Arial" w:cs="Arial" w:eastAsia="Arial" w:hAnsi="Arial"/>
                <w:sz w:val="14"/>
                <w:szCs w:val="14"/>
                <w:b w:val="1"/>
                <w:bCs w:val="1"/>
                <w:color w:val="auto"/>
                <w:w w:val="88"/>
              </w:rPr>
              <w:t>Deficit</w:t>
            </w:r>
          </w:p>
        </w:tc>
        <w:tc>
          <w:tcPr>
            <w:tcW w:w="20" w:type="dxa"/>
            <w:vAlign w:val="bottom"/>
          </w:tcPr>
          <w:p>
            <w:pPr>
              <w:spacing w:after="0"/>
              <w:rPr>
                <w:sz w:val="16"/>
                <w:szCs w:val="16"/>
                <w:color w:val="auto"/>
              </w:rPr>
            </w:pPr>
          </w:p>
        </w:tc>
        <w:tc>
          <w:tcPr>
            <w:tcW w:w="1400" w:type="dxa"/>
            <w:vAlign w:val="bottom"/>
            <w:gridSpan w:val="4"/>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September 30, 2022</w:t>
            </w:r>
          </w:p>
        </w:tc>
        <w:tc>
          <w:tcPr>
            <w:tcW w:w="9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11,312,974</w:t>
            </w:r>
          </w:p>
        </w:tc>
        <w:tc>
          <w:tcPr>
            <w:tcW w:w="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113</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(6,147)</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824,786</w:t>
            </w:r>
          </w:p>
        </w:tc>
        <w:tc>
          <w:tcPr>
            <w:tcW w:w="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(602,188)</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(17,142)</w:t>
            </w:r>
          </w:p>
        </w:tc>
        <w:tc>
          <w:tcPr>
            <w:tcW w:w="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199,422</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6"/>
                <w:szCs w:val="16"/>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6,046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6,046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 net of tax</w:t>
            </w: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20" w:type="dxa"/>
            <w:vAlign w:val="bottom"/>
          </w:tcPr>
          <w:p>
            <w:pPr>
              <w:ind w:left="200"/>
              <w:spacing w:after="0"/>
              <w:rPr>
                <w:sz w:val="20"/>
                <w:szCs w:val="20"/>
                <w:color w:val="auto"/>
              </w:rPr>
            </w:pPr>
            <w:r>
              <w:rPr>
                <w:rFonts w:ascii="Arial" w:cs="Arial" w:eastAsia="Arial" w:hAnsi="Arial"/>
                <w:sz w:val="14"/>
                <w:szCs w:val="14"/>
                <w:color w:val="auto"/>
              </w:rPr>
              <w:t>Issuance of common stock under employee stock plans</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64,757</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386</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387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Shares withheld for taxes related to vesting of equity awards</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(665)</w:t>
            </w: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200"/>
              <w:spacing w:after="0"/>
              <w:rPr>
                <w:sz w:val="20"/>
                <w:szCs w:val="20"/>
                <w:color w:val="auto"/>
              </w:rPr>
            </w:pPr>
            <w:r>
              <w:rPr>
                <w:rFonts w:ascii="Arial" w:cs="Arial" w:eastAsia="Arial" w:hAnsi="Arial"/>
                <w:sz w:val="14"/>
                <w:szCs w:val="14"/>
                <w:color w:val="auto"/>
              </w:rPr>
              <w:t>Share-based compensation</w:t>
            </w:r>
          </w:p>
        </w:tc>
        <w:tc>
          <w:tcPr>
            <w:tcW w:w="40" w:type="dxa"/>
            <w:vAlign w:val="bottom"/>
          </w:tcPr>
          <w:p>
            <w:pPr>
              <w:spacing w:after="0"/>
              <w:rPr>
                <w:sz w:val="16"/>
                <w:szCs w:val="16"/>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5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ind w:right="10"/>
              <w:spacing w:after="0"/>
              <w:rPr>
                <w:sz w:val="20"/>
                <w:szCs w:val="20"/>
                <w:color w:val="auto"/>
              </w:rPr>
            </w:pPr>
            <w:r>
              <w:rPr>
                <w:rFonts w:ascii="Arial" w:cs="Arial" w:eastAsia="Arial" w:hAnsi="Arial"/>
                <w:sz w:val="14"/>
                <w:szCs w:val="14"/>
                <w:color w:val="auto"/>
              </w:rPr>
              <w:t>1,659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1,659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3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December 30, 2022</w:t>
            </w:r>
          </w:p>
        </w:tc>
        <w:tc>
          <w:tcPr>
            <w:tcW w:w="9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11,377,066</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114</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(6,147)</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4"/>
                <w:szCs w:val="14"/>
                <w:b w:val="1"/>
                <w:bCs w:val="1"/>
                <w:color w:val="auto"/>
              </w:rPr>
              <w:t>826,812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(596,142)</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(16,141)</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gridSpan w:val="2"/>
            <w:shd w:val="clear" w:color="auto" w:fill="CCEEFF"/>
          </w:tcPr>
          <w:p>
            <w:pPr>
              <w:jc w:val="right"/>
              <w:ind w:right="7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208,496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5"/>
        </w:trPr>
        <w:tc>
          <w:tcPr>
            <w:tcW w:w="3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140" w:type="dxa"/>
            <w:vAlign w:val="bottom"/>
            <w:gridSpan w:val="13"/>
          </w:tcPr>
          <w:p>
            <w:pPr>
              <w:ind w:left="480"/>
              <w:spacing w:after="0"/>
              <w:rPr>
                <w:sz w:val="20"/>
                <w:szCs w:val="20"/>
                <w:color w:val="auto"/>
              </w:rPr>
            </w:pPr>
            <w:r>
              <w:rPr>
                <w:rFonts w:ascii="Arial" w:cs="Arial" w:eastAsia="Arial" w:hAnsi="Arial"/>
                <w:sz w:val="14"/>
                <w:szCs w:val="14"/>
                <w:b w:val="1"/>
                <w:bCs w:val="1"/>
                <w:color w:val="auto"/>
                <w:w w:val="98"/>
              </w:rPr>
              <w:t>Three Months Ended December 31, 2021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20" w:type="dxa"/>
            <w:vAlign w:val="bottom"/>
          </w:tcPr>
          <w:p>
            <w:pPr>
              <w:spacing w:after="0"/>
              <w:rPr>
                <w:sz w:val="2"/>
                <w:szCs w:val="2"/>
                <w:color w:val="auto"/>
              </w:rPr>
            </w:pPr>
          </w:p>
        </w:tc>
        <w:tc>
          <w:tcPr>
            <w:tcW w:w="40" w:type="dxa"/>
            <w:vAlign w:val="bottom"/>
          </w:tcPr>
          <w:p>
            <w:pPr>
              <w:spacing w:after="0"/>
              <w:rPr>
                <w:sz w:val="2"/>
                <w:szCs w:val="2"/>
                <w:color w:val="auto"/>
              </w:rPr>
            </w:pPr>
          </w:p>
        </w:tc>
        <w:tc>
          <w:tcPr>
            <w:tcW w:w="1900" w:type="dxa"/>
            <w:vAlign w:val="bottom"/>
            <w:tcBorders>
              <w:bottom w:val="single" w:sz="8" w:color="auto"/>
            </w:tcBorders>
            <w:gridSpan w:val="8"/>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900" w:type="dxa"/>
            <w:vAlign w:val="bottom"/>
            <w:gridSpan w:val="8"/>
          </w:tcPr>
          <w:p>
            <w:pPr>
              <w:ind w:left="460"/>
              <w:spacing w:after="0"/>
              <w:rPr>
                <w:sz w:val="20"/>
                <w:szCs w:val="20"/>
                <w:color w:val="auto"/>
              </w:rPr>
            </w:pPr>
            <w:r>
              <w:rPr>
                <w:rFonts w:ascii="Arial" w:cs="Arial" w:eastAsia="Arial" w:hAnsi="Arial"/>
                <w:sz w:val="14"/>
                <w:szCs w:val="14"/>
                <w:b w:val="1"/>
                <w:bCs w:val="1"/>
                <w:color w:val="auto"/>
              </w:rPr>
              <w:t>Common Stock</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00" w:type="dxa"/>
            <w:vAlign w:val="bottom"/>
            <w:gridSpan w:val="3"/>
            <w:vMerge w:val="restart"/>
          </w:tcPr>
          <w:p>
            <w:pPr>
              <w:jc w:val="center"/>
              <w:ind w:right="180"/>
              <w:spacing w:after="0"/>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9"/>
        </w:trPr>
        <w:tc>
          <w:tcPr>
            <w:tcW w:w="3720" w:type="dxa"/>
            <w:vAlign w:val="bottom"/>
          </w:tcPr>
          <w:p>
            <w:pPr>
              <w:spacing w:after="0"/>
              <w:rPr>
                <w:sz w:val="5"/>
                <w:szCs w:val="5"/>
                <w:color w:val="auto"/>
              </w:rPr>
            </w:pPr>
          </w:p>
        </w:tc>
        <w:tc>
          <w:tcPr>
            <w:tcW w:w="40" w:type="dxa"/>
            <w:vAlign w:val="bottom"/>
          </w:tcPr>
          <w:p>
            <w:pPr>
              <w:spacing w:after="0"/>
              <w:rPr>
                <w:sz w:val="5"/>
                <w:szCs w:val="5"/>
                <w:color w:val="auto"/>
              </w:rPr>
            </w:pPr>
          </w:p>
        </w:tc>
        <w:tc>
          <w:tcPr>
            <w:tcW w:w="900" w:type="dxa"/>
            <w:vAlign w:val="bottom"/>
            <w:tcBorders>
              <w:top w:val="single" w:sz="8" w:color="auto"/>
            </w:tcBorders>
          </w:tcPr>
          <w:p>
            <w:pPr>
              <w:spacing w:after="0"/>
              <w:rPr>
                <w:sz w:val="5"/>
                <w:szCs w:val="5"/>
                <w:color w:val="auto"/>
              </w:rPr>
            </w:pPr>
          </w:p>
        </w:tc>
        <w:tc>
          <w:tcPr>
            <w:tcW w:w="40" w:type="dxa"/>
            <w:vAlign w:val="bottom"/>
            <w:tcBorders>
              <w:top w:val="single" w:sz="8" w:color="auto"/>
            </w:tcBorders>
          </w:tcPr>
          <w:p>
            <w:pPr>
              <w:spacing w:after="0"/>
              <w:rPr>
                <w:sz w:val="5"/>
                <w:szCs w:val="5"/>
                <w:color w:val="auto"/>
              </w:rPr>
            </w:pPr>
          </w:p>
        </w:tc>
        <w:tc>
          <w:tcPr>
            <w:tcW w:w="80" w:type="dxa"/>
            <w:vAlign w:val="bottom"/>
            <w:tcBorders>
              <w:top w:val="single" w:sz="8" w:color="auto"/>
            </w:tcBorders>
          </w:tcPr>
          <w:p>
            <w:pPr>
              <w:spacing w:after="0"/>
              <w:rPr>
                <w:sz w:val="5"/>
                <w:szCs w:val="5"/>
                <w:color w:val="auto"/>
              </w:rPr>
            </w:pPr>
          </w:p>
        </w:tc>
        <w:tc>
          <w:tcPr>
            <w:tcW w:w="20" w:type="dxa"/>
            <w:vAlign w:val="bottom"/>
            <w:tcBorders>
              <w:top w:val="single" w:sz="8" w:color="auto"/>
            </w:tcBorders>
          </w:tcPr>
          <w:p>
            <w:pPr>
              <w:spacing w:after="0"/>
              <w:rPr>
                <w:sz w:val="5"/>
                <w:szCs w:val="5"/>
                <w:color w:val="auto"/>
              </w:rPr>
            </w:pPr>
          </w:p>
        </w:tc>
        <w:tc>
          <w:tcPr>
            <w:tcW w:w="100" w:type="dxa"/>
            <w:vAlign w:val="bottom"/>
            <w:tcBorders>
              <w:top w:val="single" w:sz="8" w:color="auto"/>
            </w:tcBorders>
          </w:tcPr>
          <w:p>
            <w:pPr>
              <w:spacing w:after="0"/>
              <w:rPr>
                <w:sz w:val="5"/>
                <w:szCs w:val="5"/>
                <w:color w:val="auto"/>
              </w:rPr>
            </w:pPr>
          </w:p>
        </w:tc>
        <w:tc>
          <w:tcPr>
            <w:tcW w:w="660" w:type="dxa"/>
            <w:vAlign w:val="bottom"/>
            <w:tcBorders>
              <w:top w:val="single" w:sz="8" w:color="auto"/>
            </w:tcBorders>
            <w:vMerge w:val="restart"/>
          </w:tcPr>
          <w:p>
            <w:pPr>
              <w:jc w:val="right"/>
              <w:ind w:right="270"/>
              <w:spacing w:after="0"/>
              <w:rPr>
                <w:sz w:val="20"/>
                <w:szCs w:val="20"/>
                <w:color w:val="auto"/>
              </w:rPr>
            </w:pPr>
            <w:r>
              <w:rPr>
                <w:rFonts w:ascii="Arial" w:cs="Arial" w:eastAsia="Arial" w:hAnsi="Arial"/>
                <w:sz w:val="14"/>
                <w:szCs w:val="14"/>
                <w:b w:val="1"/>
                <w:bCs w:val="1"/>
                <w:color w:val="auto"/>
              </w:rPr>
              <w:t>$</w:t>
            </w:r>
          </w:p>
        </w:tc>
        <w:tc>
          <w:tcPr>
            <w:tcW w:w="20" w:type="dxa"/>
            <w:vAlign w:val="bottom"/>
            <w:tcBorders>
              <w:top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86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Treasury</w:t>
            </w: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00" w:type="dxa"/>
            <w:vAlign w:val="bottom"/>
            <w:gridSpan w:val="3"/>
            <w:vMerge w:val="restart"/>
          </w:tcPr>
          <w:p>
            <w:pPr>
              <w:jc w:val="right"/>
              <w:ind w:right="240"/>
              <w:spacing w:after="0"/>
              <w:rPr>
                <w:sz w:val="20"/>
                <w:szCs w:val="20"/>
                <w:color w:val="auto"/>
              </w:rPr>
            </w:pPr>
            <w:r>
              <w:rPr>
                <w:rFonts w:ascii="Arial" w:cs="Arial" w:eastAsia="Arial" w:hAnsi="Arial"/>
                <w:sz w:val="14"/>
                <w:szCs w:val="14"/>
                <w:b w:val="1"/>
                <w:bCs w:val="1"/>
                <w:color w:val="auto"/>
                <w:w w:val="95"/>
              </w:rPr>
              <w:t>Accumulated</w:t>
            </w:r>
          </w:p>
        </w:tc>
        <w:tc>
          <w:tcPr>
            <w:tcW w:w="20" w:type="dxa"/>
            <w:vAlign w:val="bottom"/>
          </w:tcPr>
          <w:p>
            <w:pPr>
              <w:spacing w:after="0"/>
              <w:rPr>
                <w:sz w:val="5"/>
                <w:szCs w:val="5"/>
                <w:color w:val="auto"/>
              </w:rPr>
            </w:pPr>
          </w:p>
        </w:tc>
        <w:tc>
          <w:tcPr>
            <w:tcW w:w="1400" w:type="dxa"/>
            <w:vAlign w:val="bottom"/>
            <w:gridSpan w:val="4"/>
            <w:vMerge w:val="restart"/>
          </w:tcPr>
          <w:p>
            <w:pPr>
              <w:ind w:left="80"/>
              <w:spacing w:after="0"/>
              <w:rPr>
                <w:sz w:val="20"/>
                <w:szCs w:val="20"/>
                <w:color w:val="auto"/>
              </w:rPr>
            </w:pPr>
            <w:r>
              <w:rPr>
                <w:rFonts w:ascii="Arial" w:cs="Arial" w:eastAsia="Arial" w:hAnsi="Arial"/>
                <w:sz w:val="14"/>
                <w:szCs w:val="14"/>
                <w:b w:val="1"/>
                <w:bCs w:val="1"/>
                <w:color w:val="auto"/>
              </w:rPr>
              <w:t>Accumulated Other</w:t>
            </w: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4"/>
        </w:trPr>
        <w:tc>
          <w:tcPr>
            <w:tcW w:w="3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gridSpan w:val="3"/>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00" w:type="dxa"/>
            <w:vAlign w:val="bottom"/>
            <w:gridSpan w:val="3"/>
          </w:tcPr>
          <w:p>
            <w:pPr>
              <w:jc w:val="center"/>
              <w:ind w:right="180"/>
              <w:spacing w:after="0" w:line="144"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0" w:type="dxa"/>
            <w:vAlign w:val="bottom"/>
            <w:gridSpan w:val="4"/>
            <w:vMerge w:val="continue"/>
          </w:tcPr>
          <w:p>
            <w:pPr>
              <w:spacing w:after="0"/>
              <w:rPr>
                <w:sz w:val="12"/>
                <w:szCs w:val="12"/>
                <w:color w:val="auto"/>
              </w:rPr>
            </w:pPr>
          </w:p>
        </w:tc>
        <w:tc>
          <w:tcPr>
            <w:tcW w:w="40" w:type="dxa"/>
            <w:vAlign w:val="bottom"/>
          </w:tcPr>
          <w:p>
            <w:pPr>
              <w:spacing w:after="0"/>
              <w:rPr>
                <w:sz w:val="12"/>
                <w:szCs w:val="12"/>
                <w:color w:val="auto"/>
              </w:rPr>
            </w:pPr>
          </w:p>
        </w:tc>
        <w:tc>
          <w:tcPr>
            <w:tcW w:w="84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7"/>
        </w:trPr>
        <w:tc>
          <w:tcPr>
            <w:tcW w:w="3720" w:type="dxa"/>
            <w:vAlign w:val="bottom"/>
          </w:tcPr>
          <w:p>
            <w:pPr>
              <w:ind w:left="20"/>
              <w:spacing w:after="0"/>
              <w:rPr>
                <w:sz w:val="20"/>
                <w:szCs w:val="20"/>
                <w:color w:val="auto"/>
              </w:rPr>
            </w:pPr>
            <w:r>
              <w:rPr>
                <w:rFonts w:ascii="Arial" w:cs="Arial" w:eastAsia="Arial" w:hAnsi="Arial"/>
                <w:sz w:val="12"/>
                <w:szCs w:val="12"/>
                <w:b w:val="1"/>
                <w:bCs w:val="1"/>
                <w:color w:val="auto"/>
              </w:rPr>
              <w:t>(In thousands, except share amounts)</w:t>
            </w:r>
          </w:p>
        </w:tc>
        <w:tc>
          <w:tcPr>
            <w:tcW w:w="40" w:type="dxa"/>
            <w:vAlign w:val="bottom"/>
          </w:tcPr>
          <w:p>
            <w:pPr>
              <w:spacing w:after="0"/>
              <w:rPr>
                <w:sz w:val="16"/>
                <w:szCs w:val="16"/>
                <w:color w:val="auto"/>
              </w:rPr>
            </w:pPr>
          </w:p>
        </w:tc>
        <w:tc>
          <w:tcPr>
            <w:tcW w:w="1020" w:type="dxa"/>
            <w:vAlign w:val="bottom"/>
            <w:gridSpan w:val="3"/>
            <w:vMerge w:val="continue"/>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ind w:left="40"/>
              <w:spacing w:after="0"/>
              <w:rPr>
                <w:sz w:val="20"/>
                <w:szCs w:val="20"/>
                <w:color w:val="auto"/>
              </w:rPr>
            </w:pPr>
            <w:r>
              <w:rPr>
                <w:rFonts w:ascii="Arial" w:cs="Arial" w:eastAsia="Arial" w:hAnsi="Arial"/>
                <w:sz w:val="14"/>
                <w:szCs w:val="14"/>
                <w:b w:val="1"/>
                <w:bCs w:val="1"/>
                <w:color w:val="auto"/>
              </w:rPr>
              <w:t>Amount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ind w:left="160"/>
              <w:spacing w:after="0"/>
              <w:rPr>
                <w:sz w:val="20"/>
                <w:szCs w:val="20"/>
                <w:color w:val="auto"/>
              </w:rPr>
            </w:pPr>
            <w:r>
              <w:rPr>
                <w:rFonts w:ascii="Arial" w:cs="Arial" w:eastAsia="Arial" w:hAnsi="Arial"/>
                <w:sz w:val="14"/>
                <w:szCs w:val="14"/>
                <w:b w:val="1"/>
                <w:bCs w:val="1"/>
                <w:color w:val="auto"/>
              </w:rPr>
              <w:t>Stock</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ind w:left="260"/>
              <w:spacing w:after="0"/>
              <w:rPr>
                <w:sz w:val="20"/>
                <w:szCs w:val="20"/>
                <w:color w:val="auto"/>
              </w:rPr>
            </w:pPr>
            <w:r>
              <w:rPr>
                <w:rFonts w:ascii="Arial" w:cs="Arial" w:eastAsia="Arial" w:hAnsi="Arial"/>
                <w:sz w:val="14"/>
                <w:szCs w:val="14"/>
                <w:b w:val="1"/>
                <w:bCs w:val="1"/>
                <w:color w:val="auto"/>
              </w:rPr>
              <w:t>Deficit</w:t>
            </w:r>
          </w:p>
        </w:tc>
        <w:tc>
          <w:tcPr>
            <w:tcW w:w="20" w:type="dxa"/>
            <w:vAlign w:val="bottom"/>
          </w:tcPr>
          <w:p>
            <w:pPr>
              <w:spacing w:after="0"/>
              <w:rPr>
                <w:sz w:val="16"/>
                <w:szCs w:val="16"/>
                <w:color w:val="auto"/>
              </w:rPr>
            </w:pPr>
          </w:p>
        </w:tc>
        <w:tc>
          <w:tcPr>
            <w:tcW w:w="1400" w:type="dxa"/>
            <w:vAlign w:val="bottom"/>
            <w:gridSpan w:val="4"/>
          </w:tcPr>
          <w:p>
            <w:pPr>
              <w:ind w:left="60"/>
              <w:spacing w:after="0"/>
              <w:rPr>
                <w:sz w:val="20"/>
                <w:szCs w:val="20"/>
                <w:color w:val="auto"/>
              </w:rPr>
            </w:pPr>
            <w:r>
              <w:rPr>
                <w:rFonts w:ascii="Arial" w:cs="Arial" w:eastAsia="Arial" w:hAnsi="Arial"/>
                <w:sz w:val="14"/>
                <w:szCs w:val="14"/>
                <w:b w:val="1"/>
                <w:bCs w:val="1"/>
                <w:color w:val="auto"/>
                <w:w w:val="93"/>
              </w:rPr>
              <w:t>Comprehensive Loss</w:t>
            </w:r>
          </w:p>
        </w:tc>
        <w:tc>
          <w:tcPr>
            <w:tcW w:w="40" w:type="dxa"/>
            <w:vAlign w:val="bottom"/>
          </w:tcPr>
          <w:p>
            <w:pPr>
              <w:spacing w:after="0"/>
              <w:rPr>
                <w:sz w:val="16"/>
                <w:szCs w:val="16"/>
                <w:color w:val="auto"/>
              </w:rPr>
            </w:pPr>
          </w:p>
        </w:tc>
        <w:tc>
          <w:tcPr>
            <w:tcW w:w="8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October 1, 2021</w:t>
            </w:r>
          </w:p>
        </w:tc>
        <w:tc>
          <w:tcPr>
            <w:tcW w:w="4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11,187,003</w:t>
            </w:r>
          </w:p>
        </w:tc>
        <w:tc>
          <w:tcPr>
            <w:tcW w:w="4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w:t>
            </w:r>
          </w:p>
        </w:tc>
        <w:tc>
          <w:tcPr>
            <w:tcW w:w="20" w:type="dxa"/>
            <w:vAlign w:val="bottom"/>
            <w:tcBorders>
              <w:top w:val="single" w:sz="8" w:color="auto"/>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tcBorders>
            <w:gridSpan w:val="2"/>
            <w:shd w:val="clear" w:color="auto" w:fill="CCEEFF"/>
          </w:tcPr>
          <w:p>
            <w:pPr>
              <w:ind w:left="340"/>
              <w:spacing w:after="0"/>
              <w:rPr>
                <w:sz w:val="20"/>
                <w:szCs w:val="20"/>
                <w:color w:val="auto"/>
              </w:rPr>
            </w:pPr>
            <w:r>
              <w:rPr>
                <w:rFonts w:ascii="Arial" w:cs="Arial" w:eastAsia="Arial" w:hAnsi="Arial"/>
                <w:sz w:val="14"/>
                <w:szCs w:val="14"/>
                <w:b w:val="1"/>
                <w:bCs w:val="1"/>
                <w:color w:val="auto"/>
                <w:w w:val="94"/>
              </w:rPr>
              <w:t>(1,500)</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819,711</w:t>
            </w:r>
          </w:p>
        </w:tc>
        <w:tc>
          <w:tcPr>
            <w:tcW w:w="20" w:type="dxa"/>
            <w:vAlign w:val="bottom"/>
            <w:tcBorders>
              <w:top w:val="single" w:sz="8" w:color="auto"/>
            </w:tcBorders>
            <w:shd w:val="clear" w:color="auto" w:fill="CCEEFF"/>
          </w:tcPr>
          <w:p>
            <w:pPr>
              <w:spacing w:after="0"/>
              <w:rPr>
                <w:sz w:val="16"/>
                <w:szCs w:val="16"/>
                <w:color w:val="auto"/>
              </w:rPr>
            </w:pPr>
          </w:p>
        </w:tc>
        <w:tc>
          <w:tcPr>
            <w:tcW w:w="6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(615,920)</w:t>
            </w:r>
          </w:p>
        </w:tc>
        <w:tc>
          <w:tcPr>
            <w:tcW w:w="8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4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4"/>
                <w:szCs w:val="14"/>
                <w:b w:val="1"/>
                <w:bCs w:val="1"/>
                <w:color w:val="auto"/>
              </w:rPr>
              <w:t>(14,491)</w:t>
            </w:r>
          </w:p>
        </w:tc>
        <w:tc>
          <w:tcPr>
            <w:tcW w:w="80" w:type="dxa"/>
            <w:vAlign w:val="bottom"/>
            <w:tcBorders>
              <w:top w:val="single" w:sz="8" w:color="CCEEFF"/>
            </w:tcBorders>
            <w:shd w:val="clear" w:color="auto" w:fill="CCEEFF"/>
          </w:tcPr>
          <w:p>
            <w:pPr>
              <w:spacing w:after="0"/>
              <w:rPr>
                <w:sz w:val="16"/>
                <w:szCs w:val="16"/>
                <w:color w:val="auto"/>
              </w:rPr>
            </w:pPr>
          </w:p>
        </w:tc>
        <w:tc>
          <w:tcPr>
            <w:tcW w:w="4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187,912</w:t>
            </w:r>
          </w:p>
        </w:tc>
        <w:tc>
          <w:tcPr>
            <w:tcW w:w="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372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40" w:type="dxa"/>
            <w:vAlign w:val="bottom"/>
          </w:tcPr>
          <w:p>
            <w:pPr>
              <w:spacing w:after="0"/>
              <w:rPr>
                <w:sz w:val="16"/>
                <w:szCs w:val="16"/>
                <w:color w:val="auto"/>
              </w:rPr>
            </w:pPr>
          </w:p>
        </w:tc>
        <w:tc>
          <w:tcPr>
            <w:tcW w:w="102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5,916</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5,916</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Other comprehensive loss, net of tax</w:t>
            </w: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(108)</w:t>
            </w:r>
          </w:p>
        </w:tc>
        <w:tc>
          <w:tcPr>
            <w:tcW w:w="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(108)</w:t>
            </w:r>
          </w:p>
        </w:tc>
        <w:tc>
          <w:tcPr>
            <w:tcW w:w="0" w:type="dxa"/>
            <w:vAlign w:val="bottom"/>
          </w:tcPr>
          <w:p>
            <w:pPr>
              <w:spacing w:after="0"/>
              <w:rPr>
                <w:sz w:val="1"/>
                <w:szCs w:val="1"/>
                <w:color w:val="auto"/>
              </w:rPr>
            </w:pPr>
          </w:p>
        </w:tc>
      </w:tr>
      <w:tr>
        <w:trPr>
          <w:trHeight w:val="187"/>
        </w:trPr>
        <w:tc>
          <w:tcPr>
            <w:tcW w:w="3720" w:type="dxa"/>
            <w:vAlign w:val="bottom"/>
          </w:tcPr>
          <w:p>
            <w:pPr>
              <w:ind w:left="200"/>
              <w:spacing w:after="0"/>
              <w:rPr>
                <w:sz w:val="20"/>
                <w:szCs w:val="20"/>
                <w:color w:val="auto"/>
              </w:rPr>
            </w:pPr>
            <w:r>
              <w:rPr>
                <w:rFonts w:ascii="Arial" w:cs="Arial" w:eastAsia="Arial" w:hAnsi="Arial"/>
                <w:sz w:val="14"/>
                <w:szCs w:val="14"/>
                <w:color w:val="auto"/>
              </w:rPr>
              <w:t>Issuance of common stock under employee stock plans</w:t>
            </w:r>
          </w:p>
        </w:tc>
        <w:tc>
          <w:tcPr>
            <w:tcW w:w="940" w:type="dxa"/>
            <w:vAlign w:val="bottom"/>
            <w:gridSpan w:val="2"/>
          </w:tcPr>
          <w:p>
            <w:pPr>
              <w:jc w:val="right"/>
              <w:spacing w:after="0"/>
              <w:rPr>
                <w:sz w:val="20"/>
                <w:szCs w:val="20"/>
                <w:color w:val="auto"/>
              </w:rPr>
            </w:pPr>
            <w:r>
              <w:rPr>
                <w:rFonts w:ascii="Arial" w:cs="Arial" w:eastAsia="Arial" w:hAnsi="Arial"/>
                <w:sz w:val="14"/>
                <w:szCs w:val="14"/>
                <w:color w:val="auto"/>
              </w:rPr>
              <w:t>69,434</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4"/>
                <w:szCs w:val="14"/>
                <w:color w:val="auto"/>
              </w:rPr>
              <w:t>319</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320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3"/>
              </w:rPr>
              <w:t>Shares withheld for taxes related to vesting of equity awards</w:t>
            </w: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7"/>
        </w:trPr>
        <w:tc>
          <w:tcPr>
            <w:tcW w:w="3720" w:type="dxa"/>
            <w:vAlign w:val="bottom"/>
          </w:tcPr>
          <w:p>
            <w:pPr>
              <w:ind w:left="200"/>
              <w:spacing w:after="0"/>
              <w:rPr>
                <w:sz w:val="20"/>
                <w:szCs w:val="20"/>
                <w:color w:val="auto"/>
              </w:rPr>
            </w:pPr>
            <w:r>
              <w:rPr>
                <w:rFonts w:ascii="Arial" w:cs="Arial" w:eastAsia="Arial" w:hAnsi="Arial"/>
                <w:sz w:val="14"/>
                <w:szCs w:val="14"/>
                <w:color w:val="auto"/>
              </w:rPr>
              <w:t>Stock repurchase</w:t>
            </w:r>
          </w:p>
        </w:tc>
        <w:tc>
          <w:tcPr>
            <w:tcW w:w="980" w:type="dxa"/>
            <w:vAlign w:val="bottom"/>
            <w:gridSpan w:val="3"/>
          </w:tcPr>
          <w:p>
            <w:pPr>
              <w:ind w:left="480"/>
              <w:spacing w:after="0"/>
              <w:rPr>
                <w:sz w:val="20"/>
                <w:szCs w:val="20"/>
                <w:color w:val="auto"/>
              </w:rPr>
            </w:pPr>
            <w:r>
              <w:rPr>
                <w:rFonts w:ascii="Arial" w:cs="Arial" w:eastAsia="Arial" w:hAnsi="Arial"/>
                <w:sz w:val="14"/>
                <w:szCs w:val="14"/>
                <w:color w:val="auto"/>
                <w:w w:val="91"/>
              </w:rPr>
              <w:t>(60,895)</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340"/>
              <w:spacing w:after="0"/>
              <w:rPr>
                <w:sz w:val="20"/>
                <w:szCs w:val="20"/>
                <w:color w:val="auto"/>
              </w:rPr>
            </w:pPr>
            <w:r>
              <w:rPr>
                <w:rFonts w:ascii="Arial" w:cs="Arial" w:eastAsia="Arial" w:hAnsi="Arial"/>
                <w:sz w:val="14"/>
                <w:szCs w:val="14"/>
                <w:color w:val="auto"/>
                <w:w w:val="94"/>
              </w:rPr>
              <w:t>(1,908)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00" w:type="dxa"/>
            <w:vAlign w:val="bottom"/>
            <w:gridSpan w:val="3"/>
          </w:tcPr>
          <w:p>
            <w:pPr>
              <w:jc w:val="right"/>
              <w:ind w:right="12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6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4"/>
                <w:szCs w:val="14"/>
                <w:color w:val="auto"/>
              </w:rPr>
              <w:t>(1,909)</w:t>
            </w:r>
          </w:p>
        </w:tc>
        <w:tc>
          <w:tcPr>
            <w:tcW w:w="0" w:type="dxa"/>
            <w:vAlign w:val="bottom"/>
          </w:tcPr>
          <w:p>
            <w:pPr>
              <w:spacing w:after="0"/>
              <w:rPr>
                <w:sz w:val="1"/>
                <w:szCs w:val="1"/>
                <w:color w:val="auto"/>
              </w:rPr>
            </w:pPr>
          </w:p>
        </w:tc>
      </w:tr>
      <w:tr>
        <w:trPr>
          <w:trHeight w:val="205"/>
        </w:trPr>
        <w:tc>
          <w:tcPr>
            <w:tcW w:w="372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w:t>
            </w:r>
          </w:p>
        </w:tc>
        <w:tc>
          <w:tcPr>
            <w:tcW w:w="40" w:type="dxa"/>
            <w:vAlign w:val="bottom"/>
            <w:shd w:val="clear" w:color="auto" w:fill="CCEEFF"/>
          </w:tcPr>
          <w:p>
            <w:pPr>
              <w:spacing w:after="0"/>
              <w:rPr>
                <w:sz w:val="17"/>
                <w:szCs w:val="17"/>
                <w:color w:val="auto"/>
              </w:rPr>
            </w:pPr>
          </w:p>
        </w:tc>
        <w:tc>
          <w:tcPr>
            <w:tcW w:w="102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6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761</w:t>
            </w:r>
          </w:p>
        </w:tc>
        <w:tc>
          <w:tcPr>
            <w:tcW w:w="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372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40" w:type="dxa"/>
            <w:vAlign w:val="bottom"/>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11,195,542</w:t>
            </w:r>
          </w:p>
        </w:tc>
        <w:tc>
          <w:tcPr>
            <w:tcW w:w="4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80" w:type="dxa"/>
            <w:vAlign w:val="bottom"/>
            <w:tcBorders>
              <w:top w:val="single" w:sz="8" w:color="auto"/>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w w:val="94"/>
              </w:rPr>
              <w:t>(3,408)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820,791</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10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(610,004)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88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4"/>
                <w:szCs w:val="14"/>
                <w:b w:val="1"/>
                <w:bCs w:val="1"/>
                <w:color w:val="auto"/>
              </w:rPr>
              <w:t>(14,599)</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4"/>
                <w:szCs w:val="14"/>
                <w:b w:val="1"/>
                <w:bCs w:val="1"/>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192,892</w:t>
            </w: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82"/>
        </w:trPr>
        <w:tc>
          <w:tcPr>
            <w:tcW w:w="37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40" w:type="dxa"/>
            <w:vAlign w:val="bottom"/>
            <w:gridSpan w:val="10"/>
          </w:tcPr>
          <w:p>
            <w:pPr>
              <w:ind w:left="540"/>
              <w:spacing w:after="0"/>
              <w:rPr>
                <w:sz w:val="20"/>
                <w:szCs w:val="20"/>
                <w:color w:val="auto"/>
              </w:rPr>
            </w:pPr>
            <w:r>
              <w:rPr>
                <w:rFonts w:ascii="Arial" w:cs="Arial" w:eastAsia="Arial" w:hAnsi="Arial"/>
                <w:sz w:val="14"/>
                <w:szCs w:val="14"/>
                <w:b w:val="1"/>
                <w:bCs w:val="1"/>
                <w:color w:val="auto"/>
              </w:rPr>
              <w:t>Six Months Ended December 30, 2022</w:t>
            </w: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3760" w:type="dxa"/>
            <w:vAlign w:val="bottom"/>
          </w:tcPr>
          <w:p>
            <w:pPr>
              <w:spacing w:after="0"/>
              <w:rPr>
                <w:sz w:val="14"/>
                <w:szCs w:val="14"/>
                <w:color w:val="auto"/>
              </w:rPr>
            </w:pPr>
          </w:p>
        </w:tc>
        <w:tc>
          <w:tcPr>
            <w:tcW w:w="192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gridSpan w:val="2"/>
            <w:vMerge w:val="restart"/>
          </w:tcPr>
          <w:p>
            <w:pPr>
              <w:jc w:val="center"/>
              <w:ind w:right="200"/>
              <w:spacing w:after="0" w:line="144" w:lineRule="exact"/>
              <w:rPr>
                <w:sz w:val="20"/>
                <w:szCs w:val="20"/>
                <w:color w:val="auto"/>
              </w:rPr>
            </w:pPr>
            <w:r>
              <w:rPr>
                <w:rFonts w:ascii="Arial" w:cs="Arial" w:eastAsia="Arial" w:hAnsi="Arial"/>
                <w:sz w:val="14"/>
                <w:szCs w:val="14"/>
                <w:b w:val="1"/>
                <w:bCs w:val="1"/>
                <w:color w:val="auto"/>
                <w:w w:val="93"/>
              </w:rPr>
              <w:t>Additional</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376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vMerge w:val="restart"/>
          </w:tcPr>
          <w:p>
            <w:pPr>
              <w:jc w:val="center"/>
              <w:ind w:right="50"/>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00" w:type="dxa"/>
            <w:vAlign w:val="bottom"/>
            <w:gridSpan w:val="3"/>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 w:type="dxa"/>
            <w:vAlign w:val="bottom"/>
          </w:tcPr>
          <w:p>
            <w:pPr>
              <w:spacing w:after="0"/>
              <w:rPr>
                <w:sz w:val="8"/>
                <w:szCs w:val="8"/>
                <w:color w:val="auto"/>
              </w:rPr>
            </w:pPr>
          </w:p>
        </w:tc>
        <w:tc>
          <w:tcPr>
            <w:tcW w:w="1420" w:type="dxa"/>
            <w:vAlign w:val="bottom"/>
            <w:gridSpan w:val="4"/>
            <w:vMerge w:val="restart"/>
          </w:tcPr>
          <w:p>
            <w:pPr>
              <w:ind w:left="60"/>
              <w:spacing w:after="0"/>
              <w:rPr>
                <w:sz w:val="20"/>
                <w:szCs w:val="20"/>
                <w:color w:val="auto"/>
              </w:rPr>
            </w:pPr>
            <w:r>
              <w:rPr>
                <w:rFonts w:ascii="Arial" w:cs="Arial" w:eastAsia="Arial" w:hAnsi="Arial"/>
                <w:sz w:val="14"/>
                <w:szCs w:val="14"/>
                <w:b w:val="1"/>
                <w:bCs w:val="1"/>
                <w:color w:val="auto"/>
              </w:rPr>
              <w:t>Accumulated Other</w:t>
            </w:r>
          </w:p>
        </w:tc>
        <w:tc>
          <w:tcPr>
            <w:tcW w:w="200" w:type="dxa"/>
            <w:vAlign w:val="bottom"/>
          </w:tcPr>
          <w:p>
            <w:pPr>
              <w:spacing w:after="0"/>
              <w:rPr>
                <w:sz w:val="8"/>
                <w:szCs w:val="8"/>
                <w:color w:val="auto"/>
              </w:rPr>
            </w:pPr>
          </w:p>
        </w:tc>
        <w:tc>
          <w:tcPr>
            <w:tcW w:w="6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0"/>
        </w:trPr>
        <w:tc>
          <w:tcPr>
            <w:tcW w:w="3760" w:type="dxa"/>
            <w:vAlign w:val="bottom"/>
          </w:tcPr>
          <w:p>
            <w:pPr>
              <w:spacing w:after="0"/>
              <w:rPr>
                <w:sz w:val="12"/>
                <w:szCs w:val="12"/>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0"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91"/>
        </w:trPr>
        <w:tc>
          <w:tcPr>
            <w:tcW w:w="3760" w:type="dxa"/>
            <w:vAlign w:val="bottom"/>
          </w:tcPr>
          <w:p>
            <w:pPr>
              <w:ind w:left="20"/>
              <w:spacing w:after="0"/>
              <w:rPr>
                <w:sz w:val="20"/>
                <w:szCs w:val="20"/>
                <w:color w:val="auto"/>
              </w:rPr>
            </w:pPr>
            <w:r>
              <w:rPr>
                <w:rFonts w:ascii="Arial" w:cs="Arial" w:eastAsia="Arial" w:hAnsi="Arial"/>
                <w:sz w:val="12"/>
                <w:szCs w:val="12"/>
                <w:b w:val="1"/>
                <w:bCs w:val="1"/>
                <w:color w:val="auto"/>
              </w:rPr>
              <w:t>(In thousands, except share amounts)</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93"/>
              </w:rPr>
              <w:t>Deficit</w:t>
            </w:r>
          </w:p>
        </w:tc>
        <w:tc>
          <w:tcPr>
            <w:tcW w:w="20" w:type="dxa"/>
            <w:vAlign w:val="bottom"/>
          </w:tcPr>
          <w:p>
            <w:pPr>
              <w:spacing w:after="0"/>
              <w:rPr>
                <w:sz w:val="16"/>
                <w:szCs w:val="16"/>
                <w:color w:val="auto"/>
              </w:rPr>
            </w:pPr>
          </w:p>
        </w:tc>
        <w:tc>
          <w:tcPr>
            <w:tcW w:w="1420" w:type="dxa"/>
            <w:vAlign w:val="bottom"/>
            <w:gridSpan w:val="4"/>
          </w:tcPr>
          <w:p>
            <w:pPr>
              <w:jc w:val="right"/>
              <w:ind w:right="160"/>
              <w:spacing w:after="0"/>
              <w:rPr>
                <w:sz w:val="20"/>
                <w:szCs w:val="20"/>
                <w:color w:val="auto"/>
              </w:rPr>
            </w:pPr>
            <w:r>
              <w:rPr>
                <w:rFonts w:ascii="Arial" w:cs="Arial" w:eastAsia="Arial" w:hAnsi="Arial"/>
                <w:sz w:val="14"/>
                <w:szCs w:val="14"/>
                <w:b w:val="1"/>
                <w:bCs w:val="1"/>
                <w:color w:val="auto"/>
                <w:w w:val="87"/>
              </w:rPr>
              <w:t>Comprehensive Loss</w:t>
            </w: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1, 2022</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11,160,160</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(6,147)</w:t>
            </w:r>
          </w:p>
        </w:tc>
        <w:tc>
          <w:tcPr>
            <w:tcW w:w="10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823,259</w:t>
            </w:r>
          </w:p>
        </w:tc>
        <w:tc>
          <w:tcPr>
            <w:tcW w:w="8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(599,442)</w:t>
            </w:r>
          </w:p>
        </w:tc>
        <w:tc>
          <w:tcPr>
            <w:tcW w:w="2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gridSpan w:val="2"/>
            <w:shd w:val="clear" w:color="auto" w:fill="CCEEFF"/>
          </w:tcPr>
          <w:p>
            <w:pPr>
              <w:jc w:val="right"/>
              <w:ind w:right="29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(16,029)</w:t>
            </w: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201,753</w:t>
            </w:r>
          </w:p>
        </w:tc>
        <w:tc>
          <w:tcPr>
            <w:tcW w:w="0" w:type="dxa"/>
            <w:vAlign w:val="bottom"/>
          </w:tcPr>
          <w:p>
            <w:pPr>
              <w:spacing w:after="0"/>
              <w:rPr>
                <w:sz w:val="1"/>
                <w:szCs w:val="1"/>
                <w:color w:val="auto"/>
              </w:rPr>
            </w:pPr>
          </w:p>
        </w:tc>
      </w:tr>
      <w:tr>
        <w:trPr>
          <w:trHeight w:val="187"/>
        </w:trPr>
        <w:tc>
          <w:tcPr>
            <w:tcW w:w="37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3,300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3,300</w:t>
            </w: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income, net of tax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187"/>
        </w:trPr>
        <w:tc>
          <w:tcPr>
            <w:tcW w:w="3760" w:type="dxa"/>
            <w:vAlign w:val="bottom"/>
          </w:tcPr>
          <w:p>
            <w:pPr>
              <w:ind w:left="200"/>
              <w:spacing w:after="0"/>
              <w:rPr>
                <w:sz w:val="20"/>
                <w:szCs w:val="20"/>
                <w:color w:val="auto"/>
              </w:rPr>
            </w:pPr>
            <w:r>
              <w:rPr>
                <w:rFonts w:ascii="Arial" w:cs="Arial" w:eastAsia="Arial" w:hAnsi="Arial"/>
                <w:sz w:val="14"/>
                <w:szCs w:val="14"/>
                <w:color w:val="auto"/>
              </w:rPr>
              <w:t>Issuance of common stock under employee stock plans</w:t>
            </w:r>
          </w:p>
        </w:tc>
        <w:tc>
          <w:tcPr>
            <w:tcW w:w="940" w:type="dxa"/>
            <w:vAlign w:val="bottom"/>
          </w:tcPr>
          <w:p>
            <w:pPr>
              <w:jc w:val="right"/>
              <w:spacing w:after="0"/>
              <w:rPr>
                <w:sz w:val="20"/>
                <w:szCs w:val="20"/>
                <w:color w:val="auto"/>
              </w:rPr>
            </w:pPr>
            <w:r>
              <w:rPr>
                <w:rFonts w:ascii="Arial" w:cs="Arial" w:eastAsia="Arial" w:hAnsi="Arial"/>
                <w:sz w:val="14"/>
                <w:szCs w:val="14"/>
                <w:color w:val="auto"/>
              </w:rPr>
              <w:t>239,074</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744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747</w:t>
            </w: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4"/>
              </w:rPr>
              <w:t>Shares withheld for taxes related to vesting of equity awards</w:t>
            </w:r>
          </w:p>
        </w:tc>
        <w:tc>
          <w:tcPr>
            <w:tcW w:w="940" w:type="dxa"/>
            <w:vAlign w:val="bottom"/>
            <w:shd w:val="clear" w:color="auto" w:fill="CCEEFF"/>
          </w:tcPr>
          <w:p>
            <w:pPr>
              <w:ind w:left="440"/>
              <w:spacing w:after="0"/>
              <w:rPr>
                <w:sz w:val="20"/>
                <w:szCs w:val="20"/>
                <w:color w:val="auto"/>
              </w:rPr>
            </w:pPr>
            <w:r>
              <w:rPr>
                <w:rFonts w:ascii="Arial" w:cs="Arial" w:eastAsia="Arial" w:hAnsi="Arial"/>
                <w:sz w:val="14"/>
                <w:szCs w:val="14"/>
                <w:color w:val="auto"/>
                <w:w w:val="91"/>
              </w:rPr>
              <w:t>(22,168)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(689)</w:t>
            </w:r>
          </w:p>
        </w:tc>
        <w:tc>
          <w:tcPr>
            <w:tcW w:w="0" w:type="dxa"/>
            <w:vAlign w:val="bottom"/>
          </w:tcPr>
          <w:p>
            <w:pPr>
              <w:spacing w:after="0"/>
              <w:rPr>
                <w:sz w:val="1"/>
                <w:szCs w:val="1"/>
                <w:color w:val="auto"/>
              </w:rPr>
            </w:pPr>
          </w:p>
        </w:tc>
      </w:tr>
      <w:tr>
        <w:trPr>
          <w:trHeight w:val="187"/>
        </w:trPr>
        <w:tc>
          <w:tcPr>
            <w:tcW w:w="3760" w:type="dxa"/>
            <w:vAlign w:val="bottom"/>
          </w:tcPr>
          <w:p>
            <w:pPr>
              <w:ind w:left="200"/>
              <w:spacing w:after="0"/>
              <w:rPr>
                <w:sz w:val="20"/>
                <w:szCs w:val="20"/>
                <w:color w:val="auto"/>
              </w:rPr>
            </w:pPr>
            <w:r>
              <w:rPr>
                <w:rFonts w:ascii="Arial" w:cs="Arial" w:eastAsia="Arial" w:hAnsi="Arial"/>
                <w:sz w:val="14"/>
                <w:szCs w:val="14"/>
                <w:color w:val="auto"/>
              </w:rPr>
              <w:t>Stock repurchase</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3"/>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8"/>
        </w:trPr>
        <w:tc>
          <w:tcPr>
            <w:tcW w:w="3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3,497</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3,497</w:t>
            </w:r>
          </w:p>
        </w:tc>
        <w:tc>
          <w:tcPr>
            <w:tcW w:w="0" w:type="dxa"/>
            <w:vAlign w:val="bottom"/>
          </w:tcPr>
          <w:p>
            <w:pPr>
              <w:spacing w:after="0"/>
              <w:rPr>
                <w:sz w:val="1"/>
                <w:szCs w:val="1"/>
                <w:color w:val="auto"/>
              </w:rPr>
            </w:pPr>
          </w:p>
        </w:tc>
      </w:tr>
      <w:tr>
        <w:trPr>
          <w:trHeight w:val="196"/>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30, 2022</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11,377,066</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114</w:t>
            </w:r>
          </w:p>
        </w:tc>
        <w:tc>
          <w:tcPr>
            <w:tcW w:w="100" w:type="dxa"/>
            <w:vAlign w:val="bottom"/>
          </w:tcPr>
          <w:p>
            <w:pPr>
              <w:spacing w:after="0"/>
              <w:rPr>
                <w:sz w:val="17"/>
                <w:szCs w:val="17"/>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(6,147)</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826,812</w:t>
            </w:r>
          </w:p>
        </w:tc>
        <w:tc>
          <w:tcPr>
            <w:tcW w:w="80" w:type="dxa"/>
            <w:vAlign w:val="bottom"/>
          </w:tcPr>
          <w:p>
            <w:pPr>
              <w:spacing w:after="0"/>
              <w:rPr>
                <w:sz w:val="17"/>
                <w:szCs w:val="17"/>
                <w:color w:val="auto"/>
              </w:rPr>
            </w:pPr>
          </w:p>
        </w:tc>
        <w:tc>
          <w:tcPr>
            <w:tcW w:w="14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(596,142)</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Borders>
              <w:top w:val="single" w:sz="8" w:color="auto"/>
              <w:bottom w:val="single" w:sz="8" w:color="auto"/>
            </w:tcBorders>
            <w:gridSpan w:val="2"/>
          </w:tcPr>
          <w:p>
            <w:pPr>
              <w:jc w:val="right"/>
              <w:ind w:right="290"/>
              <w:spacing w:after="0"/>
              <w:rPr>
                <w:sz w:val="20"/>
                <w:szCs w:val="20"/>
                <w:color w:val="auto"/>
              </w:rPr>
            </w:pPr>
            <w:r>
              <w:rPr>
                <w:rFonts w:ascii="Arial" w:cs="Arial" w:eastAsia="Arial" w:hAnsi="Arial"/>
                <w:sz w:val="14"/>
                <w:szCs w:val="14"/>
                <w:b w:val="1"/>
                <w:bCs w:val="1"/>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(16,141)</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208,496</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53"/>
        </w:trPr>
        <w:tc>
          <w:tcPr>
            <w:tcW w:w="37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40" w:type="dxa"/>
            <w:vAlign w:val="bottom"/>
            <w:gridSpan w:val="10"/>
          </w:tcPr>
          <w:p>
            <w:pPr>
              <w:ind w:left="540"/>
              <w:spacing w:after="0"/>
              <w:rPr>
                <w:sz w:val="20"/>
                <w:szCs w:val="20"/>
                <w:color w:val="auto"/>
              </w:rPr>
            </w:pPr>
            <w:r>
              <w:rPr>
                <w:rFonts w:ascii="Arial" w:cs="Arial" w:eastAsia="Arial" w:hAnsi="Arial"/>
                <w:sz w:val="14"/>
                <w:szCs w:val="14"/>
                <w:b w:val="1"/>
                <w:bCs w:val="1"/>
                <w:color w:val="auto"/>
              </w:rPr>
              <w:t>Six Months Ended December 31, 2021</w:t>
            </w: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3760" w:type="dxa"/>
            <w:vAlign w:val="bottom"/>
          </w:tcPr>
          <w:p>
            <w:pPr>
              <w:spacing w:after="0"/>
              <w:rPr>
                <w:sz w:val="2"/>
                <w:szCs w:val="2"/>
                <w:color w:val="auto"/>
              </w:rPr>
            </w:pPr>
          </w:p>
        </w:tc>
        <w:tc>
          <w:tcPr>
            <w:tcW w:w="1920" w:type="dxa"/>
            <w:vAlign w:val="bottom"/>
            <w:tcBorders>
              <w:bottom w:val="single" w:sz="8" w:color="auto"/>
            </w:tcBorders>
            <w:gridSpan w:val="5"/>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760" w:type="dxa"/>
            <w:vAlign w:val="bottom"/>
          </w:tcPr>
          <w:p>
            <w:pPr>
              <w:spacing w:after="0"/>
              <w:rPr>
                <w:sz w:val="15"/>
                <w:szCs w:val="15"/>
                <w:color w:val="auto"/>
              </w:rPr>
            </w:pPr>
          </w:p>
        </w:tc>
        <w:tc>
          <w:tcPr>
            <w:tcW w:w="1920" w:type="dxa"/>
            <w:vAlign w:val="bottom"/>
            <w:gridSpan w:val="5"/>
          </w:tcPr>
          <w:p>
            <w:pPr>
              <w:ind w:left="460"/>
              <w:spacing w:after="0"/>
              <w:rPr>
                <w:sz w:val="20"/>
                <w:szCs w:val="20"/>
                <w:color w:val="auto"/>
              </w:rPr>
            </w:pPr>
            <w:r>
              <w:rPr>
                <w:rFonts w:ascii="Arial" w:cs="Arial" w:eastAsia="Arial" w:hAnsi="Arial"/>
                <w:sz w:val="14"/>
                <w:szCs w:val="14"/>
                <w:b w:val="1"/>
                <w:bCs w:val="1"/>
                <w:color w:val="auto"/>
              </w:rPr>
              <w:t>Common Stock</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3760" w:type="dxa"/>
            <w:vAlign w:val="bottom"/>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vMerge w:val="restart"/>
          </w:tcPr>
          <w:p>
            <w:pPr>
              <w:jc w:val="center"/>
              <w:ind w:right="50"/>
              <w:spacing w:after="0"/>
              <w:rPr>
                <w:sz w:val="20"/>
                <w:szCs w:val="20"/>
                <w:color w:val="auto"/>
              </w:rPr>
            </w:pPr>
            <w:r>
              <w:rPr>
                <w:rFonts w:ascii="Arial" w:cs="Arial" w:eastAsia="Arial" w:hAnsi="Arial"/>
                <w:sz w:val="14"/>
                <w:szCs w:val="14"/>
                <w:b w:val="1"/>
                <w:bCs w:val="1"/>
                <w:color w:val="auto"/>
                <w:w w:val="76"/>
              </w:rPr>
              <w:t>$</w:t>
            </w:r>
          </w:p>
        </w:tc>
        <w:tc>
          <w:tcPr>
            <w:tcW w:w="1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6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1"/>
              </w:rPr>
              <w:t>Treasury</w:t>
            </w:r>
          </w:p>
        </w:tc>
        <w:tc>
          <w:tcPr>
            <w:tcW w:w="120" w:type="dxa"/>
            <w:vAlign w:val="bottom"/>
          </w:tcPr>
          <w:p>
            <w:pPr>
              <w:spacing w:after="0"/>
              <w:rPr>
                <w:sz w:val="10"/>
                <w:szCs w:val="10"/>
                <w:color w:val="auto"/>
              </w:rPr>
            </w:pPr>
          </w:p>
        </w:tc>
        <w:tc>
          <w:tcPr>
            <w:tcW w:w="920" w:type="dxa"/>
            <w:vAlign w:val="bottom"/>
            <w:gridSpan w:val="2"/>
          </w:tcPr>
          <w:p>
            <w:pPr>
              <w:jc w:val="center"/>
              <w:ind w:right="200"/>
              <w:spacing w:after="0" w:line="118" w:lineRule="exact"/>
              <w:rPr>
                <w:sz w:val="20"/>
                <w:szCs w:val="20"/>
                <w:color w:val="auto"/>
              </w:rPr>
            </w:pPr>
            <w:r>
              <w:rPr>
                <w:rFonts w:ascii="Arial" w:cs="Arial" w:eastAsia="Arial" w:hAnsi="Arial"/>
                <w:sz w:val="13"/>
                <w:szCs w:val="13"/>
                <w:b w:val="1"/>
                <w:bCs w:val="1"/>
                <w:color w:val="auto"/>
              </w:rPr>
              <w:t>Additional</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00" w:type="dxa"/>
            <w:vAlign w:val="bottom"/>
            <w:gridSpan w:val="3"/>
            <w:vMerge w:val="restart"/>
          </w:tcPr>
          <w:p>
            <w:pPr>
              <w:jc w:val="center"/>
              <w:ind w:right="200"/>
              <w:spacing w:after="0"/>
              <w:rPr>
                <w:sz w:val="20"/>
                <w:szCs w:val="20"/>
                <w:color w:val="auto"/>
              </w:rPr>
            </w:pPr>
            <w:r>
              <w:rPr>
                <w:rFonts w:ascii="Arial" w:cs="Arial" w:eastAsia="Arial" w:hAnsi="Arial"/>
                <w:sz w:val="14"/>
                <w:szCs w:val="14"/>
                <w:b w:val="1"/>
                <w:bCs w:val="1"/>
                <w:color w:val="auto"/>
                <w:w w:val="88"/>
              </w:rPr>
              <w:t>Accumulated</w:t>
            </w:r>
          </w:p>
        </w:tc>
        <w:tc>
          <w:tcPr>
            <w:tcW w:w="20" w:type="dxa"/>
            <w:vAlign w:val="bottom"/>
          </w:tcPr>
          <w:p>
            <w:pPr>
              <w:spacing w:after="0"/>
              <w:rPr>
                <w:sz w:val="10"/>
                <w:szCs w:val="10"/>
                <w:color w:val="auto"/>
              </w:rPr>
            </w:pPr>
          </w:p>
        </w:tc>
        <w:tc>
          <w:tcPr>
            <w:tcW w:w="1420" w:type="dxa"/>
            <w:vAlign w:val="bottom"/>
            <w:gridSpan w:val="4"/>
            <w:vMerge w:val="restart"/>
          </w:tcPr>
          <w:p>
            <w:pPr>
              <w:jc w:val="right"/>
              <w:ind w:right="160"/>
              <w:spacing w:after="0"/>
              <w:rPr>
                <w:sz w:val="20"/>
                <w:szCs w:val="20"/>
                <w:color w:val="auto"/>
              </w:rPr>
            </w:pPr>
            <w:r>
              <w:rPr>
                <w:rFonts w:ascii="Arial" w:cs="Arial" w:eastAsia="Arial" w:hAnsi="Arial"/>
                <w:sz w:val="14"/>
                <w:szCs w:val="14"/>
                <w:b w:val="1"/>
                <w:bCs w:val="1"/>
                <w:color w:val="auto"/>
                <w:w w:val="95"/>
              </w:rPr>
              <w:t>Accumulated Other</w:t>
            </w:r>
          </w:p>
        </w:tc>
        <w:tc>
          <w:tcPr>
            <w:tcW w:w="2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4"/>
        </w:trPr>
        <w:tc>
          <w:tcPr>
            <w:tcW w:w="3760" w:type="dxa"/>
            <w:vAlign w:val="bottom"/>
          </w:tcPr>
          <w:p>
            <w:pPr>
              <w:spacing w:after="0"/>
              <w:rPr>
                <w:sz w:val="12"/>
                <w:szCs w:val="12"/>
                <w:color w:val="auto"/>
              </w:rPr>
            </w:pPr>
          </w:p>
        </w:tc>
        <w:tc>
          <w:tcPr>
            <w:tcW w:w="104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2"/>
                <w:szCs w:val="12"/>
                <w:color w:val="auto"/>
              </w:rPr>
            </w:pPr>
          </w:p>
        </w:tc>
        <w:tc>
          <w:tcPr>
            <w:tcW w:w="6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gridSpan w:val="2"/>
            <w:vMerge w:val="continue"/>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gridSpan w:val="2"/>
          </w:tcPr>
          <w:p>
            <w:pPr>
              <w:jc w:val="center"/>
              <w:ind w:right="200"/>
              <w:spacing w:after="0" w:line="144" w:lineRule="exact"/>
              <w:rPr>
                <w:sz w:val="20"/>
                <w:szCs w:val="20"/>
                <w:color w:val="auto"/>
              </w:rPr>
            </w:pPr>
            <w:r>
              <w:rPr>
                <w:rFonts w:ascii="Arial" w:cs="Arial" w:eastAsia="Arial" w:hAnsi="Arial"/>
                <w:sz w:val="14"/>
                <w:szCs w:val="14"/>
                <w:b w:val="1"/>
                <w:bCs w:val="1"/>
                <w:color w:val="auto"/>
                <w:w w:val="94"/>
              </w:rPr>
              <w:t>Paid-in</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8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4"/>
              </w:rPr>
              <w:t>Total Equity</w:t>
            </w:r>
          </w:p>
        </w:tc>
        <w:tc>
          <w:tcPr>
            <w:tcW w:w="0" w:type="dxa"/>
            <w:vAlign w:val="bottom"/>
          </w:tcPr>
          <w:p>
            <w:pPr>
              <w:spacing w:after="0"/>
              <w:rPr>
                <w:sz w:val="1"/>
                <w:szCs w:val="1"/>
                <w:color w:val="auto"/>
              </w:rPr>
            </w:pPr>
          </w:p>
        </w:tc>
      </w:tr>
      <w:tr>
        <w:trPr>
          <w:trHeight w:val="189"/>
        </w:trPr>
        <w:tc>
          <w:tcPr>
            <w:tcW w:w="3760" w:type="dxa"/>
            <w:vAlign w:val="bottom"/>
          </w:tcPr>
          <w:p>
            <w:pPr>
              <w:ind w:left="20"/>
              <w:spacing w:after="0"/>
              <w:rPr>
                <w:sz w:val="20"/>
                <w:szCs w:val="20"/>
                <w:color w:val="auto"/>
              </w:rPr>
            </w:pPr>
            <w:r>
              <w:rPr>
                <w:rFonts w:ascii="Arial" w:cs="Arial" w:eastAsia="Arial" w:hAnsi="Arial"/>
                <w:sz w:val="12"/>
                <w:szCs w:val="12"/>
                <w:b w:val="1"/>
                <w:bCs w:val="1"/>
                <w:color w:val="auto"/>
              </w:rPr>
              <w:t>(In thousands, except share amounts)</w:t>
            </w:r>
          </w:p>
        </w:tc>
        <w:tc>
          <w:tcPr>
            <w:tcW w:w="10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Stock</w:t>
            </w:r>
          </w:p>
        </w:tc>
        <w:tc>
          <w:tcPr>
            <w:tcW w:w="120" w:type="dxa"/>
            <w:vAlign w:val="bottom"/>
          </w:tcPr>
          <w:p>
            <w:pPr>
              <w:spacing w:after="0"/>
              <w:rPr>
                <w:sz w:val="16"/>
                <w:szCs w:val="16"/>
                <w:color w:val="auto"/>
              </w:rPr>
            </w:pPr>
          </w:p>
        </w:tc>
        <w:tc>
          <w:tcPr>
            <w:tcW w:w="9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8"/>
              </w:rPr>
              <w:t>Deficit</w:t>
            </w:r>
          </w:p>
        </w:tc>
        <w:tc>
          <w:tcPr>
            <w:tcW w:w="20" w:type="dxa"/>
            <w:vAlign w:val="bottom"/>
          </w:tcPr>
          <w:p>
            <w:pPr>
              <w:spacing w:after="0"/>
              <w:rPr>
                <w:sz w:val="16"/>
                <w:szCs w:val="16"/>
                <w:color w:val="auto"/>
              </w:rPr>
            </w:pPr>
          </w:p>
        </w:tc>
        <w:tc>
          <w:tcPr>
            <w:tcW w:w="1420" w:type="dxa"/>
            <w:vAlign w:val="bottom"/>
            <w:gridSpan w:val="4"/>
          </w:tcPr>
          <w:p>
            <w:pPr>
              <w:jc w:val="right"/>
              <w:ind w:right="140"/>
              <w:spacing w:after="0"/>
              <w:rPr>
                <w:sz w:val="20"/>
                <w:szCs w:val="20"/>
                <w:color w:val="auto"/>
              </w:rPr>
            </w:pPr>
            <w:r>
              <w:rPr>
                <w:rFonts w:ascii="Arial" w:cs="Arial" w:eastAsia="Arial" w:hAnsi="Arial"/>
                <w:sz w:val="14"/>
                <w:szCs w:val="14"/>
                <w:b w:val="1"/>
                <w:bCs w:val="1"/>
                <w:color w:val="auto"/>
                <w:w w:val="88"/>
              </w:rPr>
              <w:t>Comprehensive Loss</w:t>
            </w:r>
          </w:p>
        </w:tc>
        <w:tc>
          <w:tcPr>
            <w:tcW w:w="84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7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as of July 2, 2021</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11,153,445</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(787)</w:t>
            </w: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818,939</w:t>
            </w: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(620,602)</w:t>
            </w:r>
          </w:p>
        </w:tc>
        <w:tc>
          <w:tcPr>
            <w:tcW w:w="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jc w:val="right"/>
              <w:ind w:right="29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(14,327)</w:t>
            </w:r>
          </w:p>
        </w:tc>
        <w:tc>
          <w:tcPr>
            <w:tcW w:w="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183,335</w:t>
            </w:r>
          </w:p>
        </w:tc>
        <w:tc>
          <w:tcPr>
            <w:tcW w:w="0" w:type="dxa"/>
            <w:vAlign w:val="bottom"/>
          </w:tcPr>
          <w:p>
            <w:pPr>
              <w:spacing w:after="0"/>
              <w:rPr>
                <w:sz w:val="1"/>
                <w:szCs w:val="1"/>
                <w:color w:val="auto"/>
              </w:rPr>
            </w:pPr>
          </w:p>
        </w:tc>
      </w:tr>
      <w:tr>
        <w:trPr>
          <w:trHeight w:val="187"/>
        </w:trPr>
        <w:tc>
          <w:tcPr>
            <w:tcW w:w="3760" w:type="dxa"/>
            <w:vAlign w:val="bottom"/>
          </w:tcPr>
          <w:p>
            <w:pPr>
              <w:ind w:left="180"/>
              <w:spacing w:after="0"/>
              <w:rPr>
                <w:sz w:val="20"/>
                <w:szCs w:val="20"/>
                <w:color w:val="auto"/>
              </w:rPr>
            </w:pPr>
            <w:r>
              <w:rPr>
                <w:rFonts w:ascii="Arial" w:cs="Arial" w:eastAsia="Arial" w:hAnsi="Arial"/>
                <w:sz w:val="14"/>
                <w:szCs w:val="14"/>
                <w:color w:val="auto"/>
              </w:rPr>
              <w:t>Net income</w:t>
            </w:r>
          </w:p>
        </w:tc>
        <w:tc>
          <w:tcPr>
            <w:tcW w:w="10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10,598</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10,598</w:t>
            </w: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Other comprehensive loss, net of tax</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(272)</w:t>
            </w:r>
          </w:p>
        </w:tc>
        <w:tc>
          <w:tcPr>
            <w:tcW w:w="0" w:type="dxa"/>
            <w:vAlign w:val="bottom"/>
          </w:tcPr>
          <w:p>
            <w:pPr>
              <w:spacing w:after="0"/>
              <w:rPr>
                <w:sz w:val="1"/>
                <w:szCs w:val="1"/>
                <w:color w:val="auto"/>
              </w:rPr>
            </w:pPr>
          </w:p>
        </w:tc>
      </w:tr>
      <w:tr>
        <w:trPr>
          <w:trHeight w:val="187"/>
        </w:trPr>
        <w:tc>
          <w:tcPr>
            <w:tcW w:w="3760" w:type="dxa"/>
            <w:vAlign w:val="bottom"/>
          </w:tcPr>
          <w:p>
            <w:pPr>
              <w:ind w:left="200"/>
              <w:spacing w:after="0"/>
              <w:rPr>
                <w:sz w:val="20"/>
                <w:szCs w:val="20"/>
                <w:color w:val="auto"/>
              </w:rPr>
            </w:pPr>
            <w:r>
              <w:rPr>
                <w:rFonts w:ascii="Arial" w:cs="Arial" w:eastAsia="Arial" w:hAnsi="Arial"/>
                <w:sz w:val="14"/>
                <w:szCs w:val="14"/>
                <w:color w:val="auto"/>
              </w:rPr>
              <w:t>Issuance of common stock under employee stock plans</w:t>
            </w:r>
          </w:p>
        </w:tc>
        <w:tc>
          <w:tcPr>
            <w:tcW w:w="940" w:type="dxa"/>
            <w:vAlign w:val="bottom"/>
          </w:tcPr>
          <w:p>
            <w:pPr>
              <w:jc w:val="right"/>
              <w:spacing w:after="0"/>
              <w:rPr>
                <w:sz w:val="20"/>
                <w:szCs w:val="20"/>
                <w:color w:val="auto"/>
              </w:rPr>
            </w:pPr>
            <w:r>
              <w:rPr>
                <w:rFonts w:ascii="Arial" w:cs="Arial" w:eastAsia="Arial" w:hAnsi="Arial"/>
                <w:sz w:val="14"/>
                <w:szCs w:val="14"/>
                <w:color w:val="auto"/>
              </w:rPr>
              <w:t>135,669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ind w:left="56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586</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0"/>
              <w:spacing w:after="0"/>
              <w:rPr>
                <w:sz w:val="20"/>
                <w:szCs w:val="20"/>
                <w:color w:val="auto"/>
              </w:rPr>
            </w:pPr>
            <w:r>
              <w:rPr>
                <w:rFonts w:ascii="Arial" w:cs="Arial" w:eastAsia="Arial" w:hAnsi="Arial"/>
                <w:sz w:val="14"/>
                <w:szCs w:val="14"/>
                <w:color w:val="auto"/>
                <w:w w:val="94"/>
              </w:rPr>
              <w:t>Shares withheld for taxes related to vesting of equity awards</w:t>
            </w:r>
          </w:p>
        </w:tc>
        <w:tc>
          <w:tcPr>
            <w:tcW w:w="940" w:type="dxa"/>
            <w:vAlign w:val="bottom"/>
            <w:shd w:val="clear" w:color="auto" w:fill="CCEEFF"/>
          </w:tcPr>
          <w:p>
            <w:pPr>
              <w:ind w:left="440"/>
              <w:spacing w:after="0"/>
              <w:rPr>
                <w:sz w:val="20"/>
                <w:szCs w:val="20"/>
                <w:color w:val="auto"/>
              </w:rPr>
            </w:pPr>
            <w:r>
              <w:rPr>
                <w:rFonts w:ascii="Arial" w:cs="Arial" w:eastAsia="Arial" w:hAnsi="Arial"/>
                <w:sz w:val="14"/>
                <w:szCs w:val="14"/>
                <w:color w:val="auto"/>
                <w:w w:val="91"/>
              </w:rPr>
              <w:t>(10,134)</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(358)</w:t>
            </w:r>
          </w:p>
        </w:tc>
        <w:tc>
          <w:tcPr>
            <w:tcW w:w="0" w:type="dxa"/>
            <w:vAlign w:val="bottom"/>
          </w:tcPr>
          <w:p>
            <w:pPr>
              <w:spacing w:after="0"/>
              <w:rPr>
                <w:sz w:val="1"/>
                <w:szCs w:val="1"/>
                <w:color w:val="auto"/>
              </w:rPr>
            </w:pPr>
          </w:p>
        </w:tc>
      </w:tr>
      <w:tr>
        <w:trPr>
          <w:trHeight w:val="187"/>
        </w:trPr>
        <w:tc>
          <w:tcPr>
            <w:tcW w:w="3760" w:type="dxa"/>
            <w:vAlign w:val="bottom"/>
          </w:tcPr>
          <w:p>
            <w:pPr>
              <w:ind w:left="200"/>
              <w:spacing w:after="0"/>
              <w:rPr>
                <w:sz w:val="20"/>
                <w:szCs w:val="20"/>
                <w:color w:val="auto"/>
              </w:rPr>
            </w:pPr>
            <w:r>
              <w:rPr>
                <w:rFonts w:ascii="Arial" w:cs="Arial" w:eastAsia="Arial" w:hAnsi="Arial"/>
                <w:sz w:val="14"/>
                <w:szCs w:val="14"/>
                <w:color w:val="auto"/>
              </w:rPr>
              <w:t>Stock repurchase</w:t>
            </w:r>
          </w:p>
        </w:tc>
        <w:tc>
          <w:tcPr>
            <w:tcW w:w="940" w:type="dxa"/>
            <w:vAlign w:val="bottom"/>
          </w:tcPr>
          <w:p>
            <w:pPr>
              <w:ind w:left="440"/>
              <w:spacing w:after="0"/>
              <w:rPr>
                <w:sz w:val="20"/>
                <w:szCs w:val="20"/>
                <w:color w:val="auto"/>
              </w:rPr>
            </w:pPr>
            <w:r>
              <w:rPr>
                <w:rFonts w:ascii="Arial" w:cs="Arial" w:eastAsia="Arial" w:hAnsi="Arial"/>
                <w:sz w:val="14"/>
                <w:szCs w:val="14"/>
                <w:color w:val="auto"/>
                <w:w w:val="91"/>
              </w:rPr>
              <w:t>(83,438)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(2,621)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gridSpan w:val="3"/>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gridSpan w:val="3"/>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(2,622)</w:t>
            </w:r>
          </w:p>
        </w:tc>
        <w:tc>
          <w:tcPr>
            <w:tcW w:w="0" w:type="dxa"/>
            <w:vAlign w:val="bottom"/>
          </w:tcPr>
          <w:p>
            <w:pPr>
              <w:spacing w:after="0"/>
              <w:rPr>
                <w:sz w:val="1"/>
                <w:szCs w:val="1"/>
                <w:color w:val="auto"/>
              </w:rPr>
            </w:pPr>
          </w:p>
        </w:tc>
      </w:tr>
      <w:tr>
        <w:trPr>
          <w:trHeight w:val="205"/>
        </w:trPr>
        <w:tc>
          <w:tcPr>
            <w:tcW w:w="3760" w:type="dxa"/>
            <w:vAlign w:val="bottom"/>
            <w:shd w:val="clear" w:color="auto" w:fill="CCEEFF"/>
          </w:tcPr>
          <w:p>
            <w:pPr>
              <w:ind w:left="200"/>
              <w:spacing w:after="0"/>
              <w:rPr>
                <w:sz w:val="20"/>
                <w:szCs w:val="20"/>
                <w:color w:val="auto"/>
              </w:rPr>
            </w:pPr>
            <w:r>
              <w:rPr>
                <w:rFonts w:ascii="Arial" w:cs="Arial" w:eastAsia="Arial" w:hAnsi="Arial"/>
                <w:sz w:val="14"/>
                <w:szCs w:val="14"/>
                <w:color w:val="auto"/>
              </w:rPr>
              <w:t>Share-based compensation</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7"/>
                <w:szCs w:val="17"/>
                <w:color w:val="auto"/>
              </w:rPr>
            </w:pPr>
          </w:p>
        </w:tc>
        <w:tc>
          <w:tcPr>
            <w:tcW w:w="860" w:type="dxa"/>
            <w:vAlign w:val="bottom"/>
            <w:gridSpan w:val="2"/>
            <w:shd w:val="clear" w:color="auto" w:fill="CCEEFF"/>
          </w:tcPr>
          <w:p>
            <w:pPr>
              <w:ind w:left="56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w:t>
            </w:r>
          </w:p>
        </w:tc>
        <w:tc>
          <w:tcPr>
            <w:tcW w:w="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980" w:type="dxa"/>
            <w:vAlign w:val="bottom"/>
            <w:gridSpan w:val="3"/>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1,624</w:t>
            </w:r>
          </w:p>
        </w:tc>
        <w:tc>
          <w:tcPr>
            <w:tcW w:w="0" w:type="dxa"/>
            <w:vAlign w:val="bottom"/>
          </w:tcPr>
          <w:p>
            <w:pPr>
              <w:spacing w:after="0"/>
              <w:rPr>
                <w:sz w:val="1"/>
                <w:szCs w:val="1"/>
                <w:color w:val="auto"/>
              </w:rPr>
            </w:pPr>
          </w:p>
        </w:tc>
      </w:tr>
      <w:tr>
        <w:trPr>
          <w:trHeight w:val="189"/>
        </w:trPr>
        <w:tc>
          <w:tcPr>
            <w:tcW w:w="3760" w:type="dxa"/>
            <w:vAlign w:val="bottom"/>
          </w:tcPr>
          <w:p>
            <w:pPr>
              <w:ind w:left="20"/>
              <w:spacing w:after="0"/>
              <w:rPr>
                <w:sz w:val="20"/>
                <w:szCs w:val="20"/>
                <w:color w:val="auto"/>
              </w:rPr>
            </w:pPr>
            <w:r>
              <w:rPr>
                <w:rFonts w:ascii="Arial" w:cs="Arial" w:eastAsia="Arial" w:hAnsi="Arial"/>
                <w:sz w:val="14"/>
                <w:szCs w:val="14"/>
                <w:b w:val="1"/>
                <w:bCs w:val="1"/>
                <w:color w:val="auto"/>
              </w:rPr>
              <w:t>Balance as of December 31, 2021</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11,195,542</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112</w:t>
            </w:r>
          </w:p>
        </w:tc>
        <w:tc>
          <w:tcPr>
            <w:tcW w:w="100" w:type="dxa"/>
            <w:vAlign w:val="bottom"/>
          </w:tcPr>
          <w:p>
            <w:pPr>
              <w:spacing w:after="0"/>
              <w:rPr>
                <w:sz w:val="16"/>
                <w:szCs w:val="16"/>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(3,408)</w:t>
            </w:r>
          </w:p>
        </w:tc>
        <w:tc>
          <w:tcPr>
            <w:tcW w:w="10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820,791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(610,004)</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4"/>
                <w:szCs w:val="14"/>
                <w:b w:val="1"/>
                <w:bCs w:val="1"/>
                <w:color w:val="auto"/>
                <w:w w:val="76"/>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(14,599)</w:t>
            </w:r>
          </w:p>
        </w:tc>
        <w:tc>
          <w:tcPr>
            <w:tcW w:w="20" w:type="dxa"/>
            <w:vAlign w:val="bottom"/>
            <w:tcBorders>
              <w:top w:val="single" w:sz="8" w:color="auto"/>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4"/>
                <w:szCs w:val="14"/>
                <w:b w:val="1"/>
                <w:bCs w:val="1"/>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192,892</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32" w:right="339" w:bottom="1440" w:gutter="0" w:footer="0" w:header="0"/>
        </w:sectPr>
      </w:pPr>
    </w:p>
    <w:bookmarkStart w:id="11" w:name="page12"/>
    <w:bookmarkEnd w:id="11"/>
    <w:p>
      <w:pPr>
        <w:ind w:left="4600"/>
        <w:spacing w:after="0"/>
        <w:rPr>
          <w:sz w:val="20"/>
          <w:szCs w:val="20"/>
          <w:color w:val="auto"/>
        </w:rPr>
      </w:pPr>
      <w:r>
        <w:rPr>
          <w:rFonts w:ascii="Arial" w:cs="Arial" w:eastAsia="Arial" w:hAnsi="Arial"/>
          <w:sz w:val="17"/>
          <w:szCs w:val="17"/>
          <w:b w:val="1"/>
          <w:bCs w:val="1"/>
          <w:color w:val="auto"/>
        </w:rPr>
        <w:t>AVIAT NETWORKS, INC.</w:t>
      </w:r>
    </w:p>
    <w:p>
      <w:pPr>
        <w:spacing w:after="0" w:line="105" w:lineRule="exact"/>
        <w:rPr>
          <w:sz w:val="20"/>
          <w:szCs w:val="20"/>
          <w:color w:val="auto"/>
        </w:rPr>
      </w:pPr>
    </w:p>
    <w:p>
      <w:pPr>
        <w:ind w:left="2780"/>
        <w:spacing w:after="0"/>
        <w:rPr>
          <w:sz w:val="20"/>
          <w:szCs w:val="20"/>
          <w:color w:val="auto"/>
        </w:rPr>
      </w:pPr>
      <w:r>
        <w:rPr>
          <w:rFonts w:ascii="Arial" w:cs="Arial" w:eastAsia="Arial" w:hAnsi="Arial"/>
          <w:sz w:val="17"/>
          <w:szCs w:val="17"/>
          <w:b w:val="1"/>
          <w:bCs w:val="1"/>
          <w:color w:val="auto"/>
        </w:rPr>
        <w:t>NOTES TO CONDENSED CONSOLIDATED FINANCIAL STATEMENTS</w:t>
      </w:r>
    </w:p>
    <w:p>
      <w:pPr>
        <w:spacing w:after="0" w:line="3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(Unaudited)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 The Company and Basis of Presentation</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Aviat Networks, Inc. (the “Company,” “we,” “us,” and “our”) designs, manufactures, and sells a range of wireless networking solutions and services to mobile and fixed telephone service providers, private network operators, government agencies, transportation and utility companies, public safety agencies, and broadcast system operators across the globe. Our products include broadband wireless access base stations and customer premises equipment for fixed and mobile, point-to-point digital microwave radio systems for access, backhaul, trunking, license-exempt applications, supporting new network deployments, network expansion, and capacity upgrades.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Basis of Presentation</w:t>
      </w:r>
    </w:p>
    <w:p>
      <w:pPr>
        <w:spacing w:after="0" w:line="170"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generally accepted accounting principles in the United States (“U.S. GAAP”) and with the rules and regulations of the Securities and Exchange Commission (“SEC”) for interim financial information, and we have made estimates, assumptions and judgments affecting the amounts reported in our unaudited condensed consolidated financial statements and the accompanying notes, as discussed in greater detail below. Accordingly, the statements do not include all information and footnotes required by U.S. GAAP for annual consolidated financial statements. In the opinion of our management, such interim financial statements reflect all adjustments (consisting of normal recurring adjustments) considered necessary for a fair presentation of financial position, results of operations and cash flows for such periods. The results for the three and six months ended December 30, 2022 are not necessarily indicative of the results that may be expected for the full fiscal year or future operating periods. The information included in this Quarterly Report on Form 10-Q should be read in conjunction with the consolidated financial statements and footnotes thereto included in our Annual Report on Form 10-K for the fiscal year ended July 1, 2022.</w:t>
      </w:r>
    </w:p>
    <w:p>
      <w:pPr>
        <w:spacing w:after="0" w:line="121" w:lineRule="exact"/>
        <w:rPr>
          <w:sz w:val="20"/>
          <w:szCs w:val="20"/>
          <w:color w:val="auto"/>
        </w:rPr>
      </w:pPr>
    </w:p>
    <w:p>
      <w:pPr>
        <w:ind w:left="480"/>
        <w:spacing w:after="0"/>
        <w:rPr>
          <w:sz w:val="20"/>
          <w:szCs w:val="20"/>
          <w:color w:val="auto"/>
        </w:rPr>
      </w:pPr>
      <w:r>
        <w:rPr>
          <w:rFonts w:ascii="Arial" w:cs="Arial" w:eastAsia="Arial" w:hAnsi="Arial"/>
          <w:sz w:val="15"/>
          <w:szCs w:val="15"/>
          <w:color w:val="auto"/>
        </w:rPr>
        <w:t>The unaudited condensed consolidated financial statements include the accounts of the Company and its wholly-owned and majority-owned subsidiaries.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All intercompany transactions and accounts have been eliminated.</w:t>
      </w:r>
    </w:p>
    <w:p>
      <w:pPr>
        <w:spacing w:after="0" w:line="158"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operate on a 52-week or 53-week year ending on the Friday closest to June 30. The three months ended December 30, 2022 and the three months ended December 31, 2021 both consisted of 13 weeks. Fiscal year 2023 will be comprised of 52 weeks and will end on June 30, 2023. Fiscal year 2022 was comprised of 52 weeks and ended on July 1, 2022.</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The preparation of unaudited condensed consolidated financial statements in accordance with U.S. GAAP requires us to make estimates, assumptions and judgments affecting the amounts reported and related disclosures. Estimates are based upon historical factors, current circumstances and the experience and judgment of our management. We evaluate our estimates and assumptions on an ongoing basis and may employ outside experts to assist us in making these evaluations. Changes in such estimates, based on more accurate information, or different assumptions or conditions, may affect amounts reported in future periods. Such estimates affect significant items, including revenue recognition, business combinations, provision for uncollectible receivables, inventory valuation, valuation allowances for deferred tax assets, uncertainties in income taxes, contingencies and recoverability of long-lived assets. The actual results that we experience may differ materially from our estimates.</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Summary of Significant Accounting Policies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There have been no material changes in our significant accounting policies as of December 30, 2022 and for the six months ended December 30, 2022, as compared to the significant accounting policies described in our Annual Report on Form 10-K for the fiscal year ended July 1, 2022.</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12" w:name="page13"/>
    <w:bookmarkEnd w:id="12"/>
    <w:p>
      <w:pPr>
        <w:spacing w:after="0"/>
        <w:rPr>
          <w:sz w:val="20"/>
          <w:szCs w:val="20"/>
          <w:color w:val="auto"/>
        </w:rPr>
      </w:pPr>
      <w:r>
        <w:rPr>
          <w:rFonts w:ascii="Arial" w:cs="Arial" w:eastAsia="Arial" w:hAnsi="Arial"/>
          <w:sz w:val="17"/>
          <w:szCs w:val="17"/>
          <w:b w:val="1"/>
          <w:bCs w:val="1"/>
          <w:i w:val="1"/>
          <w:iCs w:val="1"/>
          <w:color w:val="auto"/>
        </w:rPr>
        <w:t>Accounting Standards Adopted</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 xml:space="preserve">In June 2016, the Financial Accounting Standards Board (“FASB”) issued Accounting Standard Update (“ASU”) 2016-13, </w:t>
      </w:r>
      <w:r>
        <w:rPr>
          <w:rFonts w:ascii="Arial" w:cs="Arial" w:eastAsia="Arial" w:hAnsi="Arial"/>
          <w:sz w:val="17"/>
          <w:szCs w:val="17"/>
          <w:i w:val="1"/>
          <w:iCs w:val="1"/>
          <w:color w:val="auto"/>
        </w:rPr>
        <w:t>Financial Instruments-Credit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Losses </w:t>
      </w:r>
      <w:r>
        <w:rPr>
          <w:rFonts w:ascii="Arial" w:cs="Arial" w:eastAsia="Arial" w:hAnsi="Arial"/>
          <w:sz w:val="17"/>
          <w:szCs w:val="17"/>
          <w:color w:val="auto"/>
        </w:rPr>
        <w:t>(Topic 326):</w:t>
      </w:r>
      <w:r>
        <w:rPr>
          <w:rFonts w:ascii="Arial" w:cs="Arial" w:eastAsia="Arial" w:hAnsi="Arial"/>
          <w:sz w:val="17"/>
          <w:szCs w:val="17"/>
          <w:i w:val="1"/>
          <w:iCs w:val="1"/>
          <w:color w:val="auto"/>
        </w:rPr>
        <w:t xml:space="preserve"> Measurement of Credit Losses on Financial Instruments </w:t>
      </w:r>
      <w:r>
        <w:rPr>
          <w:rFonts w:ascii="Arial" w:cs="Arial" w:eastAsia="Arial" w:hAnsi="Arial"/>
          <w:sz w:val="17"/>
          <w:szCs w:val="17"/>
          <w:color w:val="auto"/>
        </w:rPr>
        <w:t>(ASU 2016-13) and also issued subsequent amendments to the initial guidance:</w:t>
      </w:r>
      <w:r>
        <w:rPr>
          <w:rFonts w:ascii="Arial" w:cs="Arial" w:eastAsia="Arial" w:hAnsi="Arial"/>
          <w:sz w:val="17"/>
          <w:szCs w:val="17"/>
          <w:i w:val="1"/>
          <w:iCs w:val="1"/>
          <w:color w:val="auto"/>
        </w:rPr>
        <w:t xml:space="preserve"> </w:t>
      </w:r>
      <w:r>
        <w:rPr>
          <w:rFonts w:ascii="Arial" w:cs="Arial" w:eastAsia="Arial" w:hAnsi="Arial"/>
          <w:sz w:val="17"/>
          <w:szCs w:val="17"/>
          <w:color w:val="auto"/>
        </w:rPr>
        <w:t>ASU 2018-19, ASU 2019-04, ASU 2019-05 and ASU 2022-02 (collectively, Topic 326). Topic 326 requires measurement and recognition of expected credit losses for financial assets held. Topic 326 became effective for us in our first quarter of fiscal 2023. The adoption had no material impact on our unaudited condensed consolidated financial statements.</w:t>
      </w: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2. Balance Sheet Components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Cash Equivalents, and Restricted Cash</w:t>
      </w:r>
    </w:p>
    <w:p>
      <w:pPr>
        <w:spacing w:after="0" w:line="170" w:lineRule="exact"/>
        <w:rPr>
          <w:sz w:val="20"/>
          <w:szCs w:val="20"/>
          <w:color w:val="auto"/>
        </w:rPr>
      </w:pPr>
    </w:p>
    <w:p>
      <w:pPr>
        <w:ind w:right="120" w:firstLine="470"/>
        <w:spacing w:after="0" w:line="288" w:lineRule="auto"/>
        <w:rPr>
          <w:sz w:val="20"/>
          <w:szCs w:val="20"/>
          <w:color w:val="auto"/>
        </w:rPr>
      </w:pPr>
      <w:r>
        <w:rPr>
          <w:rFonts w:ascii="Arial" w:cs="Arial" w:eastAsia="Arial" w:hAnsi="Arial"/>
          <w:sz w:val="17"/>
          <w:szCs w:val="17"/>
          <w:color w:val="auto"/>
        </w:rPr>
        <w:t>The following table provides a summary of the cash, cash equivalents, and restricted cash reported within our unaudited condensed consolidated balance sheets that reconciles to the corresponding amount in our unaudited condensed consolidated statement of cash flows: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December 30,</w:t>
            </w:r>
          </w:p>
        </w:tc>
        <w:tc>
          <w:tcPr>
            <w:tcW w:w="400" w:type="dxa"/>
            <w:vAlign w:val="bottom"/>
          </w:tcPr>
          <w:p>
            <w:pPr>
              <w:spacing w:after="0"/>
              <w:rPr>
                <w:sz w:val="14"/>
                <w:szCs w:val="14"/>
                <w:color w:val="auto"/>
              </w:rPr>
            </w:pPr>
          </w:p>
        </w:tc>
        <w:tc>
          <w:tcPr>
            <w:tcW w:w="1380" w:type="dxa"/>
            <w:vAlign w:val="bottom"/>
          </w:tcPr>
          <w:p>
            <w:pPr>
              <w:jc w:val="center"/>
              <w:ind w:right="319"/>
              <w:spacing w:after="0"/>
              <w:rPr>
                <w:sz w:val="20"/>
                <w:szCs w:val="20"/>
                <w:color w:val="auto"/>
              </w:rPr>
            </w:pPr>
            <w:r>
              <w:rPr>
                <w:rFonts w:ascii="Arial" w:cs="Arial" w:eastAsia="Arial" w:hAnsi="Arial"/>
                <w:sz w:val="14"/>
                <w:szCs w:val="14"/>
                <w:b w:val="1"/>
                <w:bCs w:val="1"/>
                <w:color w:val="auto"/>
                <w:w w:val="87"/>
              </w:rPr>
              <w:t>July 1,</w:t>
            </w:r>
          </w:p>
        </w:tc>
        <w:tc>
          <w:tcPr>
            <w:tcW w:w="0" w:type="dxa"/>
            <w:vAlign w:val="bottom"/>
          </w:tcPr>
          <w:p>
            <w:pPr>
              <w:spacing w:after="0"/>
              <w:rPr>
                <w:sz w:val="1"/>
                <w:szCs w:val="1"/>
                <w:color w:val="auto"/>
              </w:rPr>
            </w:pPr>
          </w:p>
        </w:tc>
      </w:tr>
      <w:tr>
        <w:trPr>
          <w:trHeight w:val="187"/>
        </w:trPr>
        <w:tc>
          <w:tcPr>
            <w:tcW w:w="75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21,360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36,877</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cash included in other assets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cash, cash equivalents, and restricted cash in the Statement of Cash Flows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21,554</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37,104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Accounts Receivable, net</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9"/>
        </w:trPr>
        <w:tc>
          <w:tcPr>
            <w:tcW w:w="7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560" w:type="dxa"/>
            <w:vAlign w:val="bottom"/>
          </w:tcPr>
          <w:p>
            <w:pPr>
              <w:ind w:left="480"/>
              <w:spacing w:after="0"/>
              <w:rPr>
                <w:sz w:val="20"/>
                <w:szCs w:val="20"/>
                <w:color w:val="auto"/>
              </w:rPr>
            </w:pPr>
            <w:r>
              <w:rPr>
                <w:rFonts w:ascii="Arial" w:cs="Arial" w:eastAsia="Arial" w:hAnsi="Arial"/>
                <w:sz w:val="17"/>
                <w:szCs w:val="17"/>
                <w:color w:val="auto"/>
              </w:rPr>
              <w:t>Our net accounts receivable are summarized below:</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7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1600" w:type="dxa"/>
            <w:vAlign w:val="bottom"/>
            <w:gridSpan w:val="2"/>
          </w:tcPr>
          <w:p>
            <w:pPr>
              <w:jc w:val="center"/>
              <w:ind w:right="420"/>
              <w:spacing w:after="0" w:line="157" w:lineRule="exact"/>
              <w:rPr>
                <w:sz w:val="20"/>
                <w:szCs w:val="20"/>
                <w:color w:val="auto"/>
              </w:rPr>
            </w:pPr>
            <w:r>
              <w:rPr>
                <w:rFonts w:ascii="Arial" w:cs="Arial" w:eastAsia="Arial" w:hAnsi="Arial"/>
                <w:sz w:val="14"/>
                <w:szCs w:val="14"/>
                <w:b w:val="1"/>
                <w:bCs w:val="1"/>
                <w:color w:val="auto"/>
                <w:w w:val="90"/>
              </w:rPr>
              <w:t>December 30,</w:t>
            </w:r>
          </w:p>
        </w:tc>
        <w:tc>
          <w:tcPr>
            <w:tcW w:w="400" w:type="dxa"/>
            <w:vAlign w:val="bottom"/>
          </w:tcPr>
          <w:p>
            <w:pPr>
              <w:spacing w:after="0"/>
              <w:rPr>
                <w:sz w:val="13"/>
                <w:szCs w:val="13"/>
                <w:color w:val="auto"/>
              </w:rPr>
            </w:pPr>
          </w:p>
        </w:tc>
        <w:tc>
          <w:tcPr>
            <w:tcW w:w="1380" w:type="dxa"/>
            <w:vAlign w:val="bottom"/>
          </w:tcPr>
          <w:p>
            <w:pPr>
              <w:jc w:val="center"/>
              <w:ind w:right="319"/>
              <w:spacing w:after="0" w:line="157" w:lineRule="exact"/>
              <w:rPr>
                <w:sz w:val="20"/>
                <w:szCs w:val="20"/>
                <w:color w:val="auto"/>
              </w:rPr>
            </w:pPr>
            <w:r>
              <w:rPr>
                <w:rFonts w:ascii="Arial" w:cs="Arial" w:eastAsia="Arial" w:hAnsi="Arial"/>
                <w:sz w:val="14"/>
                <w:szCs w:val="14"/>
                <w:b w:val="1"/>
                <w:bCs w:val="1"/>
                <w:color w:val="auto"/>
                <w:w w:val="87"/>
              </w:rPr>
              <w:t>July 1,</w:t>
            </w:r>
          </w:p>
        </w:tc>
        <w:tc>
          <w:tcPr>
            <w:tcW w:w="0" w:type="dxa"/>
            <w:vAlign w:val="bottom"/>
          </w:tcPr>
          <w:p>
            <w:pPr>
              <w:spacing w:after="0"/>
              <w:rPr>
                <w:sz w:val="1"/>
                <w:szCs w:val="1"/>
                <w:color w:val="auto"/>
              </w:rPr>
            </w:pPr>
          </w:p>
        </w:tc>
      </w:tr>
      <w:tr>
        <w:trPr>
          <w:trHeight w:val="189"/>
        </w:trPr>
        <w:tc>
          <w:tcPr>
            <w:tcW w:w="75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2"/>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92,289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74,102</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Allowances for collection losses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7"/>
                <w:szCs w:val="17"/>
                <w:color w:val="auto"/>
              </w:rPr>
              <w:t>Total accounts receivable,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91,371</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73,168</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7"/>
                <w:szCs w:val="17"/>
                <w:b w:val="1"/>
                <w:bCs w:val="1"/>
                <w:i w:val="1"/>
                <w:iCs w:val="1"/>
                <w:color w:val="auto"/>
              </w:rPr>
              <w:t>Inventories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756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7560" w:type="dxa"/>
            <w:vAlign w:val="bottom"/>
          </w:tcPr>
          <w:p>
            <w:pPr>
              <w:ind w:left="480"/>
              <w:spacing w:after="0"/>
              <w:rPr>
                <w:sz w:val="20"/>
                <w:szCs w:val="20"/>
                <w:color w:val="auto"/>
              </w:rPr>
            </w:pPr>
            <w:r>
              <w:rPr>
                <w:rFonts w:ascii="Arial" w:cs="Arial" w:eastAsia="Arial" w:hAnsi="Arial"/>
                <w:sz w:val="17"/>
                <w:szCs w:val="17"/>
                <w:color w:val="auto"/>
              </w:rPr>
              <w:t>Our inventories are summarized below</w:t>
            </w:r>
          </w:p>
        </w:tc>
        <w:tc>
          <w:tcPr>
            <w:tcW w:w="3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1"/>
        </w:trPr>
        <w:tc>
          <w:tcPr>
            <w:tcW w:w="7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16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0"/>
              </w:rPr>
              <w:t>December 30,</w:t>
            </w:r>
          </w:p>
        </w:tc>
        <w:tc>
          <w:tcPr>
            <w:tcW w:w="400" w:type="dxa"/>
            <w:vAlign w:val="bottom"/>
          </w:tcPr>
          <w:p>
            <w:pPr>
              <w:spacing w:after="0"/>
              <w:rPr>
                <w:sz w:val="13"/>
                <w:szCs w:val="13"/>
                <w:color w:val="auto"/>
              </w:rPr>
            </w:pPr>
          </w:p>
        </w:tc>
        <w:tc>
          <w:tcPr>
            <w:tcW w:w="1380" w:type="dxa"/>
            <w:vAlign w:val="bottom"/>
          </w:tcPr>
          <w:p>
            <w:pPr>
              <w:jc w:val="center"/>
              <w:ind w:right="319"/>
              <w:spacing w:after="0"/>
              <w:rPr>
                <w:sz w:val="20"/>
                <w:szCs w:val="20"/>
                <w:color w:val="auto"/>
              </w:rPr>
            </w:pPr>
            <w:r>
              <w:rPr>
                <w:rFonts w:ascii="Arial" w:cs="Arial" w:eastAsia="Arial" w:hAnsi="Arial"/>
                <w:sz w:val="14"/>
                <w:szCs w:val="14"/>
                <w:b w:val="1"/>
                <w:bCs w:val="1"/>
                <w:color w:val="auto"/>
                <w:w w:val="87"/>
              </w:rPr>
              <w:t>July 1,</w:t>
            </w:r>
          </w:p>
        </w:tc>
        <w:tc>
          <w:tcPr>
            <w:tcW w:w="0" w:type="dxa"/>
            <w:vAlign w:val="bottom"/>
          </w:tcPr>
          <w:p>
            <w:pPr>
              <w:spacing w:after="0"/>
              <w:rPr>
                <w:sz w:val="1"/>
                <w:szCs w:val="1"/>
                <w:color w:val="auto"/>
              </w:rPr>
            </w:pPr>
          </w:p>
        </w:tc>
      </w:tr>
      <w:tr>
        <w:trPr>
          <w:trHeight w:val="187"/>
        </w:trPr>
        <w:tc>
          <w:tcPr>
            <w:tcW w:w="75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center"/>
              <w:ind w:right="199"/>
              <w:spacing w:after="0"/>
              <w:rPr>
                <w:sz w:val="20"/>
                <w:szCs w:val="20"/>
                <w:color w:val="auto"/>
              </w:rPr>
            </w:pPr>
            <w:r>
              <w:rPr>
                <w:rFonts w:ascii="Arial" w:cs="Arial" w:eastAsia="Arial" w:hAnsi="Arial"/>
                <w:sz w:val="14"/>
                <w:szCs w:val="14"/>
                <w:b w:val="1"/>
                <w:bCs w:val="1"/>
                <w:color w:val="auto"/>
                <w:w w:val="89"/>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center"/>
              <w:ind w:right="339"/>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220"/>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Finished products</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21,396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14,916</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Raw materials and supplies</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13,789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10,478</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inventories</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35,185</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25,394</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Consigned inventories included within raw materials and supplies</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7560" w:type="dxa"/>
            <w:vAlign w:val="bottom"/>
            <w:vMerge w:val="continue"/>
          </w:tcPr>
          <w:p>
            <w:pPr>
              <w:spacing w:after="0"/>
              <w:rPr>
                <w:sz w:val="16"/>
                <w:szCs w:val="16"/>
                <w:color w:val="auto"/>
              </w:rPr>
            </w:pPr>
          </w:p>
        </w:tc>
        <w:tc>
          <w:tcPr>
            <w:tcW w:w="300" w:type="dxa"/>
            <w:vAlign w:val="bottom"/>
          </w:tcPr>
          <w:p>
            <w:pPr>
              <w:jc w:val="right"/>
              <w:ind w:right="113"/>
              <w:spacing w:after="0" w:line="194" w:lineRule="exact"/>
              <w:rPr>
                <w:sz w:val="20"/>
                <w:szCs w:val="20"/>
                <w:color w:val="auto"/>
              </w:rPr>
            </w:pPr>
            <w:r>
              <w:rPr>
                <w:rFonts w:ascii="Arial" w:cs="Arial" w:eastAsia="Arial" w:hAnsi="Arial"/>
                <w:sz w:val="17"/>
                <w:szCs w:val="17"/>
                <w:color w:val="auto"/>
                <w:w w:val="84"/>
              </w:rPr>
              <w:t>$</w:t>
            </w:r>
          </w:p>
        </w:tc>
        <w:tc>
          <w:tcPr>
            <w:tcW w:w="1480" w:type="dxa"/>
            <w:vAlign w:val="bottom"/>
          </w:tcPr>
          <w:p>
            <w:pPr>
              <w:jc w:val="right"/>
              <w:spacing w:after="0" w:line="194" w:lineRule="exact"/>
              <w:rPr>
                <w:sz w:val="20"/>
                <w:szCs w:val="20"/>
                <w:color w:val="auto"/>
              </w:rPr>
            </w:pPr>
            <w:r>
              <w:rPr>
                <w:rFonts w:ascii="Arial" w:cs="Arial" w:eastAsia="Arial" w:hAnsi="Arial"/>
                <w:sz w:val="17"/>
                <w:szCs w:val="17"/>
                <w:color w:val="auto"/>
              </w:rPr>
              <w:t>9,590</w:t>
            </w:r>
          </w:p>
        </w:tc>
        <w:tc>
          <w:tcPr>
            <w:tcW w:w="120" w:type="dxa"/>
            <w:vAlign w:val="bottom"/>
          </w:tcPr>
          <w:p>
            <w:pPr>
              <w:spacing w:after="0"/>
              <w:rPr>
                <w:sz w:val="16"/>
                <w:szCs w:val="16"/>
                <w:color w:val="auto"/>
              </w:rPr>
            </w:pPr>
          </w:p>
        </w:tc>
        <w:tc>
          <w:tcPr>
            <w:tcW w:w="400" w:type="dxa"/>
            <w:vAlign w:val="bottom"/>
          </w:tcPr>
          <w:p>
            <w:pPr>
              <w:jc w:val="right"/>
              <w:ind w:right="213"/>
              <w:spacing w:after="0" w:line="194" w:lineRule="exact"/>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line="194" w:lineRule="exact"/>
              <w:rPr>
                <w:sz w:val="20"/>
                <w:szCs w:val="20"/>
                <w:color w:val="auto"/>
              </w:rPr>
            </w:pPr>
            <w:r>
              <w:rPr>
                <w:rFonts w:ascii="Arial" w:cs="Arial" w:eastAsia="Arial" w:hAnsi="Arial"/>
                <w:sz w:val="17"/>
                <w:szCs w:val="17"/>
                <w:color w:val="auto"/>
              </w:rPr>
              <w:t>9,796</w:t>
            </w:r>
          </w:p>
        </w:tc>
        <w:tc>
          <w:tcPr>
            <w:tcW w:w="0" w:type="dxa"/>
            <w:vAlign w:val="bottom"/>
          </w:tcPr>
          <w:p>
            <w:pPr>
              <w:spacing w:after="0"/>
              <w:rPr>
                <w:sz w:val="1"/>
                <w:szCs w:val="1"/>
                <w:color w:val="auto"/>
              </w:rPr>
            </w:pPr>
          </w:p>
        </w:tc>
      </w:tr>
    </w:tbl>
    <w:p>
      <w:pPr>
        <w:spacing w:after="0" w:line="236" w:lineRule="exact"/>
        <w:rPr>
          <w:sz w:val="20"/>
          <w:szCs w:val="20"/>
          <w:color w:val="auto"/>
        </w:rPr>
      </w:pPr>
    </w:p>
    <w:p>
      <w:pPr>
        <w:jc w:val="both"/>
        <w:ind w:firstLine="470"/>
        <w:spacing w:after="0" w:line="268" w:lineRule="auto"/>
        <w:rPr>
          <w:sz w:val="20"/>
          <w:szCs w:val="20"/>
          <w:color w:val="auto"/>
        </w:rPr>
      </w:pPr>
      <w:r>
        <w:rPr>
          <w:rFonts w:ascii="Arial" w:cs="Arial" w:eastAsia="Arial" w:hAnsi="Arial"/>
          <w:sz w:val="17"/>
          <w:szCs w:val="17"/>
          <w:color w:val="auto"/>
        </w:rPr>
        <w:t>We record charges to adjust our inventory and customer service inventory due to excess and obsolete inventory resulting from lower sales forecasts, product transitioning, or discontinuance. The charges during the three and six months ended December 30, 2022 and December 31, 2021 consisted of the following which were recorded in cost of product sales:</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240" w:type="dxa"/>
            <w:vAlign w:val="bottom"/>
          </w:tcPr>
          <w:p>
            <w:pPr>
              <w:spacing w:after="0"/>
              <w:rPr>
                <w:sz w:val="15"/>
                <w:szCs w:val="15"/>
                <w:color w:val="auto"/>
              </w:rPr>
            </w:pPr>
          </w:p>
        </w:tc>
        <w:tc>
          <w:tcPr>
            <w:tcW w:w="3040" w:type="dxa"/>
            <w:vAlign w:val="bottom"/>
            <w:gridSpan w:val="4"/>
          </w:tcPr>
          <w:p>
            <w:pPr>
              <w:jc w:val="center"/>
              <w:ind w:left="343"/>
              <w:spacing w:after="0"/>
              <w:rPr>
                <w:sz w:val="20"/>
                <w:szCs w:val="20"/>
                <w:color w:val="auto"/>
              </w:rPr>
            </w:pPr>
            <w:r>
              <w:rPr>
                <w:rFonts w:ascii="Arial" w:cs="Arial" w:eastAsia="Arial" w:hAnsi="Arial"/>
                <w:sz w:val="14"/>
                <w:szCs w:val="14"/>
                <w:b w:val="1"/>
                <w:bCs w:val="1"/>
                <w:color w:val="auto"/>
                <w:w w:val="90"/>
              </w:rPr>
              <w:t>Three Months Ended</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0"/>
              </w:rPr>
              <w:t>Six Months Ended</w:t>
            </w:r>
          </w:p>
        </w:tc>
        <w:tc>
          <w:tcPr>
            <w:tcW w:w="0" w:type="dxa"/>
            <w:vAlign w:val="bottom"/>
          </w:tcPr>
          <w:p>
            <w:pPr>
              <w:spacing w:after="0"/>
              <w:rPr>
                <w:sz w:val="1"/>
                <w:szCs w:val="1"/>
                <w:color w:val="auto"/>
              </w:rPr>
            </w:pPr>
          </w:p>
        </w:tc>
      </w:tr>
      <w:tr>
        <w:trPr>
          <w:trHeight w:val="23"/>
        </w:trPr>
        <w:tc>
          <w:tcPr>
            <w:tcW w:w="42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2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jc w:val="right"/>
              <w:spacing w:after="0" w:line="127" w:lineRule="exact"/>
              <w:rPr>
                <w:sz w:val="20"/>
                <w:szCs w:val="20"/>
                <w:color w:val="auto"/>
              </w:rPr>
            </w:pPr>
            <w:r>
              <w:rPr>
                <w:rFonts w:ascii="Arial" w:cs="Arial" w:eastAsia="Arial" w:hAnsi="Arial"/>
                <w:sz w:val="14"/>
                <w:szCs w:val="14"/>
                <w:b w:val="1"/>
                <w:bCs w:val="1"/>
                <w:color w:val="auto"/>
              </w:rPr>
              <w:t>December 30,</w:t>
            </w: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tcPr>
          <w:p>
            <w:pPr>
              <w:jc w:val="center"/>
              <w:ind w:left="322"/>
              <w:spacing w:after="0" w:line="127" w:lineRule="exact"/>
              <w:rPr>
                <w:sz w:val="20"/>
                <w:szCs w:val="20"/>
                <w:color w:val="auto"/>
              </w:rPr>
            </w:pPr>
            <w:r>
              <w:rPr>
                <w:rFonts w:ascii="Arial" w:cs="Arial" w:eastAsia="Arial" w:hAnsi="Arial"/>
                <w:sz w:val="14"/>
                <w:szCs w:val="14"/>
                <w:b w:val="1"/>
                <w:bCs w:val="1"/>
                <w:color w:val="auto"/>
                <w:w w:val="90"/>
              </w:rPr>
              <w:t>December 31,</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ind w:left="120"/>
              <w:spacing w:after="0" w:line="127" w:lineRule="exact"/>
              <w:rPr>
                <w:sz w:val="20"/>
                <w:szCs w:val="20"/>
                <w:color w:val="auto"/>
              </w:rPr>
            </w:pPr>
            <w:r>
              <w:rPr>
                <w:rFonts w:ascii="Arial" w:cs="Arial" w:eastAsia="Arial" w:hAnsi="Arial"/>
                <w:sz w:val="14"/>
                <w:szCs w:val="14"/>
                <w:b w:val="1"/>
                <w:bCs w:val="1"/>
                <w:color w:val="auto"/>
              </w:rPr>
              <w:t>December 30,</w:t>
            </w:r>
          </w:p>
        </w:tc>
        <w:tc>
          <w:tcPr>
            <w:tcW w:w="300" w:type="dxa"/>
            <w:vAlign w:val="bottom"/>
          </w:tcPr>
          <w:p>
            <w:pPr>
              <w:spacing w:after="0"/>
              <w:rPr>
                <w:sz w:val="11"/>
                <w:szCs w:val="11"/>
                <w:color w:val="auto"/>
              </w:rPr>
            </w:pPr>
          </w:p>
        </w:tc>
        <w:tc>
          <w:tcPr>
            <w:tcW w:w="1480" w:type="dxa"/>
            <w:vAlign w:val="bottom"/>
          </w:tcPr>
          <w:p>
            <w:pPr>
              <w:jc w:val="right"/>
              <w:ind w:right="400"/>
              <w:spacing w:after="0" w:line="12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24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2022</w:t>
            </w:r>
          </w:p>
        </w:tc>
        <w:tc>
          <w:tcPr>
            <w:tcW w:w="36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tcPr>
          <w:p>
            <w:pPr>
              <w:jc w:val="right"/>
              <w:ind w:right="262"/>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42"/>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0"/>
        </w:trPr>
        <w:tc>
          <w:tcPr>
            <w:tcW w:w="42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Excess and obsolete inventory</w:t>
            </w:r>
          </w:p>
        </w:tc>
        <w:tc>
          <w:tcPr>
            <w:tcW w:w="1200" w:type="dxa"/>
            <w:vAlign w:val="bottom"/>
            <w:shd w:val="clear" w:color="auto" w:fill="CCEEFF"/>
          </w:tcPr>
          <w:p>
            <w:pPr>
              <w:jc w:val="right"/>
              <w:ind w:right="1023"/>
              <w:spacing w:after="0"/>
              <w:rPr>
                <w:sz w:val="20"/>
                <w:szCs w:val="20"/>
                <w:color w:val="auto"/>
              </w:rPr>
            </w:pPr>
            <w:r>
              <w:rPr>
                <w:rFonts w:ascii="Arial" w:cs="Arial" w:eastAsia="Arial" w:hAnsi="Arial"/>
                <w:sz w:val="17"/>
                <w:szCs w:val="17"/>
                <w:color w:val="auto"/>
                <w:w w:val="84"/>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411</w:t>
            </w:r>
          </w:p>
        </w:tc>
        <w:tc>
          <w:tcPr>
            <w:tcW w:w="100" w:type="dxa"/>
            <w:vAlign w:val="bottom"/>
            <w:shd w:val="clear" w:color="auto" w:fill="CCEEFF"/>
          </w:tcPr>
          <w:p>
            <w:pPr>
              <w:spacing w:after="0"/>
              <w:rPr>
                <w:sz w:val="19"/>
                <w:szCs w:val="19"/>
                <w:color w:val="auto"/>
              </w:rPr>
            </w:pPr>
          </w:p>
        </w:tc>
        <w:tc>
          <w:tcPr>
            <w:tcW w:w="1380" w:type="dxa"/>
            <w:vAlign w:val="bottom"/>
            <w:shd w:val="clear" w:color="auto" w:fill="CCEEFF"/>
          </w:tcPr>
          <w:p>
            <w:pPr>
              <w:jc w:val="center"/>
              <w:ind w:right="1182"/>
              <w:spacing w:after="0"/>
              <w:rPr>
                <w:sz w:val="20"/>
                <w:szCs w:val="20"/>
                <w:color w:val="auto"/>
              </w:rPr>
            </w:pPr>
            <w:r>
              <w:rPr>
                <w:rFonts w:ascii="Arial" w:cs="Arial" w:eastAsia="Arial" w:hAnsi="Arial"/>
                <w:sz w:val="17"/>
                <w:szCs w:val="17"/>
                <w:color w:val="auto"/>
                <w:w w:val="84"/>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center"/>
              <w:ind w:right="9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w:t>
            </w:r>
          </w:p>
        </w:tc>
        <w:tc>
          <w:tcPr>
            <w:tcW w:w="0" w:type="dxa"/>
            <w:vAlign w:val="bottom"/>
          </w:tcPr>
          <w:p>
            <w:pPr>
              <w:spacing w:after="0"/>
              <w:rPr>
                <w:sz w:val="1"/>
                <w:szCs w:val="1"/>
                <w:color w:val="auto"/>
              </w:rPr>
            </w:pPr>
          </w:p>
        </w:tc>
      </w:tr>
      <w:tr>
        <w:trPr>
          <w:trHeight w:val="222"/>
        </w:trPr>
        <w:tc>
          <w:tcPr>
            <w:tcW w:w="4240" w:type="dxa"/>
            <w:vAlign w:val="bottom"/>
            <w:tcBorders>
              <w:bottom w:val="single" w:sz="8" w:color="CCEEFF"/>
            </w:tcBorders>
          </w:tcPr>
          <w:p>
            <w:pPr>
              <w:ind w:left="120"/>
              <w:spacing w:after="0"/>
              <w:rPr>
                <w:sz w:val="20"/>
                <w:szCs w:val="20"/>
                <w:color w:val="auto"/>
              </w:rPr>
            </w:pPr>
            <w:r>
              <w:rPr>
                <w:rFonts w:ascii="Arial" w:cs="Arial" w:eastAsia="Arial" w:hAnsi="Arial"/>
                <w:sz w:val="17"/>
                <w:szCs w:val="17"/>
                <w:color w:val="auto"/>
              </w:rPr>
              <w:t>Customer service inventory write-downs</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322</w:t>
            </w:r>
          </w:p>
        </w:tc>
        <w:tc>
          <w:tcPr>
            <w:tcW w:w="100" w:type="dxa"/>
            <w:vAlign w:val="bottom"/>
            <w:tcBorders>
              <w:bottom w:val="single" w:sz="8" w:color="CCEEFF"/>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557</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418</w:t>
            </w:r>
          </w:p>
        </w:tc>
        <w:tc>
          <w:tcPr>
            <w:tcW w:w="0" w:type="dxa"/>
            <w:vAlign w:val="bottom"/>
          </w:tcPr>
          <w:p>
            <w:pPr>
              <w:spacing w:after="0"/>
              <w:rPr>
                <w:sz w:val="1"/>
                <w:szCs w:val="1"/>
                <w:color w:val="auto"/>
              </w:rPr>
            </w:pPr>
          </w:p>
        </w:tc>
      </w:tr>
      <w:tr>
        <w:trPr>
          <w:trHeight w:val="240"/>
        </w:trPr>
        <w:tc>
          <w:tcPr>
            <w:tcW w:w="42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inventory charges</w:t>
            </w:r>
          </w:p>
        </w:tc>
        <w:tc>
          <w:tcPr>
            <w:tcW w:w="1200" w:type="dxa"/>
            <w:vAlign w:val="bottom"/>
            <w:tcBorders>
              <w:bottom w:val="single" w:sz="8" w:color="auto"/>
            </w:tcBorders>
            <w:shd w:val="clear" w:color="auto" w:fill="CCEEFF"/>
          </w:tcPr>
          <w:p>
            <w:pPr>
              <w:jc w:val="right"/>
              <w:ind w:right="1023"/>
              <w:spacing w:after="0"/>
              <w:rPr>
                <w:sz w:val="20"/>
                <w:szCs w:val="20"/>
                <w:color w:val="auto"/>
              </w:rPr>
            </w:pPr>
            <w:r>
              <w:rPr>
                <w:rFonts w:ascii="Arial" w:cs="Arial" w:eastAsia="Arial" w:hAnsi="Arial"/>
                <w:sz w:val="17"/>
                <w:szCs w:val="17"/>
                <w:color w:val="auto"/>
                <w:w w:val="84"/>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733</w:t>
            </w:r>
          </w:p>
        </w:tc>
        <w:tc>
          <w:tcPr>
            <w:tcW w:w="100" w:type="dxa"/>
            <w:vAlign w:val="bottom"/>
            <w:tcBorders>
              <w:bottom w:val="single" w:sz="8" w:color="CCEEFF"/>
            </w:tcBorders>
            <w:shd w:val="clear" w:color="auto" w:fill="CCEEFF"/>
          </w:tcPr>
          <w:p>
            <w:pPr>
              <w:spacing w:after="0"/>
              <w:rPr>
                <w:sz w:val="20"/>
                <w:szCs w:val="20"/>
                <w:color w:val="auto"/>
              </w:rPr>
            </w:pPr>
          </w:p>
        </w:tc>
        <w:tc>
          <w:tcPr>
            <w:tcW w:w="1380" w:type="dxa"/>
            <w:vAlign w:val="bottom"/>
            <w:tcBorders>
              <w:bottom w:val="single" w:sz="8" w:color="auto"/>
            </w:tcBorders>
            <w:shd w:val="clear" w:color="auto" w:fill="CCEEFF"/>
          </w:tcPr>
          <w:p>
            <w:pPr>
              <w:jc w:val="center"/>
              <w:ind w:right="1182"/>
              <w:spacing w:after="0"/>
              <w:rPr>
                <w:sz w:val="20"/>
                <w:szCs w:val="20"/>
                <w:color w:val="auto"/>
              </w:rPr>
            </w:pPr>
            <w:r>
              <w:rPr>
                <w:rFonts w:ascii="Arial" w:cs="Arial" w:eastAsia="Arial" w:hAnsi="Arial"/>
                <w:sz w:val="17"/>
                <w:szCs w:val="17"/>
                <w:color w:val="auto"/>
                <w:w w:val="84"/>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277</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1,138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center"/>
              <w:ind w:right="9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658</w:t>
            </w:r>
          </w:p>
        </w:tc>
        <w:tc>
          <w:tcPr>
            <w:tcW w:w="0" w:type="dxa"/>
            <w:vAlign w:val="bottom"/>
          </w:tcPr>
          <w:p>
            <w:pPr>
              <w:spacing w:after="0"/>
              <w:rPr>
                <w:sz w:val="1"/>
                <w:szCs w:val="1"/>
                <w:color w:val="auto"/>
              </w:rPr>
            </w:pP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i w:val="1"/>
          <w:iCs w:val="1"/>
          <w:color w:val="auto"/>
        </w:rPr>
        <w:t>Assets Held for Sale</w:t>
      </w:r>
    </w:p>
    <w:p>
      <w:pPr>
        <w:spacing w:after="0" w:line="157" w:lineRule="exact"/>
        <w:rPr>
          <w:sz w:val="20"/>
          <w:szCs w:val="20"/>
          <w:color w:val="auto"/>
        </w:rPr>
      </w:pPr>
    </w:p>
    <w:p>
      <w:pPr>
        <w:ind w:right="100" w:firstLine="470"/>
        <w:spacing w:after="0" w:line="256" w:lineRule="auto"/>
        <w:rPr>
          <w:sz w:val="20"/>
          <w:szCs w:val="20"/>
          <w:color w:val="auto"/>
        </w:rPr>
      </w:pPr>
      <w:r>
        <w:rPr>
          <w:rFonts w:ascii="Arial" w:cs="Arial" w:eastAsia="Arial" w:hAnsi="Arial"/>
          <w:sz w:val="17"/>
          <w:szCs w:val="17"/>
          <w:color w:val="auto"/>
        </w:rPr>
        <w:t>We consider properties to be Assets held for sale when management approves and commits to a plan to dispose of a property or group of properties. The property held for sale prior to the sale date is separately presented on the balance sheet as Assets held for sale.</w:t>
      </w:r>
    </w:p>
    <w:p>
      <w:pPr>
        <w:spacing w:after="0" w:line="132" w:lineRule="exact"/>
        <w:rPr>
          <w:sz w:val="20"/>
          <w:szCs w:val="20"/>
          <w:color w:val="auto"/>
        </w:rPr>
      </w:pPr>
    </w:p>
    <w:p>
      <w:pPr>
        <w:ind w:right="100" w:firstLine="470"/>
        <w:spacing w:after="0" w:line="321" w:lineRule="auto"/>
        <w:rPr>
          <w:sz w:val="20"/>
          <w:szCs w:val="20"/>
          <w:color w:val="auto"/>
        </w:rPr>
      </w:pPr>
      <w:r>
        <w:rPr>
          <w:rFonts w:ascii="Arial" w:cs="Arial" w:eastAsia="Arial" w:hAnsi="Arial"/>
          <w:sz w:val="16"/>
          <w:szCs w:val="16"/>
          <w:color w:val="auto"/>
        </w:rPr>
        <w:t>During the second quarter of fiscal 2021 management initiated the sale of our facility located in the United Kingdom. We completed the sale during the third quarter of fiscal 2022 with proceeds of $2.3 million, reflecting a gain of $0.1 million We have no assets held for sale as of December 30, 2022.</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 net</w:t>
      </w:r>
    </w:p>
    <w:p>
      <w:pPr>
        <w:spacing w:after="0" w:line="170"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property, plant and equipment, net are summarized below:</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4"/>
                <w:szCs w:val="14"/>
                <w:color w:val="auto"/>
              </w:rPr>
            </w:pPr>
          </w:p>
        </w:tc>
        <w:tc>
          <w:tcPr>
            <w:tcW w:w="1600" w:type="dxa"/>
            <w:vAlign w:val="bottom"/>
            <w:gridSpan w:val="2"/>
          </w:tcPr>
          <w:p>
            <w:pPr>
              <w:ind w:left="180"/>
              <w:spacing w:after="0"/>
              <w:rPr>
                <w:sz w:val="20"/>
                <w:szCs w:val="20"/>
                <w:color w:val="auto"/>
              </w:rPr>
            </w:pPr>
            <w:r>
              <w:rPr>
                <w:rFonts w:ascii="Arial" w:cs="Arial" w:eastAsia="Arial" w:hAnsi="Arial"/>
                <w:sz w:val="14"/>
                <w:szCs w:val="14"/>
                <w:b w:val="1"/>
                <w:bCs w:val="1"/>
                <w:color w:val="auto"/>
              </w:rPr>
              <w:t>December 30,</w:t>
            </w:r>
          </w:p>
        </w:tc>
        <w:tc>
          <w:tcPr>
            <w:tcW w:w="400" w:type="dxa"/>
            <w:vAlign w:val="bottom"/>
          </w:tcPr>
          <w:p>
            <w:pPr>
              <w:spacing w:after="0"/>
              <w:rPr>
                <w:sz w:val="14"/>
                <w:szCs w:val="14"/>
                <w:color w:val="auto"/>
              </w:rPr>
            </w:pPr>
          </w:p>
        </w:tc>
        <w:tc>
          <w:tcPr>
            <w:tcW w:w="1380" w:type="dxa"/>
            <w:vAlign w:val="bottom"/>
          </w:tcPr>
          <w:p>
            <w:pPr>
              <w:jc w:val="right"/>
              <w:ind w:right="617"/>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89"/>
        </w:trPr>
        <w:tc>
          <w:tcPr>
            <w:tcW w:w="7560" w:type="dxa"/>
            <w:vAlign w:val="bottom"/>
            <w:tcBorders>
              <w:bottom w:val="single" w:sz="8" w:color="CCEEFF"/>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657"/>
              <w:spacing w:after="0"/>
              <w:rPr>
                <w:sz w:val="20"/>
                <w:szCs w:val="20"/>
                <w:color w:val="auto"/>
              </w:rPr>
            </w:pPr>
            <w:r>
              <w:rPr>
                <w:rFonts w:ascii="Arial" w:cs="Arial" w:eastAsia="Arial" w:hAnsi="Arial"/>
                <w:sz w:val="14"/>
                <w:szCs w:val="14"/>
                <w:b w:val="1"/>
                <w:bCs w:val="1"/>
                <w:color w:val="auto"/>
              </w:rPr>
              <w:t>2022</w:t>
            </w: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ind w:right="677"/>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2"/>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Land</w:t>
            </w:r>
          </w:p>
        </w:tc>
        <w:tc>
          <w:tcPr>
            <w:tcW w:w="300" w:type="dxa"/>
            <w:vAlign w:val="bottom"/>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w:t>
            </w:r>
          </w:p>
        </w:tc>
        <w:tc>
          <w:tcPr>
            <w:tcW w:w="0" w:type="dxa"/>
            <w:vAlign w:val="bottom"/>
          </w:tcPr>
          <w:p>
            <w:pPr>
              <w:spacing w:after="0"/>
              <w:rPr>
                <w:sz w:val="1"/>
                <w:szCs w:val="1"/>
                <w:color w:val="auto"/>
              </w:rPr>
            </w:pPr>
          </w:p>
        </w:tc>
      </w:tr>
      <w:tr>
        <w:trPr>
          <w:trHeight w:val="222"/>
        </w:trPr>
        <w:tc>
          <w:tcPr>
            <w:tcW w:w="7560" w:type="dxa"/>
            <w:vAlign w:val="bottom"/>
          </w:tcPr>
          <w:p>
            <w:pPr>
              <w:ind w:left="20"/>
              <w:spacing w:after="0"/>
              <w:rPr>
                <w:sz w:val="20"/>
                <w:szCs w:val="20"/>
                <w:color w:val="auto"/>
              </w:rPr>
            </w:pPr>
            <w:r>
              <w:rPr>
                <w:rFonts w:ascii="Arial" w:cs="Arial" w:eastAsia="Arial" w:hAnsi="Arial"/>
                <w:sz w:val="17"/>
                <w:szCs w:val="17"/>
                <w:color w:val="auto"/>
              </w:rPr>
              <w:t>Buildings and leasehold improvements</w:t>
            </w:r>
          </w:p>
        </w:tc>
        <w:tc>
          <w:tcPr>
            <w:tcW w:w="30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7"/>
                <w:szCs w:val="17"/>
                <w:color w:val="auto"/>
              </w:rPr>
              <w:t>5,889</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5,796</w:t>
            </w:r>
          </w:p>
        </w:tc>
        <w:tc>
          <w:tcPr>
            <w:tcW w:w="0" w:type="dxa"/>
            <w:vAlign w:val="bottom"/>
          </w:tcPr>
          <w:p>
            <w:pPr>
              <w:spacing w:after="0"/>
              <w:rPr>
                <w:sz w:val="1"/>
                <w:szCs w:val="1"/>
                <w:color w:val="auto"/>
              </w:rPr>
            </w:pPr>
          </w:p>
        </w:tc>
      </w:tr>
      <w:tr>
        <w:trPr>
          <w:trHeight w:val="222"/>
        </w:trPr>
        <w:tc>
          <w:tcPr>
            <w:tcW w:w="7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30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17,073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21,368</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Machinery and equipment</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48,128</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49,584</w:t>
            </w:r>
          </w:p>
        </w:tc>
        <w:tc>
          <w:tcPr>
            <w:tcW w:w="0" w:type="dxa"/>
            <w:vAlign w:val="bottom"/>
          </w:tcPr>
          <w:p>
            <w:pPr>
              <w:spacing w:after="0"/>
              <w:rPr>
                <w:sz w:val="1"/>
                <w:szCs w:val="1"/>
                <w:color w:val="auto"/>
              </w:rPr>
            </w:pPr>
          </w:p>
        </w:tc>
      </w:tr>
      <w:tr>
        <w:trPr>
          <w:trHeight w:val="215"/>
        </w:trPr>
        <w:tc>
          <w:tcPr>
            <w:tcW w:w="75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property, plant and equipment, gross</w:t>
            </w:r>
          </w:p>
        </w:tc>
        <w:tc>
          <w:tcPr>
            <w:tcW w:w="30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71,300</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76,958</w:t>
            </w:r>
          </w:p>
        </w:tc>
        <w:tc>
          <w:tcPr>
            <w:tcW w:w="0" w:type="dxa"/>
            <w:vAlign w:val="bottom"/>
          </w:tcPr>
          <w:p>
            <w:pPr>
              <w:spacing w:after="0"/>
              <w:rPr>
                <w:sz w:val="1"/>
                <w:szCs w:val="1"/>
                <w:color w:val="auto"/>
              </w:rPr>
            </w:pPr>
          </w:p>
        </w:tc>
      </w:tr>
      <w:tr>
        <w:trPr>
          <w:trHeight w:val="222"/>
        </w:trPr>
        <w:tc>
          <w:tcPr>
            <w:tcW w:w="75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0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(59,884)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(68,071)</w:t>
            </w:r>
          </w:p>
        </w:tc>
        <w:tc>
          <w:tcPr>
            <w:tcW w:w="0" w:type="dxa"/>
            <w:vAlign w:val="bottom"/>
          </w:tcPr>
          <w:p>
            <w:pPr>
              <w:spacing w:after="0"/>
              <w:rPr>
                <w:sz w:val="1"/>
                <w:szCs w:val="1"/>
                <w:color w:val="auto"/>
              </w:rPr>
            </w:pPr>
          </w:p>
        </w:tc>
      </w:tr>
      <w:tr>
        <w:trPr>
          <w:trHeight w:val="240"/>
        </w:trPr>
        <w:tc>
          <w:tcPr>
            <w:tcW w:w="75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7"/>
                <w:szCs w:val="17"/>
                <w:color w:val="auto"/>
              </w:rPr>
              <w:t>Total property, plant and equipment, net</w:t>
            </w:r>
          </w:p>
        </w:tc>
        <w:tc>
          <w:tcPr>
            <w:tcW w:w="300" w:type="dxa"/>
            <w:vAlign w:val="bottom"/>
            <w:tcBorders>
              <w:bottom w:val="single" w:sz="8" w:color="auto"/>
            </w:tcBorders>
            <w:shd w:val="clear" w:color="auto" w:fill="CCEEFF"/>
          </w:tcPr>
          <w:p>
            <w:pPr>
              <w:jc w:val="right"/>
              <w:ind w:right="113"/>
              <w:spacing w:after="0"/>
              <w:rPr>
                <w:sz w:val="20"/>
                <w:szCs w:val="20"/>
                <w:color w:val="auto"/>
              </w:rPr>
            </w:pPr>
            <w:r>
              <w:rPr>
                <w:rFonts w:ascii="Arial" w:cs="Arial" w:eastAsia="Arial" w:hAnsi="Arial"/>
                <w:sz w:val="17"/>
                <w:szCs w:val="17"/>
                <w:color w:val="auto"/>
                <w:w w:val="8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11,416</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8,887</w:t>
            </w:r>
          </w:p>
        </w:tc>
        <w:tc>
          <w:tcPr>
            <w:tcW w:w="0" w:type="dxa"/>
            <w:vAlign w:val="bottom"/>
          </w:tcPr>
          <w:p>
            <w:pPr>
              <w:spacing w:after="0"/>
              <w:rPr>
                <w:sz w:val="1"/>
                <w:szCs w:val="1"/>
                <w:color w:val="auto"/>
              </w:rPr>
            </w:pPr>
          </w:p>
        </w:tc>
      </w:tr>
      <w:tr>
        <w:trPr>
          <w:trHeight w:val="20"/>
        </w:trPr>
        <w:tc>
          <w:tcPr>
            <w:tcW w:w="7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75"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Included in the total plant, property and equipment above there was $0.7 million of assets in progress which have not been placed in service as of December 30, 2022 and $1.2 million as of July 1, 2022.</w:t>
      </w:r>
    </w:p>
    <w:p>
      <w:pPr>
        <w:spacing w:after="0" w:line="106"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Depreciation and amortization expense related to property, plant and equipment, including amortization of software developed for internal use,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4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960" w:type="dxa"/>
            <w:vAlign w:val="bottom"/>
            <w:gridSpan w:val="5"/>
          </w:tcPr>
          <w:p>
            <w:pPr>
              <w:jc w:val="right"/>
              <w:ind w:right="983"/>
              <w:spacing w:after="0"/>
              <w:rPr>
                <w:sz w:val="20"/>
                <w:szCs w:val="20"/>
                <w:color w:val="auto"/>
              </w:rPr>
            </w:pPr>
            <w:r>
              <w:rPr>
                <w:rFonts w:ascii="Arial" w:cs="Arial" w:eastAsia="Arial" w:hAnsi="Arial"/>
                <w:sz w:val="14"/>
                <w:szCs w:val="14"/>
                <w:b w:val="1"/>
                <w:bCs w:val="1"/>
                <w:color w:val="auto"/>
              </w:rPr>
              <w:t>Six Months Ended</w:t>
            </w: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4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6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jc w:val="center"/>
              <w:ind w:right="320"/>
              <w:spacing w:after="0" w:line="127" w:lineRule="exact"/>
              <w:rPr>
                <w:sz w:val="20"/>
                <w:szCs w:val="20"/>
                <w:color w:val="auto"/>
              </w:rPr>
            </w:pPr>
            <w:r>
              <w:rPr>
                <w:rFonts w:ascii="Arial" w:cs="Arial" w:eastAsia="Arial" w:hAnsi="Arial"/>
                <w:sz w:val="14"/>
                <w:szCs w:val="14"/>
                <w:b w:val="1"/>
                <w:bCs w:val="1"/>
                <w:color w:val="auto"/>
                <w:w w:val="90"/>
              </w:rPr>
              <w:t>December 30,</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center"/>
              <w:ind w:right="145"/>
              <w:spacing w:after="0" w:line="12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20" w:type="dxa"/>
            <w:vAlign w:val="bottom"/>
            <w:tcBorders>
              <w:top w:val="single" w:sz="8" w:color="auto"/>
            </w:tcBorders>
          </w:tcPr>
          <w:p>
            <w:pPr>
              <w:spacing w:after="0"/>
              <w:rPr>
                <w:sz w:val="11"/>
                <w:szCs w:val="11"/>
                <w:color w:val="auto"/>
              </w:rPr>
            </w:pPr>
          </w:p>
        </w:tc>
        <w:tc>
          <w:tcPr>
            <w:tcW w:w="1400" w:type="dxa"/>
            <w:vAlign w:val="bottom"/>
            <w:tcBorders>
              <w:top w:val="single" w:sz="8" w:color="auto"/>
            </w:tcBorders>
            <w:gridSpan w:val="2"/>
          </w:tcPr>
          <w:p>
            <w:pPr>
              <w:jc w:val="center"/>
              <w:ind w:right="340"/>
              <w:spacing w:after="0" w:line="127" w:lineRule="exact"/>
              <w:rPr>
                <w:sz w:val="20"/>
                <w:szCs w:val="20"/>
                <w:color w:val="auto"/>
              </w:rPr>
            </w:pPr>
            <w:r>
              <w:rPr>
                <w:rFonts w:ascii="Arial" w:cs="Arial" w:eastAsia="Arial" w:hAnsi="Arial"/>
                <w:sz w:val="14"/>
                <w:szCs w:val="14"/>
                <w:b w:val="1"/>
                <w:bCs w:val="1"/>
                <w:color w:val="auto"/>
                <w:w w:val="90"/>
              </w:rPr>
              <w:t>December 30,</w:t>
            </w:r>
          </w:p>
        </w:tc>
        <w:tc>
          <w:tcPr>
            <w:tcW w:w="1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280" w:type="dxa"/>
            <w:vAlign w:val="bottom"/>
            <w:tcBorders>
              <w:top w:val="single" w:sz="8" w:color="auto"/>
            </w:tcBorders>
          </w:tcPr>
          <w:p>
            <w:pPr>
              <w:jc w:val="right"/>
              <w:ind w:right="283"/>
              <w:spacing w:after="0" w:line="127" w:lineRule="exact"/>
              <w:rPr>
                <w:sz w:val="20"/>
                <w:szCs w:val="20"/>
                <w:color w:val="auto"/>
              </w:rPr>
            </w:pPr>
            <w:r>
              <w:rPr>
                <w:rFonts w:ascii="Arial" w:cs="Arial" w:eastAsia="Arial" w:hAnsi="Arial"/>
                <w:sz w:val="14"/>
                <w:szCs w:val="14"/>
                <w:b w:val="1"/>
                <w:bCs w:val="1"/>
                <w:color w:val="auto"/>
                <w:w w:val="98"/>
              </w:rPr>
              <w:t>December 31,</w:t>
            </w: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7"/>
        </w:trPr>
        <w:tc>
          <w:tcPr>
            <w:tcW w:w="4660" w:type="dxa"/>
            <w:vAlign w:val="bottom"/>
            <w:tcBorders>
              <w:bottom w:val="single" w:sz="8" w:color="CCEEFF"/>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6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563"/>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6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Depreciation and amortization</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1,129</w:t>
            </w: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2,393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7"/>
        </w:trPr>
        <w:tc>
          <w:tcPr>
            <w:tcW w:w="4660" w:type="dxa"/>
            <w:vAlign w:val="bottom"/>
            <w:gridSpan w:val="2"/>
          </w:tcPr>
          <w:p>
            <w:pPr>
              <w:spacing w:after="0"/>
              <w:rPr>
                <w:sz w:val="20"/>
                <w:szCs w:val="20"/>
                <w:color w:val="auto"/>
              </w:rPr>
            </w:pPr>
            <w:r>
              <w:rPr>
                <w:rFonts w:ascii="Arial" w:cs="Arial" w:eastAsia="Arial" w:hAnsi="Arial"/>
                <w:sz w:val="17"/>
                <w:szCs w:val="17"/>
                <w:b w:val="1"/>
                <w:bCs w:val="1"/>
                <w:i w:val="1"/>
                <w:iCs w:val="1"/>
                <w:color w:val="auto"/>
              </w:rPr>
              <w:t>Accrued Expenses</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660" w:type="dxa"/>
            <w:vAlign w:val="bottom"/>
            <w:gridSpan w:val="2"/>
          </w:tcPr>
          <w:p>
            <w:pPr>
              <w:ind w:left="480"/>
              <w:spacing w:after="0"/>
              <w:rPr>
                <w:sz w:val="20"/>
                <w:szCs w:val="20"/>
                <w:color w:val="auto"/>
              </w:rPr>
            </w:pPr>
            <w:r>
              <w:rPr>
                <w:rFonts w:ascii="Arial" w:cs="Arial" w:eastAsia="Arial" w:hAnsi="Arial"/>
                <w:sz w:val="17"/>
                <w:szCs w:val="17"/>
                <w:color w:val="auto"/>
              </w:rPr>
              <w:t>Our accrued expenses are summarized below:</w:t>
            </w: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480" w:type="dxa"/>
            <w:vAlign w:val="bottom"/>
          </w:tcPr>
          <w:p>
            <w:pPr>
              <w:spacing w:after="0"/>
              <w:rPr>
                <w:sz w:val="20"/>
                <w:szCs w:val="20"/>
                <w:color w:val="auto"/>
              </w:rPr>
            </w:pPr>
          </w:p>
        </w:tc>
        <w:tc>
          <w:tcPr>
            <w:tcW w:w="41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87"/>
              </w:rPr>
              <w:t>December 30,</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jc w:val="right"/>
              <w:ind w:right="103"/>
              <w:spacing w:after="0"/>
              <w:rPr>
                <w:sz w:val="20"/>
                <w:szCs w:val="20"/>
                <w:color w:val="auto"/>
              </w:rPr>
            </w:pPr>
            <w:r>
              <w:rPr>
                <w:rFonts w:ascii="Arial" w:cs="Arial" w:eastAsia="Arial" w:hAnsi="Arial"/>
                <w:sz w:val="14"/>
                <w:szCs w:val="14"/>
                <w:b w:val="1"/>
                <w:bCs w:val="1"/>
                <w:color w:val="auto"/>
              </w:rPr>
              <w:t>July 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41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13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tcPr>
          <w:p>
            <w:pPr>
              <w:jc w:val="right"/>
              <w:ind w:right="163"/>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compensation and benefits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8,182</w:t>
            </w: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jc w:val="right"/>
              <w:ind w:right="1103"/>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11</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180" w:type="dxa"/>
            <w:vAlign w:val="bottom"/>
          </w:tcPr>
          <w:p>
            <w:pPr>
              <w:ind w:left="20"/>
              <w:spacing w:after="0"/>
              <w:rPr>
                <w:sz w:val="20"/>
                <w:szCs w:val="20"/>
                <w:color w:val="auto"/>
              </w:rPr>
            </w:pPr>
            <w:r>
              <w:rPr>
                <w:rFonts w:ascii="Arial" w:cs="Arial" w:eastAsia="Arial" w:hAnsi="Arial"/>
                <w:sz w:val="17"/>
                <w:szCs w:val="17"/>
                <w:color w:val="auto"/>
              </w:rPr>
              <w:t>Accrued agent commissions</w:t>
            </w: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1,370</w:t>
            </w: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Accrued warranties</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2,549</w:t>
            </w:r>
          </w:p>
        </w:tc>
        <w:tc>
          <w:tcPr>
            <w:tcW w:w="100" w:type="dxa"/>
            <w:vAlign w:val="bottom"/>
            <w:shd w:val="clear" w:color="auto" w:fill="CCEEFF"/>
          </w:tcPr>
          <w:p>
            <w:pPr>
              <w:spacing w:after="0"/>
              <w:rPr>
                <w:sz w:val="19"/>
                <w:szCs w:val="19"/>
                <w:color w:val="auto"/>
              </w:rPr>
            </w:pPr>
          </w:p>
        </w:tc>
        <w:tc>
          <w:tcPr>
            <w:tcW w:w="1280" w:type="dxa"/>
            <w:vAlign w:val="bottom"/>
            <w:tcBorders>
              <w:right w:val="single" w:sz="8" w:color="CCEEFF"/>
            </w:tcBorders>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w:t>
            </w: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3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11,504</w:t>
            </w:r>
          </w:p>
        </w:tc>
        <w:tc>
          <w:tcPr>
            <w:tcW w:w="100" w:type="dxa"/>
            <w:vAlign w:val="bottom"/>
            <w:tcBorders>
              <w:bottom w:val="single" w:sz="8" w:color="CCEEFF"/>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10</w:t>
            </w:r>
          </w:p>
        </w:tc>
        <w:tc>
          <w:tcPr>
            <w:tcW w:w="0" w:type="dxa"/>
            <w:vAlign w:val="bottom"/>
          </w:tcPr>
          <w:p>
            <w:pPr>
              <w:spacing w:after="0"/>
              <w:rPr>
                <w:sz w:val="1"/>
                <w:szCs w:val="1"/>
                <w:color w:val="auto"/>
              </w:rPr>
            </w:pPr>
          </w:p>
        </w:tc>
      </w:tr>
      <w:tr>
        <w:trPr>
          <w:trHeight w:val="235"/>
        </w:trPr>
        <w:tc>
          <w:tcPr>
            <w:tcW w:w="480" w:type="dxa"/>
            <w:vAlign w:val="bottom"/>
          </w:tcPr>
          <w:p>
            <w:pPr>
              <w:spacing w:after="0"/>
              <w:rPr>
                <w:sz w:val="20"/>
                <w:szCs w:val="20"/>
                <w:color w:val="auto"/>
              </w:rPr>
            </w:pPr>
          </w:p>
        </w:tc>
        <w:tc>
          <w:tcPr>
            <w:tcW w:w="418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accrued expenses</w:t>
            </w: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23,605</w:t>
            </w:r>
          </w:p>
        </w:tc>
        <w:tc>
          <w:tcPr>
            <w:tcW w:w="100" w:type="dxa"/>
            <w:vAlign w:val="bottom"/>
            <w:shd w:val="clear" w:color="auto" w:fill="CCEEFF"/>
          </w:tcPr>
          <w:p>
            <w:pPr>
              <w:spacing w:after="0"/>
              <w:rPr>
                <w:sz w:val="20"/>
                <w:szCs w:val="20"/>
                <w:color w:val="auto"/>
              </w:rPr>
            </w:pPr>
          </w:p>
        </w:tc>
        <w:tc>
          <w:tcPr>
            <w:tcW w:w="1280" w:type="dxa"/>
            <w:vAlign w:val="bottom"/>
            <w:tcBorders>
              <w:right w:val="single" w:sz="8" w:color="CCEEFF"/>
            </w:tcBorders>
            <w:shd w:val="clear" w:color="auto" w:fill="CCEEFF"/>
          </w:tcPr>
          <w:p>
            <w:pPr>
              <w:jc w:val="right"/>
              <w:ind w:right="1103"/>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26</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1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Accrued Warranties</w:t>
      </w:r>
    </w:p>
    <w:p>
      <w:pPr>
        <w:spacing w:after="0" w:line="170" w:lineRule="exact"/>
        <w:rPr>
          <w:sz w:val="20"/>
          <w:szCs w:val="20"/>
          <w:color w:val="auto"/>
        </w:rPr>
      </w:pPr>
    </w:p>
    <w:p>
      <w:pPr>
        <w:ind w:right="100" w:firstLine="470"/>
        <w:spacing w:after="0" w:line="288" w:lineRule="auto"/>
        <w:rPr>
          <w:sz w:val="20"/>
          <w:szCs w:val="20"/>
          <w:color w:val="auto"/>
        </w:rPr>
      </w:pPr>
      <w:r>
        <w:rPr>
          <w:rFonts w:ascii="Arial" w:cs="Arial" w:eastAsia="Arial" w:hAnsi="Arial"/>
          <w:sz w:val="17"/>
          <w:szCs w:val="17"/>
          <w:color w:val="auto"/>
        </w:rPr>
        <w:t>We accrue for the estimated cost to repair or replace products under warranty. Changes in our warranty liability, which are included as a component of accrued expenses in our unaudited condensed consolidated balance sheets were as follows: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25" w:right="2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82"/>
        </w:trPr>
        <w:tc>
          <w:tcPr>
            <w:tcW w:w="480" w:type="dxa"/>
            <w:vAlign w:val="bottom"/>
          </w:tcPr>
          <w:p>
            <w:pPr>
              <w:spacing w:after="0"/>
              <w:rPr>
                <w:sz w:val="15"/>
                <w:szCs w:val="15"/>
                <w:color w:val="auto"/>
              </w:rPr>
            </w:pPr>
          </w:p>
        </w:tc>
        <w:tc>
          <w:tcPr>
            <w:tcW w:w="47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60" w:type="dxa"/>
            <w:vAlign w:val="bottom"/>
            <w:gridSpan w:val="6"/>
          </w:tcPr>
          <w:p>
            <w:pPr>
              <w:ind w:left="72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5"/>
                <w:szCs w:val="15"/>
                <w:color w:val="auto"/>
              </w:rPr>
            </w:pPr>
          </w:p>
        </w:tc>
        <w:tc>
          <w:tcPr>
            <w:tcW w:w="2640" w:type="dxa"/>
            <w:vAlign w:val="bottom"/>
            <w:gridSpan w:val="7"/>
          </w:tcPr>
          <w:p>
            <w:pPr>
              <w:jc w:val="right"/>
              <w:ind w:right="6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80" w:type="dxa"/>
            <w:vAlign w:val="bottom"/>
          </w:tcPr>
          <w:p>
            <w:pPr>
              <w:spacing w:after="0"/>
              <w:rPr>
                <w:sz w:val="2"/>
                <w:szCs w:val="2"/>
                <w:color w:val="auto"/>
              </w:rPr>
            </w:pPr>
          </w:p>
        </w:tc>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80" w:type="dxa"/>
            <w:vAlign w:val="bottom"/>
          </w:tcPr>
          <w:p>
            <w:pPr>
              <w:spacing w:after="0"/>
              <w:rPr>
                <w:sz w:val="10"/>
                <w:szCs w:val="10"/>
                <w:color w:val="auto"/>
              </w:rPr>
            </w:pPr>
          </w:p>
        </w:tc>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Borders>
              <w:top w:val="single" w:sz="8" w:color="auto"/>
            </w:tcBorders>
          </w:tcPr>
          <w:p>
            <w:pPr>
              <w:spacing w:after="0"/>
              <w:rPr>
                <w:sz w:val="10"/>
                <w:szCs w:val="10"/>
                <w:color w:val="auto"/>
              </w:rPr>
            </w:pPr>
          </w:p>
        </w:tc>
        <w:tc>
          <w:tcPr>
            <w:tcW w:w="1400" w:type="dxa"/>
            <w:vAlign w:val="bottom"/>
            <w:tcBorders>
              <w:top w:val="single" w:sz="8" w:color="auto"/>
            </w:tcBorders>
            <w:gridSpan w:val="2"/>
          </w:tcPr>
          <w:p>
            <w:pPr>
              <w:ind w:left="120"/>
              <w:spacing w:after="0" w:line="124" w:lineRule="exact"/>
              <w:rPr>
                <w:sz w:val="20"/>
                <w:szCs w:val="20"/>
                <w:color w:val="auto"/>
              </w:rPr>
            </w:pPr>
            <w:r>
              <w:rPr>
                <w:rFonts w:ascii="Arial" w:cs="Arial" w:eastAsia="Arial" w:hAnsi="Arial"/>
                <w:sz w:val="14"/>
                <w:szCs w:val="14"/>
                <w:b w:val="1"/>
                <w:bCs w:val="1"/>
                <w:color w:val="auto"/>
              </w:rPr>
              <w:t>December 30,</w:t>
            </w:r>
          </w:p>
        </w:tc>
        <w:tc>
          <w:tcPr>
            <w:tcW w:w="240" w:type="dxa"/>
            <w:vAlign w:val="bottom"/>
            <w:tcBorders>
              <w:top w:val="single" w:sz="8" w:color="auto"/>
            </w:tcBorders>
          </w:tcPr>
          <w:p>
            <w:pPr>
              <w:spacing w:after="0"/>
              <w:rPr>
                <w:sz w:val="10"/>
                <w:szCs w:val="10"/>
                <w:color w:val="auto"/>
              </w:rPr>
            </w:pPr>
          </w:p>
        </w:tc>
        <w:tc>
          <w:tcPr>
            <w:tcW w:w="1320" w:type="dxa"/>
            <w:vAlign w:val="bottom"/>
            <w:tcBorders>
              <w:top w:val="single" w:sz="8" w:color="auto"/>
            </w:tcBorders>
            <w:gridSpan w:val="2"/>
          </w:tcPr>
          <w:p>
            <w:pPr>
              <w:jc w:val="center"/>
              <w:ind w:right="153"/>
              <w:spacing w:after="0" w:line="124" w:lineRule="exact"/>
              <w:rPr>
                <w:sz w:val="20"/>
                <w:szCs w:val="20"/>
                <w:color w:val="auto"/>
              </w:rPr>
            </w:pPr>
            <w:r>
              <w:rPr>
                <w:rFonts w:ascii="Arial" w:cs="Arial" w:eastAsia="Arial" w:hAnsi="Arial"/>
                <w:sz w:val="14"/>
                <w:szCs w:val="14"/>
                <w:b w:val="1"/>
                <w:bCs w:val="1"/>
                <w:color w:val="auto"/>
                <w:w w:val="87"/>
              </w:rPr>
              <w:t>December 31,</w:t>
            </w:r>
          </w:p>
        </w:tc>
        <w:tc>
          <w:tcPr>
            <w:tcW w:w="10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right"/>
              <w:ind w:right="19"/>
              <w:spacing w:after="0" w:line="124" w:lineRule="exact"/>
              <w:rPr>
                <w:sz w:val="20"/>
                <w:szCs w:val="20"/>
                <w:color w:val="auto"/>
              </w:rPr>
            </w:pPr>
            <w:r>
              <w:rPr>
                <w:rFonts w:ascii="Arial" w:cs="Arial" w:eastAsia="Arial" w:hAnsi="Arial"/>
                <w:sz w:val="14"/>
                <w:szCs w:val="14"/>
                <w:b w:val="1"/>
                <w:bCs w:val="1"/>
                <w:color w:val="auto"/>
              </w:rPr>
              <w:t>December 30,</w:t>
            </w:r>
          </w:p>
        </w:tc>
        <w:tc>
          <w:tcPr>
            <w:tcW w:w="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right"/>
              <w:spacing w:after="0" w:line="124"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9"/>
        </w:trPr>
        <w:tc>
          <w:tcPr>
            <w:tcW w:w="480" w:type="dxa"/>
            <w:vAlign w:val="bottom"/>
          </w:tcPr>
          <w:p>
            <w:pPr>
              <w:spacing w:after="0"/>
              <w:rPr>
                <w:sz w:val="16"/>
                <w:szCs w:val="16"/>
                <w:color w:val="auto"/>
              </w:rPr>
            </w:pPr>
          </w:p>
        </w:tc>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279"/>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as of the beginning of the period</w:t>
            </w:r>
          </w:p>
        </w:tc>
        <w:tc>
          <w:tcPr>
            <w:tcW w:w="26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3,318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60" w:type="dxa"/>
            <w:vAlign w:val="bottom"/>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2,913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700" w:type="dxa"/>
            <w:vAlign w:val="bottom"/>
          </w:tcPr>
          <w:p>
            <w:pPr>
              <w:ind w:left="200"/>
              <w:spacing w:after="0"/>
              <w:rPr>
                <w:sz w:val="20"/>
                <w:szCs w:val="20"/>
                <w:color w:val="auto"/>
              </w:rPr>
            </w:pPr>
            <w:r>
              <w:rPr>
                <w:rFonts w:ascii="Arial" w:cs="Arial" w:eastAsia="Arial" w:hAnsi="Arial"/>
                <w:sz w:val="17"/>
                <w:szCs w:val="17"/>
                <w:color w:val="auto"/>
              </w:rPr>
              <w:t>Warranty provision recorded during the period</w:t>
            </w:r>
          </w:p>
        </w:tc>
        <w:tc>
          <w:tcPr>
            <w:tcW w:w="26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199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gridSpan w:val="2"/>
          </w:tcPr>
          <w:p>
            <w:pPr>
              <w:jc w:val="right"/>
              <w:spacing w:after="0"/>
              <w:rPr>
                <w:sz w:val="20"/>
                <w:szCs w:val="20"/>
                <w:color w:val="auto"/>
              </w:rPr>
            </w:pPr>
            <w:r>
              <w:rPr>
                <w:rFonts w:ascii="Arial" w:cs="Arial" w:eastAsia="Arial" w:hAnsi="Arial"/>
                <w:sz w:val="17"/>
                <w:szCs w:val="17"/>
                <w:color w:val="auto"/>
              </w:rPr>
              <w:t>341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gridSpan w:val="4"/>
          </w:tcPr>
          <w:p>
            <w:pPr>
              <w:jc w:val="right"/>
              <w:ind w:right="80"/>
              <w:spacing w:after="0"/>
              <w:rPr>
                <w:sz w:val="20"/>
                <w:szCs w:val="20"/>
                <w:color w:val="auto"/>
              </w:rPr>
            </w:pPr>
            <w:r>
              <w:rPr>
                <w:rFonts w:ascii="Arial" w:cs="Arial" w:eastAsia="Arial" w:hAnsi="Arial"/>
                <w:sz w:val="17"/>
                <w:szCs w:val="17"/>
                <w:color w:val="auto"/>
              </w:rPr>
              <w:t>374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Assumed in Redline acquisition</w:t>
            </w:r>
          </w:p>
        </w:tc>
        <w:tc>
          <w:tcPr>
            <w:tcW w:w="2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4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80" w:type="dxa"/>
            <w:vAlign w:val="bottom"/>
            <w:gridSpan w:val="3"/>
            <w:shd w:val="clear" w:color="auto" w:fill="CCEEFF"/>
          </w:tcPr>
          <w:p>
            <w:pPr>
              <w:jc w:val="right"/>
              <w:ind w:right="80"/>
              <w:spacing w:after="0"/>
              <w:rPr>
                <w:sz w:val="20"/>
                <w:szCs w:val="20"/>
                <w:color w:val="auto"/>
              </w:rPr>
            </w:pPr>
            <w:r>
              <w:rPr>
                <w:rFonts w:ascii="Arial" w:cs="Arial" w:eastAsia="Arial" w:hAnsi="Arial"/>
                <w:sz w:val="17"/>
                <w:szCs w:val="17"/>
                <w:color w:val="auto"/>
                <w:w w:val="94"/>
              </w:rPr>
              <w:t>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70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Consumption during the period</w:t>
            </w:r>
          </w:p>
        </w:tc>
        <w:tc>
          <w:tcPr>
            <w:tcW w:w="2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(461)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4"/>
          </w:tcPr>
          <w:p>
            <w:pPr>
              <w:jc w:val="right"/>
              <w:ind w:right="40"/>
              <w:spacing w:after="0"/>
              <w:rPr>
                <w:sz w:val="20"/>
                <w:szCs w:val="20"/>
                <w:color w:val="auto"/>
              </w:rPr>
            </w:pPr>
            <w:r>
              <w:rPr>
                <w:rFonts w:ascii="Arial" w:cs="Arial" w:eastAsia="Arial" w:hAnsi="Arial"/>
                <w:sz w:val="17"/>
                <w:szCs w:val="17"/>
                <w:color w:val="auto"/>
              </w:rPr>
              <w:t>(793)</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480" w:type="dxa"/>
            <w:vAlign w:val="bottom"/>
          </w:tcPr>
          <w:p>
            <w:pPr>
              <w:spacing w:after="0"/>
              <w:rPr>
                <w:sz w:val="18"/>
                <w:szCs w:val="18"/>
                <w:color w:val="auto"/>
              </w:rPr>
            </w:pPr>
          </w:p>
        </w:tc>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Balance as of the end of the period</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2,549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3,198</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360" w:type="dxa"/>
            <w:vAlign w:val="bottom"/>
            <w:tcBorders>
              <w:bottom w:val="single" w:sz="8" w:color="auto"/>
            </w:tcBorders>
            <w:gridSpan w:val="4"/>
            <w:shd w:val="clear" w:color="auto" w:fill="CCEEFF"/>
          </w:tcPr>
          <w:p>
            <w:pPr>
              <w:jc w:val="right"/>
              <w:ind w:right="80"/>
              <w:spacing w:after="0"/>
              <w:rPr>
                <w:sz w:val="20"/>
                <w:szCs w:val="20"/>
                <w:color w:val="auto"/>
              </w:rPr>
            </w:pPr>
            <w:r>
              <w:rPr>
                <w:rFonts w:ascii="Arial" w:cs="Arial" w:eastAsia="Arial" w:hAnsi="Arial"/>
                <w:sz w:val="17"/>
                <w:szCs w:val="17"/>
                <w:color w:val="auto"/>
              </w:rPr>
              <w:t>2,549</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70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3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9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80" w:type="dxa"/>
            <w:vAlign w:val="bottom"/>
            <w:gridSpan w:val="2"/>
            <w:vMerge w:val="restart"/>
          </w:tcPr>
          <w:p>
            <w:pPr>
              <w:spacing w:after="0"/>
              <w:rPr>
                <w:sz w:val="20"/>
                <w:szCs w:val="20"/>
                <w:color w:val="auto"/>
              </w:rPr>
            </w:pPr>
            <w:r>
              <w:rPr>
                <w:rFonts w:ascii="Arial" w:cs="Arial" w:eastAsia="Arial" w:hAnsi="Arial"/>
                <w:sz w:val="17"/>
                <w:szCs w:val="17"/>
                <w:b w:val="1"/>
                <w:bCs w:val="1"/>
                <w:i w:val="1"/>
                <w:iCs w:val="1"/>
                <w:color w:val="auto"/>
              </w:rPr>
              <w:t>Advance Payments and Unearned Revenue</w:t>
            </w: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6"/>
        </w:trPr>
        <w:tc>
          <w:tcPr>
            <w:tcW w:w="5180" w:type="dxa"/>
            <w:vAlign w:val="bottom"/>
            <w:gridSpan w:val="2"/>
            <w:vMerge w:val="continue"/>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5440" w:type="dxa"/>
            <w:vAlign w:val="bottom"/>
            <w:gridSpan w:val="3"/>
          </w:tcPr>
          <w:p>
            <w:pPr>
              <w:ind w:left="480"/>
              <w:spacing w:after="0"/>
              <w:rPr>
                <w:sz w:val="20"/>
                <w:szCs w:val="20"/>
                <w:color w:val="auto"/>
              </w:rPr>
            </w:pPr>
            <w:r>
              <w:rPr>
                <w:rFonts w:ascii="Arial" w:cs="Arial" w:eastAsia="Arial" w:hAnsi="Arial"/>
                <w:sz w:val="17"/>
                <w:szCs w:val="17"/>
                <w:color w:val="auto"/>
                <w:w w:val="92"/>
              </w:rPr>
              <w:t>Our advance payments and unearned revenue are summarized below:</w:t>
            </w: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480" w:type="dxa"/>
            <w:vAlign w:val="bottom"/>
          </w:tcPr>
          <w:p>
            <w:pPr>
              <w:spacing w:after="0"/>
              <w:rPr>
                <w:sz w:val="21"/>
                <w:szCs w:val="21"/>
                <w:color w:val="auto"/>
              </w:rPr>
            </w:pPr>
          </w:p>
        </w:tc>
        <w:tc>
          <w:tcPr>
            <w:tcW w:w="470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ind w:left="20"/>
              <w:spacing w:after="0"/>
              <w:rPr>
                <w:sz w:val="20"/>
                <w:szCs w:val="20"/>
                <w:color w:val="auto"/>
              </w:rPr>
            </w:pPr>
            <w:r>
              <w:rPr>
                <w:rFonts w:ascii="Arial" w:cs="Arial" w:eastAsia="Arial" w:hAnsi="Arial"/>
                <w:sz w:val="14"/>
                <w:szCs w:val="14"/>
                <w:b w:val="1"/>
                <w:bCs w:val="1"/>
                <w:color w:val="auto"/>
              </w:rPr>
              <w:t>December 30,</w:t>
            </w:r>
          </w:p>
        </w:tc>
        <w:tc>
          <w:tcPr>
            <w:tcW w:w="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ind w:right="240"/>
              <w:spacing w:after="0"/>
              <w:rPr>
                <w:sz w:val="20"/>
                <w:szCs w:val="20"/>
                <w:color w:val="auto"/>
              </w:rPr>
            </w:pPr>
            <w:r>
              <w:rPr>
                <w:rFonts w:ascii="Arial" w:cs="Arial" w:eastAsia="Arial" w:hAnsi="Arial"/>
                <w:sz w:val="14"/>
                <w:szCs w:val="14"/>
                <w:b w:val="1"/>
                <w:bCs w:val="1"/>
                <w:color w:val="auto"/>
              </w:rPr>
              <w:t>July 1,</w:t>
            </w:r>
          </w:p>
        </w:tc>
        <w:tc>
          <w:tcPr>
            <w:tcW w:w="0" w:type="dxa"/>
            <w:vAlign w:val="bottom"/>
          </w:tcPr>
          <w:p>
            <w:pPr>
              <w:spacing w:after="0"/>
              <w:rPr>
                <w:sz w:val="1"/>
                <w:szCs w:val="1"/>
                <w:color w:val="auto"/>
              </w:rPr>
            </w:pPr>
          </w:p>
        </w:tc>
      </w:tr>
      <w:tr>
        <w:trPr>
          <w:trHeight w:val="187"/>
        </w:trPr>
        <w:tc>
          <w:tcPr>
            <w:tcW w:w="480" w:type="dxa"/>
            <w:vAlign w:val="bottom"/>
          </w:tcPr>
          <w:p>
            <w:pPr>
              <w:spacing w:after="0"/>
              <w:rPr>
                <w:sz w:val="16"/>
                <w:szCs w:val="16"/>
                <w:color w:val="auto"/>
              </w:rPr>
            </w:pPr>
          </w:p>
        </w:tc>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13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CCEEFF"/>
            </w:tcBorders>
          </w:tcPr>
          <w:p>
            <w:pPr>
              <w:spacing w:after="0"/>
              <w:rPr>
                <w:sz w:val="16"/>
                <w:szCs w:val="16"/>
                <w:color w:val="auto"/>
              </w:rPr>
            </w:pPr>
          </w:p>
        </w:tc>
        <w:tc>
          <w:tcPr>
            <w:tcW w:w="94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639"/>
              <w:spacing w:after="0"/>
              <w:rPr>
                <w:sz w:val="20"/>
                <w:szCs w:val="20"/>
                <w:color w:val="auto"/>
              </w:rPr>
            </w:pPr>
            <w:r>
              <w:rPr>
                <w:rFonts w:ascii="Arial" w:cs="Arial" w:eastAsia="Arial" w:hAnsi="Arial"/>
                <w:sz w:val="14"/>
                <w:szCs w:val="14"/>
                <w:b w:val="1"/>
                <w:bCs w:val="1"/>
                <w:color w:val="auto"/>
              </w:rPr>
              <w:t>2022</w:t>
            </w:r>
          </w:p>
        </w:tc>
        <w:tc>
          <w:tcPr>
            <w:tcW w:w="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0"/>
        </w:trPr>
        <w:tc>
          <w:tcPr>
            <w:tcW w:w="480" w:type="dxa"/>
            <w:vAlign w:val="bottom"/>
          </w:tcPr>
          <w:p>
            <w:pPr>
              <w:spacing w:after="0"/>
              <w:rPr>
                <w:sz w:val="19"/>
                <w:szCs w:val="19"/>
                <w:color w:val="auto"/>
              </w:rPr>
            </w:pPr>
          </w:p>
        </w:tc>
        <w:tc>
          <w:tcPr>
            <w:tcW w:w="47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payments</w:t>
            </w:r>
          </w:p>
        </w:tc>
        <w:tc>
          <w:tcPr>
            <w:tcW w:w="26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2,884</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2"/>
        </w:trPr>
        <w:tc>
          <w:tcPr>
            <w:tcW w:w="480" w:type="dxa"/>
            <w:vAlign w:val="bottom"/>
          </w:tcPr>
          <w:p>
            <w:pPr>
              <w:spacing w:after="0"/>
              <w:rPr>
                <w:sz w:val="19"/>
                <w:szCs w:val="19"/>
                <w:color w:val="auto"/>
              </w:rPr>
            </w:pPr>
          </w:p>
        </w:tc>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Unearned revenue</w:t>
            </w:r>
          </w:p>
        </w:tc>
        <w:tc>
          <w:tcPr>
            <w:tcW w:w="26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35,986</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31</w:t>
            </w:r>
          </w:p>
        </w:tc>
        <w:tc>
          <w:tcPr>
            <w:tcW w:w="0" w:type="dxa"/>
            <w:vAlign w:val="bottom"/>
          </w:tcPr>
          <w:p>
            <w:pPr>
              <w:spacing w:after="0"/>
              <w:rPr>
                <w:sz w:val="1"/>
                <w:szCs w:val="1"/>
                <w:color w:val="auto"/>
              </w:rPr>
            </w:pPr>
          </w:p>
        </w:tc>
      </w:tr>
      <w:tr>
        <w:trPr>
          <w:trHeight w:val="235"/>
        </w:trPr>
        <w:tc>
          <w:tcPr>
            <w:tcW w:w="480" w:type="dxa"/>
            <w:vAlign w:val="bottom"/>
          </w:tcPr>
          <w:p>
            <w:pPr>
              <w:spacing w:after="0"/>
              <w:rPr>
                <w:sz w:val="20"/>
                <w:szCs w:val="20"/>
                <w:color w:val="auto"/>
              </w:rPr>
            </w:pPr>
          </w:p>
        </w:tc>
        <w:tc>
          <w:tcPr>
            <w:tcW w:w="4700" w:type="dxa"/>
            <w:vAlign w:val="bottom"/>
            <w:shd w:val="clear" w:color="auto" w:fill="CCEEFF"/>
          </w:tcPr>
          <w:p>
            <w:pPr>
              <w:ind w:left="200"/>
              <w:spacing w:after="0"/>
              <w:rPr>
                <w:sz w:val="20"/>
                <w:szCs w:val="20"/>
                <w:color w:val="auto"/>
              </w:rPr>
            </w:pPr>
            <w:r>
              <w:rPr>
                <w:rFonts w:ascii="Arial" w:cs="Arial" w:eastAsia="Arial" w:hAnsi="Arial"/>
                <w:sz w:val="17"/>
                <w:szCs w:val="17"/>
                <w:color w:val="auto"/>
              </w:rPr>
              <w:t>Total advance payments and unearned revenue</w:t>
            </w:r>
          </w:p>
        </w:tc>
        <w:tc>
          <w:tcPr>
            <w:tcW w:w="26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73"/>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38,870</w:t>
            </w:r>
          </w:p>
        </w:tc>
        <w:tc>
          <w:tcPr>
            <w:tcW w:w="2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4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Excluded from the balances above are $7.8 million and $8.9 million in long-term unearned revenue as of December 30, 2022 and July 1, 2022, respectively.</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3. Fair Value Measurements of Assets and Liabilities</w:t>
      </w:r>
    </w:p>
    <w:p>
      <w:pPr>
        <w:spacing w:after="0" w:line="176"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6"/>
          <w:szCs w:val="16"/>
          <w:color w:val="auto"/>
        </w:rPr>
        <w:t>Fair value is defined as the price that would be received to sell an asset or paid to transfer a liability in the principal market (or most advantageous market in the absence of a principal market) for the asset or liability in an orderly transaction between market participants as of the measurement date. We maximize the use of observable inputs and minimize the use of unobservable inputs in measuring fair value and establish a three-level fair value hierarchy that prioritizes the inputs used to measure fair value. The three levels of inputs used to measure fair value are as follows:</w:t>
      </w:r>
    </w:p>
    <w:p>
      <w:pPr>
        <w:spacing w:after="0" w:line="110" w:lineRule="exact"/>
        <w:rPr>
          <w:sz w:val="20"/>
          <w:szCs w:val="20"/>
          <w:color w:val="auto"/>
        </w:rPr>
      </w:pPr>
    </w:p>
    <w:p>
      <w:pPr>
        <w:ind w:left="940" w:hanging="308"/>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1 — Observable inputs such as quoted prices in active markets for identical assets or liabilities;</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3"/>
        </w:numPr>
        <w:rPr>
          <w:rFonts w:ascii="Arial" w:cs="Arial" w:eastAsia="Arial" w:hAnsi="Arial"/>
          <w:sz w:val="17"/>
          <w:szCs w:val="17"/>
          <w:color w:val="auto"/>
        </w:rPr>
      </w:pPr>
      <w:r>
        <w:rPr>
          <w:rFonts w:ascii="Arial" w:cs="Arial" w:eastAsia="Arial" w:hAnsi="Arial"/>
          <w:sz w:val="17"/>
          <w:szCs w:val="17"/>
          <w:color w:val="auto"/>
        </w:rPr>
        <w:t>Level 2 — Observable market-based inputs or observable inputs that are corroborated by market data; and</w:t>
      </w:r>
    </w:p>
    <w:p>
      <w:pPr>
        <w:spacing w:after="0" w:line="65" w:lineRule="exact"/>
        <w:rPr>
          <w:rFonts w:ascii="Arial" w:cs="Arial" w:eastAsia="Arial" w:hAnsi="Arial"/>
          <w:sz w:val="17"/>
          <w:szCs w:val="17"/>
          <w:color w:val="auto"/>
        </w:rPr>
      </w:pPr>
    </w:p>
    <w:p>
      <w:pPr>
        <w:ind w:left="940" w:hanging="308"/>
        <w:spacing w:after="0"/>
        <w:tabs>
          <w:tab w:leader="none" w:pos="940" w:val="left"/>
        </w:tabs>
        <w:numPr>
          <w:ilvl w:val="0"/>
          <w:numId w:val="3"/>
        </w:numPr>
        <w:rPr>
          <w:rFonts w:ascii="Arial" w:cs="Arial" w:eastAsia="Arial" w:hAnsi="Arial"/>
          <w:sz w:val="16"/>
          <w:szCs w:val="16"/>
          <w:color w:val="auto"/>
        </w:rPr>
      </w:pPr>
      <w:r>
        <w:rPr>
          <w:rFonts w:ascii="Arial" w:cs="Arial" w:eastAsia="Arial" w:hAnsi="Arial"/>
          <w:sz w:val="16"/>
          <w:szCs w:val="16"/>
          <w:color w:val="auto"/>
        </w:rPr>
        <w:t>Level 3 — Unobservable inputs that are supported by little or no market activity and that are significant to the fair value of the assets or liabilities.</w:t>
      </w:r>
    </w:p>
    <w:p>
      <w:pPr>
        <w:spacing w:after="0" w:line="182"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fair values, and valuation input levels of our assets and liabilities that are measured at fair value on a recurring basis as of December 30, 2022 and</w:t>
      </w:r>
    </w:p>
    <w:p>
      <w:pPr>
        <w:spacing w:after="0" w:line="37" w:lineRule="exact"/>
        <w:rPr>
          <w:sz w:val="20"/>
          <w:szCs w:val="20"/>
          <w:color w:val="auto"/>
        </w:rPr>
      </w:pPr>
    </w:p>
    <w:p>
      <w:pPr>
        <w:spacing w:after="0"/>
        <w:rPr>
          <w:sz w:val="20"/>
          <w:szCs w:val="20"/>
          <w:color w:val="auto"/>
        </w:rPr>
      </w:pPr>
      <w:r>
        <w:rPr>
          <w:rFonts w:ascii="Arial" w:cs="Arial" w:eastAsia="Arial" w:hAnsi="Arial"/>
          <w:sz w:val="17"/>
          <w:szCs w:val="17"/>
          <w:color w:val="auto"/>
        </w:rPr>
        <w:t>July 1, 2022 were as follows:</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December 30, 2022</w:t>
            </w:r>
          </w:p>
        </w:tc>
        <w:tc>
          <w:tcPr>
            <w:tcW w:w="280" w:type="dxa"/>
            <w:vAlign w:val="bottom"/>
          </w:tcPr>
          <w:p>
            <w:pPr>
              <w:spacing w:after="0"/>
              <w:rPr>
                <w:sz w:val="15"/>
                <w:szCs w:val="15"/>
                <w:color w:val="auto"/>
              </w:rPr>
            </w:pPr>
          </w:p>
        </w:tc>
        <w:tc>
          <w:tcPr>
            <w:tcW w:w="1280" w:type="dxa"/>
            <w:vAlign w:val="bottom"/>
          </w:tcPr>
          <w:p>
            <w:pPr>
              <w:jc w:val="right"/>
              <w:ind w:right="340"/>
              <w:spacing w:after="0"/>
              <w:rPr>
                <w:sz w:val="20"/>
                <w:szCs w:val="20"/>
                <w:color w:val="auto"/>
              </w:rPr>
            </w:pPr>
            <w:r>
              <w:rPr>
                <w:rFonts w:ascii="Arial" w:cs="Arial" w:eastAsia="Arial" w:hAnsi="Arial"/>
                <w:sz w:val="14"/>
                <w:szCs w:val="14"/>
                <w:b w:val="1"/>
                <w:bCs w:val="1"/>
                <w:color w:val="auto"/>
              </w:rPr>
              <w:t>July 1, 2022</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r>
        <w:trPr>
          <w:trHeight w:val="23"/>
        </w:trPr>
        <w:tc>
          <w:tcPr>
            <w:tcW w:w="626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323"/>
        </w:trPr>
        <w:tc>
          <w:tcPr>
            <w:tcW w:w="636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60" w:type="dxa"/>
            <w:vAlign w:val="bottom"/>
          </w:tcPr>
          <w:p>
            <w:pPr>
              <w:spacing w:after="0"/>
              <w:rPr>
                <w:sz w:val="24"/>
                <w:szCs w:val="24"/>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Fair Value</w:t>
            </w:r>
          </w:p>
        </w:tc>
        <w:tc>
          <w:tcPr>
            <w:tcW w:w="280" w:type="dxa"/>
            <w:vAlign w:val="bottom"/>
          </w:tcPr>
          <w:p>
            <w:pPr>
              <w:spacing w:after="0"/>
              <w:rPr>
                <w:sz w:val="24"/>
                <w:szCs w:val="24"/>
                <w:color w:val="auto"/>
              </w:rPr>
            </w:pPr>
          </w:p>
        </w:tc>
        <w:tc>
          <w:tcPr>
            <w:tcW w:w="1280" w:type="dxa"/>
            <w:vAlign w:val="bottom"/>
          </w:tcPr>
          <w:p>
            <w:pPr>
              <w:jc w:val="right"/>
              <w:ind w:right="380"/>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1"/>
              </w:rPr>
              <w:t>Valuation Inputs</w:t>
            </w:r>
          </w:p>
        </w:tc>
      </w:tr>
      <w:tr>
        <w:trPr>
          <w:trHeight w:val="23"/>
        </w:trPr>
        <w:tc>
          <w:tcPr>
            <w:tcW w:w="62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2"/>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7"/>
                <w:szCs w:val="17"/>
                <w:b w:val="1"/>
                <w:bCs w:val="1"/>
                <w:color w:val="auto"/>
              </w:rPr>
              <w:t>Assets:</w:t>
            </w:r>
          </w:p>
        </w:tc>
        <w:tc>
          <w:tcPr>
            <w:tcW w:w="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r>
      <w:tr>
        <w:trPr>
          <w:trHeight w:val="222"/>
        </w:trPr>
        <w:tc>
          <w:tcPr>
            <w:tcW w:w="6360" w:type="dxa"/>
            <w:vAlign w:val="bottom"/>
            <w:gridSpan w:val="2"/>
          </w:tcPr>
          <w:p>
            <w:pPr>
              <w:ind w:left="20"/>
              <w:spacing w:after="0"/>
              <w:rPr>
                <w:sz w:val="20"/>
                <w:szCs w:val="20"/>
                <w:color w:val="auto"/>
              </w:rPr>
            </w:pPr>
            <w:r>
              <w:rPr>
                <w:rFonts w:ascii="Arial" w:cs="Arial" w:eastAsia="Arial" w:hAnsi="Arial"/>
                <w:sz w:val="17"/>
                <w:szCs w:val="17"/>
                <w:color w:val="auto"/>
              </w:rPr>
              <w:t>Cash and cash equivalents:</w:t>
            </w:r>
          </w:p>
        </w:tc>
        <w:tc>
          <w:tcPr>
            <w:tcW w:w="16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r>
      <w:tr>
        <w:trPr>
          <w:trHeight w:val="222"/>
        </w:trPr>
        <w:tc>
          <w:tcPr>
            <w:tcW w:w="6360" w:type="dxa"/>
            <w:vAlign w:val="bottom"/>
            <w:gridSpan w:val="2"/>
            <w:shd w:val="clear" w:color="auto" w:fill="CCEEFF"/>
          </w:tcPr>
          <w:p>
            <w:pPr>
              <w:ind w:left="340"/>
              <w:spacing w:after="0"/>
              <w:rPr>
                <w:sz w:val="20"/>
                <w:szCs w:val="20"/>
                <w:color w:val="auto"/>
              </w:rPr>
            </w:pPr>
            <w:r>
              <w:rPr>
                <w:rFonts w:ascii="Arial" w:cs="Arial" w:eastAsia="Arial" w:hAnsi="Arial"/>
                <w:sz w:val="17"/>
                <w:szCs w:val="17"/>
                <w:color w:val="auto"/>
              </w:rPr>
              <w:t>Money market funds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5,599</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5,367</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Level 1</w:t>
            </w:r>
          </w:p>
        </w:tc>
      </w:tr>
      <w:tr>
        <w:trPr>
          <w:trHeight w:val="222"/>
        </w:trPr>
        <w:tc>
          <w:tcPr>
            <w:tcW w:w="6360" w:type="dxa"/>
            <w:vAlign w:val="bottom"/>
            <w:gridSpan w:val="2"/>
          </w:tcPr>
          <w:p>
            <w:pPr>
              <w:ind w:left="340"/>
              <w:spacing w:after="0"/>
              <w:rPr>
                <w:sz w:val="20"/>
                <w:szCs w:val="20"/>
                <w:color w:val="auto"/>
              </w:rPr>
            </w:pPr>
            <w:r>
              <w:rPr>
                <w:rFonts w:ascii="Arial" w:cs="Arial" w:eastAsia="Arial" w:hAnsi="Arial"/>
                <w:sz w:val="17"/>
                <w:szCs w:val="17"/>
                <w:color w:val="auto"/>
              </w:rPr>
              <w:t>Bank certificates of deposit</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3,569</w:t>
            </w:r>
          </w:p>
        </w:tc>
        <w:tc>
          <w:tcPr>
            <w:tcW w:w="100" w:type="dxa"/>
            <w:vAlign w:val="bottom"/>
          </w:tcPr>
          <w:p>
            <w:pPr>
              <w:spacing w:after="0"/>
              <w:rPr>
                <w:sz w:val="19"/>
                <w:szCs w:val="19"/>
                <w:color w:val="auto"/>
              </w:rPr>
            </w:pPr>
          </w:p>
        </w:tc>
        <w:tc>
          <w:tcPr>
            <w:tcW w:w="280" w:type="dxa"/>
            <w:vAlign w:val="bottom"/>
          </w:tcPr>
          <w:p>
            <w:pPr>
              <w:jc w:val="right"/>
              <w:ind w:right="73"/>
              <w:spacing w:after="0"/>
              <w:rPr>
                <w:sz w:val="20"/>
                <w:szCs w:val="20"/>
                <w:color w:val="auto"/>
              </w:rPr>
            </w:pPr>
            <w:r>
              <w:rPr>
                <w:rFonts w:ascii="Arial" w:cs="Arial" w:eastAsia="Arial" w:hAnsi="Arial"/>
                <w:sz w:val="17"/>
                <w:szCs w:val="17"/>
                <w:color w:val="auto"/>
              </w:rPr>
              <w:t>$</w:t>
            </w:r>
          </w:p>
        </w:tc>
        <w:tc>
          <w:tcPr>
            <w:tcW w:w="1280" w:type="dxa"/>
            <w:vAlign w:val="bottom"/>
          </w:tcPr>
          <w:p>
            <w:pPr>
              <w:jc w:val="right"/>
              <w:spacing w:after="0"/>
              <w:rPr>
                <w:sz w:val="20"/>
                <w:szCs w:val="20"/>
                <w:color w:val="auto"/>
              </w:rPr>
            </w:pPr>
            <w:r>
              <w:rPr>
                <w:rFonts w:ascii="Arial" w:cs="Arial" w:eastAsia="Arial" w:hAnsi="Arial"/>
                <w:sz w:val="17"/>
                <w:szCs w:val="17"/>
                <w:color w:val="auto"/>
              </w:rPr>
              <w:t>3,682</w:t>
            </w:r>
          </w:p>
        </w:tc>
        <w:tc>
          <w:tcPr>
            <w:tcW w:w="100" w:type="dxa"/>
            <w:vAlign w:val="bottom"/>
          </w:tcPr>
          <w:p>
            <w:pPr>
              <w:spacing w:after="0"/>
              <w:rPr>
                <w:sz w:val="19"/>
                <w:szCs w:val="19"/>
                <w:color w:val="auto"/>
              </w:rPr>
            </w:pPr>
          </w:p>
        </w:tc>
        <w:tc>
          <w:tcPr>
            <w:tcW w:w="1560" w:type="dxa"/>
            <w:vAlign w:val="bottom"/>
          </w:tcPr>
          <w:p>
            <w:pPr>
              <w:jc w:val="center"/>
              <w:spacing w:after="0"/>
              <w:rPr>
                <w:sz w:val="20"/>
                <w:szCs w:val="20"/>
                <w:color w:val="auto"/>
              </w:rPr>
            </w:pPr>
            <w:r>
              <w:rPr>
                <w:rFonts w:ascii="Arial" w:cs="Arial" w:eastAsia="Arial" w:hAnsi="Arial"/>
                <w:sz w:val="17"/>
                <w:szCs w:val="17"/>
                <w:color w:val="auto"/>
                <w:w w:val="94"/>
              </w:rPr>
              <w:t>Level 2</w:t>
            </w:r>
          </w:p>
        </w:tc>
      </w:tr>
      <w:tr>
        <w:trPr>
          <w:trHeight w:val="222"/>
        </w:trPr>
        <w:tc>
          <w:tcPr>
            <w:tcW w:w="63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Marketable securities</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3"/>
              <w:spacing w:after="0"/>
              <w:rPr>
                <w:sz w:val="20"/>
                <w:szCs w:val="20"/>
                <w:color w:val="auto"/>
              </w:rPr>
            </w:pPr>
            <w:r>
              <w:rPr>
                <w:rFonts w:ascii="Arial" w:cs="Arial" w:eastAsia="Arial" w:hAnsi="Arial"/>
                <w:sz w:val="17"/>
                <w:szCs w:val="17"/>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10,893</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4"/>
              </w:rPr>
              <w:t>Level 1</w:t>
            </w:r>
          </w:p>
        </w:tc>
      </w:tr>
    </w:tbl>
    <w:p>
      <w:pPr>
        <w:spacing w:after="0" w:line="236"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We classify items within Level 1 if quoted prices are available in active markets. Our Level 1 items mainly are money market funds. As of December 30, 2022 and July 1, 2022, these money market funds were valued at $1.00 net asset value per share.</w:t>
      </w:r>
    </w:p>
    <w:p>
      <w:pPr>
        <w:spacing w:after="0" w:line="106"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Our marketable securities are included in current assets on our balance sheet as they are available to be converted into cash to fund current operations. These marketable securities are publicly traded stock measured at fair value and classified</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189" w:right="2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within Level 1. For the six months ended December 30, 2022 we recognized a loss of $1.7 million associated with the sales of our marketable securities.</w:t>
      </w:r>
    </w:p>
    <w:p>
      <w:pPr>
        <w:spacing w:after="0" w:line="182" w:lineRule="exact"/>
        <w:rPr>
          <w:sz w:val="20"/>
          <w:szCs w:val="20"/>
          <w:color w:val="auto"/>
        </w:rPr>
      </w:pPr>
    </w:p>
    <w:p>
      <w:pPr>
        <w:ind w:right="560" w:firstLine="470"/>
        <w:spacing w:after="0" w:line="321" w:lineRule="auto"/>
        <w:rPr>
          <w:sz w:val="20"/>
          <w:szCs w:val="20"/>
          <w:color w:val="auto"/>
        </w:rPr>
      </w:pPr>
      <w:r>
        <w:rPr>
          <w:rFonts w:ascii="Arial" w:cs="Arial" w:eastAsia="Arial" w:hAnsi="Arial"/>
          <w:sz w:val="16"/>
          <w:szCs w:val="16"/>
          <w:color w:val="auto"/>
        </w:rPr>
        <w:t>We classify items in Level 2 if the observable inputs to quoted market prices, benchmark yields, reported trades, broker/dealer quotes, or alternative pricing sources are available with reasonable levels of price transparency. Our bank certificates of deposit are classified within Level 2.</w:t>
      </w:r>
    </w:p>
    <w:p>
      <w:pPr>
        <w:spacing w:after="0" w:line="8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December 30, 2022 and July 1, 2022, we did not have any recurring assets or liabilities that were valued using significant unobservable inputs.</w:t>
      </w:r>
    </w:p>
    <w:p>
      <w:pPr>
        <w:spacing w:after="0" w:line="182"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Our policy is to recognize asset or liability transfers among Level 1, Level 2, and Level 3 as of the actual date of the events or change in circumstances that caused the transfer. During the first six months of fiscal 2023 and 2022, we had no transfers between levels of the fair value hierarchy of our assets or liabilities measured at fair value.</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4. Leases</w:t>
      </w:r>
    </w:p>
    <w:p>
      <w:pPr>
        <w:spacing w:after="0" w:line="176"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The Company has facilities under non-cancelable operating lease agreements. These leases have varying terms that range from one to 20 years and contain leasehold improvement incentives, rent holidays and escalation clauses.</w:t>
      </w:r>
    </w:p>
    <w:p>
      <w:pPr>
        <w:spacing w:after="0" w:line="106" w:lineRule="exact"/>
        <w:rPr>
          <w:sz w:val="20"/>
          <w:szCs w:val="20"/>
          <w:color w:val="auto"/>
        </w:rPr>
      </w:pPr>
    </w:p>
    <w:p>
      <w:pPr>
        <w:jc w:val="both"/>
        <w:ind w:right="100" w:firstLine="470"/>
        <w:spacing w:after="0" w:line="267" w:lineRule="auto"/>
        <w:rPr>
          <w:sz w:val="20"/>
          <w:szCs w:val="20"/>
          <w:color w:val="auto"/>
        </w:rPr>
      </w:pPr>
      <w:r>
        <w:rPr>
          <w:rFonts w:ascii="Arial" w:cs="Arial" w:eastAsia="Arial" w:hAnsi="Arial"/>
          <w:sz w:val="17"/>
          <w:szCs w:val="17"/>
          <w:color w:val="auto"/>
        </w:rPr>
        <w:t>We determine if an arrangement contains a lease at inception. These operating leases are included in "Right of use assets" on our unaudited condensed consolidated balance sheets and represent our right to use the underlying asset for the lease term. Our obligations to make lease payments are included in "Short-term lease liabilities" and "Long-term lease liabilities" on our unaudited condensed consolidated balance sheets. We did not enter into any finance leases during the six months ended December 30, 2022.</w:t>
      </w:r>
    </w:p>
    <w:p>
      <w:pPr>
        <w:spacing w:after="0" w:line="12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summarizes our lease costs (in thousands):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600" w:type="dxa"/>
            <w:vAlign w:val="bottom"/>
            <w:gridSpan w:val="3"/>
          </w:tcPr>
          <w:p>
            <w:pPr>
              <w:jc w:val="right"/>
              <w:ind w:right="219"/>
              <w:spacing w:after="0"/>
              <w:rPr>
                <w:sz w:val="20"/>
                <w:szCs w:val="20"/>
                <w:color w:val="auto"/>
              </w:rPr>
            </w:pPr>
            <w:r>
              <w:rPr>
                <w:rFonts w:ascii="Arial" w:cs="Arial" w:eastAsia="Arial" w:hAnsi="Arial"/>
                <w:sz w:val="14"/>
                <w:szCs w:val="14"/>
                <w:b w:val="1"/>
                <w:bCs w:val="1"/>
                <w:color w:val="auto"/>
                <w:w w:val="92"/>
              </w:rPr>
              <w:t>Three Months Ended</w:t>
            </w:r>
          </w:p>
        </w:tc>
        <w:tc>
          <w:tcPr>
            <w:tcW w:w="6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60" w:type="dxa"/>
            <w:vAlign w:val="bottom"/>
            <w:gridSpan w:val="4"/>
          </w:tcPr>
          <w:p>
            <w:pPr>
              <w:jc w:val="right"/>
              <w:ind w:right="956"/>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780" w:type="dxa"/>
            <w:vAlign w:val="bottom"/>
          </w:tcPr>
          <w:p>
            <w:pPr>
              <w:spacing w:after="0"/>
              <w:rPr>
                <w:sz w:val="2"/>
                <w:szCs w:val="2"/>
                <w:color w:val="auto"/>
              </w:rPr>
            </w:pPr>
          </w:p>
        </w:tc>
        <w:tc>
          <w:tcPr>
            <w:tcW w:w="162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780" w:type="dxa"/>
            <w:vAlign w:val="bottom"/>
          </w:tcPr>
          <w:p>
            <w:pPr>
              <w:spacing w:after="0"/>
              <w:rPr>
                <w:sz w:val="11"/>
                <w:szCs w:val="11"/>
                <w:color w:val="auto"/>
              </w:rPr>
            </w:pPr>
          </w:p>
        </w:tc>
        <w:tc>
          <w:tcPr>
            <w:tcW w:w="1620" w:type="dxa"/>
            <w:vAlign w:val="bottom"/>
            <w:gridSpan w:val="3"/>
          </w:tcPr>
          <w:p>
            <w:pPr>
              <w:ind w:left="360"/>
              <w:spacing w:after="0" w:line="127" w:lineRule="exact"/>
              <w:rPr>
                <w:sz w:val="20"/>
                <w:szCs w:val="20"/>
                <w:color w:val="auto"/>
              </w:rPr>
            </w:pPr>
            <w:r>
              <w:rPr>
                <w:rFonts w:ascii="Arial" w:cs="Arial" w:eastAsia="Arial" w:hAnsi="Arial"/>
                <w:sz w:val="14"/>
                <w:szCs w:val="14"/>
                <w:b w:val="1"/>
                <w:bCs w:val="1"/>
                <w:color w:val="auto"/>
              </w:rPr>
              <w:t>December 30,</w:t>
            </w:r>
          </w:p>
        </w:tc>
        <w:tc>
          <w:tcPr>
            <w:tcW w:w="1640" w:type="dxa"/>
            <w:vAlign w:val="bottom"/>
            <w:gridSpan w:val="3"/>
            <w:vMerge w:val="restart"/>
          </w:tcPr>
          <w:p>
            <w:pPr>
              <w:ind w:left="2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1"/>
                <w:szCs w:val="11"/>
                <w:color w:val="auto"/>
              </w:rPr>
            </w:pPr>
          </w:p>
        </w:tc>
        <w:tc>
          <w:tcPr>
            <w:tcW w:w="1400" w:type="dxa"/>
            <w:vAlign w:val="bottom"/>
            <w:gridSpan w:val="2"/>
          </w:tcPr>
          <w:p>
            <w:pPr>
              <w:ind w:left="140"/>
              <w:spacing w:after="0" w:line="127" w:lineRule="exact"/>
              <w:rPr>
                <w:sz w:val="20"/>
                <w:szCs w:val="20"/>
                <w:color w:val="auto"/>
              </w:rPr>
            </w:pPr>
            <w:r>
              <w:rPr>
                <w:rFonts w:ascii="Arial" w:cs="Arial" w:eastAsia="Arial" w:hAnsi="Arial"/>
                <w:sz w:val="14"/>
                <w:szCs w:val="14"/>
                <w:b w:val="1"/>
                <w:bCs w:val="1"/>
                <w:color w:val="auto"/>
              </w:rPr>
              <w:t>December 30,</w:t>
            </w:r>
          </w:p>
        </w:tc>
        <w:tc>
          <w:tcPr>
            <w:tcW w:w="160" w:type="dxa"/>
            <w:vAlign w:val="bottom"/>
          </w:tcPr>
          <w:p>
            <w:pPr>
              <w:spacing w:after="0"/>
              <w:rPr>
                <w:sz w:val="11"/>
                <w:szCs w:val="11"/>
                <w:color w:val="auto"/>
              </w:rPr>
            </w:pPr>
          </w:p>
        </w:tc>
        <w:tc>
          <w:tcPr>
            <w:tcW w:w="1400" w:type="dxa"/>
            <w:vAlign w:val="bottom"/>
            <w:vMerge w:val="restart"/>
          </w:tcPr>
          <w:p>
            <w:pPr>
              <w:jc w:val="right"/>
              <w:ind w:right="136"/>
              <w:spacing w:after="0"/>
              <w:rPr>
                <w:sz w:val="20"/>
                <w:szCs w:val="20"/>
                <w:color w:val="auto"/>
              </w:rPr>
            </w:pPr>
            <w:r>
              <w:rPr>
                <w:rFonts w:ascii="Arial" w:cs="Arial" w:eastAsia="Arial" w:hAnsi="Arial"/>
                <w:sz w:val="14"/>
                <w:szCs w:val="14"/>
                <w:b w:val="1"/>
                <w:bCs w:val="1"/>
                <w:color w:val="auto"/>
                <w:w w:val="91"/>
              </w:rPr>
              <w:t>December 31, 2021</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right"/>
              <w:ind w:right="562"/>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5"/>
        </w:trPr>
        <w:tc>
          <w:tcPr>
            <w:tcW w:w="4780" w:type="dxa"/>
            <w:vAlign w:val="bottom"/>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600" w:type="dxa"/>
            <w:vAlign w:val="bottom"/>
            <w:tcBorders>
              <w:top w:val="single" w:sz="8" w:color="auto"/>
            </w:tcBorders>
            <w:gridSpan w:val="3"/>
          </w:tcPr>
          <w:p>
            <w:pPr>
              <w:jc w:val="right"/>
              <w:ind w:right="459"/>
              <w:spacing w:after="0"/>
              <w:rPr>
                <w:sz w:val="20"/>
                <w:szCs w:val="20"/>
                <w:color w:val="auto"/>
              </w:rPr>
            </w:pPr>
            <w:r>
              <w:rPr>
                <w:rFonts w:ascii="Arial" w:cs="Arial" w:eastAsia="Arial" w:hAnsi="Arial"/>
                <w:sz w:val="14"/>
                <w:szCs w:val="14"/>
                <w:color w:val="auto"/>
              </w:rPr>
              <w:t>(In thousands)</w:t>
            </w:r>
          </w:p>
        </w:tc>
        <w:tc>
          <w:tcPr>
            <w:tcW w:w="66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2960" w:type="dxa"/>
            <w:vAlign w:val="bottom"/>
            <w:tcBorders>
              <w:top w:val="single" w:sz="8" w:color="auto"/>
            </w:tcBorders>
            <w:gridSpan w:val="4"/>
          </w:tcPr>
          <w:p>
            <w:pPr>
              <w:jc w:val="right"/>
              <w:ind w:right="1116"/>
              <w:spacing w:after="0"/>
              <w:rPr>
                <w:sz w:val="20"/>
                <w:szCs w:val="20"/>
                <w:color w:val="auto"/>
              </w:rPr>
            </w:pPr>
            <w:r>
              <w:rPr>
                <w:rFonts w:ascii="Arial" w:cs="Arial" w:eastAsia="Arial" w:hAnsi="Arial"/>
                <w:sz w:val="14"/>
                <w:szCs w:val="14"/>
                <w:color w:val="auto"/>
              </w:rPr>
              <w:t>(In thousands)</w:t>
            </w:r>
          </w:p>
        </w:tc>
        <w:tc>
          <w:tcPr>
            <w:tcW w:w="0" w:type="dxa"/>
            <w:vAlign w:val="bottom"/>
          </w:tcPr>
          <w:p>
            <w:pPr>
              <w:spacing w:after="0"/>
              <w:rPr>
                <w:sz w:val="1"/>
                <w:szCs w:val="1"/>
                <w:color w:val="auto"/>
              </w:rPr>
            </w:pPr>
          </w:p>
        </w:tc>
      </w:tr>
      <w:tr>
        <w:trPr>
          <w:trHeight w:val="231"/>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costs</w:t>
            </w:r>
          </w:p>
        </w:tc>
        <w:tc>
          <w:tcPr>
            <w:tcW w:w="920" w:type="dxa"/>
            <w:vAlign w:val="bottom"/>
            <w:shd w:val="clear" w:color="auto" w:fill="CCEEFF"/>
          </w:tcPr>
          <w:p>
            <w:pPr>
              <w:jc w:val="right"/>
              <w:ind w:right="739"/>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w:t>
            </w:r>
          </w:p>
        </w:tc>
        <w:tc>
          <w:tcPr>
            <w:tcW w:w="80" w:type="dxa"/>
            <w:vAlign w:val="bottom"/>
            <w:shd w:val="clear" w:color="auto" w:fill="CCEEFF"/>
          </w:tcPr>
          <w:p>
            <w:pPr>
              <w:spacing w:after="0"/>
              <w:rPr>
                <w:sz w:val="20"/>
                <w:szCs w:val="20"/>
                <w:color w:val="auto"/>
              </w:rPr>
            </w:pPr>
          </w:p>
        </w:tc>
        <w:tc>
          <w:tcPr>
            <w:tcW w:w="900" w:type="dxa"/>
            <w:vAlign w:val="bottom"/>
            <w:shd w:val="clear" w:color="auto" w:fill="CCEEFF"/>
          </w:tcPr>
          <w:p>
            <w:pPr>
              <w:jc w:val="right"/>
              <w:ind w:right="699"/>
              <w:spacing w:after="0"/>
              <w:rPr>
                <w:sz w:val="20"/>
                <w:szCs w:val="20"/>
                <w:color w:val="auto"/>
              </w:rPr>
            </w:pPr>
            <w:r>
              <w:rPr>
                <w:rFonts w:ascii="Arial" w:cs="Arial" w:eastAsia="Arial" w:hAnsi="Arial"/>
                <w:sz w:val="17"/>
                <w:szCs w:val="17"/>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245</w:t>
            </w:r>
          </w:p>
        </w:tc>
        <w:tc>
          <w:tcPr>
            <w:tcW w:w="8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547</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562</w:t>
            </w:r>
          </w:p>
        </w:tc>
        <w:tc>
          <w:tcPr>
            <w:tcW w:w="0" w:type="dxa"/>
            <w:vAlign w:val="bottom"/>
          </w:tcPr>
          <w:p>
            <w:pPr>
              <w:spacing w:after="0"/>
              <w:rPr>
                <w:sz w:val="1"/>
                <w:szCs w:val="1"/>
                <w:color w:val="auto"/>
              </w:rPr>
            </w:pPr>
          </w:p>
        </w:tc>
      </w:tr>
      <w:tr>
        <w:trPr>
          <w:trHeight w:val="222"/>
        </w:trPr>
        <w:tc>
          <w:tcPr>
            <w:tcW w:w="4780" w:type="dxa"/>
            <w:vAlign w:val="bottom"/>
          </w:tcPr>
          <w:p>
            <w:pPr>
              <w:ind w:left="20"/>
              <w:spacing w:after="0"/>
              <w:rPr>
                <w:sz w:val="20"/>
                <w:szCs w:val="20"/>
                <w:color w:val="auto"/>
              </w:rPr>
            </w:pPr>
            <w:r>
              <w:rPr>
                <w:rFonts w:ascii="Arial" w:cs="Arial" w:eastAsia="Arial" w:hAnsi="Arial"/>
                <w:sz w:val="17"/>
                <w:szCs w:val="17"/>
                <w:color w:val="auto"/>
              </w:rPr>
              <w:t>Short-term lease costs</w:t>
            </w:r>
          </w:p>
        </w:tc>
        <w:tc>
          <w:tcPr>
            <w:tcW w:w="920" w:type="dxa"/>
            <w:vAlign w:val="bottom"/>
          </w:tcPr>
          <w:p>
            <w:pPr>
              <w:jc w:val="right"/>
              <w:ind w:right="739"/>
              <w:spacing w:after="0"/>
              <w:rPr>
                <w:sz w:val="20"/>
                <w:szCs w:val="20"/>
                <w:color w:val="auto"/>
              </w:rPr>
            </w:pPr>
            <w:r>
              <w:rPr>
                <w:rFonts w:ascii="Arial" w:cs="Arial" w:eastAsia="Arial" w:hAnsi="Arial"/>
                <w:sz w:val="17"/>
                <w:szCs w:val="17"/>
                <w:color w:val="auto"/>
                <w:w w:val="84"/>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466</w:t>
            </w:r>
          </w:p>
        </w:tc>
        <w:tc>
          <w:tcPr>
            <w:tcW w:w="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513</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ind w:right="2"/>
              <w:spacing w:after="0"/>
              <w:rPr>
                <w:sz w:val="20"/>
                <w:szCs w:val="20"/>
                <w:color w:val="auto"/>
              </w:rPr>
            </w:pPr>
            <w:r>
              <w:rPr>
                <w:rFonts w:ascii="Arial" w:cs="Arial" w:eastAsia="Arial" w:hAnsi="Arial"/>
                <w:sz w:val="17"/>
                <w:szCs w:val="17"/>
                <w:color w:val="auto"/>
              </w:rPr>
              <w:t>1,017</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1,200</w:t>
            </w:r>
          </w:p>
        </w:tc>
        <w:tc>
          <w:tcPr>
            <w:tcW w:w="0" w:type="dxa"/>
            <w:vAlign w:val="bottom"/>
          </w:tcPr>
          <w:p>
            <w:pPr>
              <w:spacing w:after="0"/>
              <w:rPr>
                <w:sz w:val="1"/>
                <w:szCs w:val="1"/>
                <w:color w:val="auto"/>
              </w:rPr>
            </w:pPr>
          </w:p>
        </w:tc>
      </w:tr>
      <w:tr>
        <w:trPr>
          <w:trHeight w:val="222"/>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Variable lease costs</w:t>
            </w:r>
          </w:p>
        </w:tc>
        <w:tc>
          <w:tcPr>
            <w:tcW w:w="920" w:type="dxa"/>
            <w:vAlign w:val="bottom"/>
            <w:tcBorders>
              <w:bottom w:val="single" w:sz="8" w:color="auto"/>
            </w:tcBorders>
            <w:shd w:val="clear" w:color="auto" w:fill="CCEEFF"/>
          </w:tcPr>
          <w:p>
            <w:pPr>
              <w:jc w:val="right"/>
              <w:ind w:right="739"/>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w:t>
            </w:r>
          </w:p>
        </w:tc>
        <w:tc>
          <w:tcPr>
            <w:tcW w:w="80" w:type="dxa"/>
            <w:vAlign w:val="bottom"/>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80</w:t>
            </w:r>
          </w:p>
        </w:tc>
        <w:tc>
          <w:tcPr>
            <w:tcW w:w="8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74</w:t>
            </w:r>
          </w:p>
        </w:tc>
        <w:tc>
          <w:tcPr>
            <w:tcW w:w="0" w:type="dxa"/>
            <w:vAlign w:val="bottom"/>
          </w:tcPr>
          <w:p>
            <w:pPr>
              <w:spacing w:after="0"/>
              <w:rPr>
                <w:sz w:val="1"/>
                <w:szCs w:val="1"/>
                <w:color w:val="auto"/>
              </w:rPr>
            </w:pPr>
          </w:p>
        </w:tc>
      </w:tr>
      <w:tr>
        <w:trPr>
          <w:trHeight w:val="215"/>
        </w:trPr>
        <w:tc>
          <w:tcPr>
            <w:tcW w:w="4780" w:type="dxa"/>
            <w:vAlign w:val="bottom"/>
          </w:tcPr>
          <w:p>
            <w:pPr>
              <w:ind w:left="180"/>
              <w:spacing w:after="0"/>
              <w:rPr>
                <w:sz w:val="20"/>
                <w:szCs w:val="20"/>
                <w:color w:val="auto"/>
              </w:rPr>
            </w:pPr>
            <w:r>
              <w:rPr>
                <w:rFonts w:ascii="Arial" w:cs="Arial" w:eastAsia="Arial" w:hAnsi="Arial"/>
                <w:sz w:val="17"/>
                <w:szCs w:val="17"/>
                <w:color w:val="auto"/>
              </w:rPr>
              <w:t>Total lease costs</w:t>
            </w:r>
          </w:p>
        </w:tc>
        <w:tc>
          <w:tcPr>
            <w:tcW w:w="920" w:type="dxa"/>
            <w:vAlign w:val="bottom"/>
            <w:tcBorders>
              <w:bottom w:val="single" w:sz="8" w:color="auto"/>
            </w:tcBorders>
          </w:tcPr>
          <w:p>
            <w:pPr>
              <w:jc w:val="right"/>
              <w:ind w:right="739"/>
              <w:spacing w:after="0"/>
              <w:rPr>
                <w:sz w:val="20"/>
                <w:szCs w:val="20"/>
                <w:color w:val="auto"/>
              </w:rPr>
            </w:pPr>
            <w:r>
              <w:rPr>
                <w:rFonts w:ascii="Arial" w:cs="Arial" w:eastAsia="Arial" w:hAnsi="Arial"/>
                <w:sz w:val="17"/>
                <w:szCs w:val="17"/>
                <w:color w:val="auto"/>
                <w:w w:val="84"/>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746</w:t>
            </w:r>
          </w:p>
        </w:tc>
        <w:tc>
          <w:tcPr>
            <w:tcW w:w="80" w:type="dxa"/>
            <w:vAlign w:val="bottom"/>
          </w:tcPr>
          <w:p>
            <w:pPr>
              <w:spacing w:after="0"/>
              <w:rPr>
                <w:sz w:val="18"/>
                <w:szCs w:val="18"/>
                <w:color w:val="auto"/>
              </w:rPr>
            </w:pPr>
          </w:p>
        </w:tc>
        <w:tc>
          <w:tcPr>
            <w:tcW w:w="900" w:type="dxa"/>
            <w:vAlign w:val="bottom"/>
            <w:tcBorders>
              <w:bottom w:val="single" w:sz="8" w:color="auto"/>
            </w:tcBorders>
          </w:tcPr>
          <w:p>
            <w:pPr>
              <w:jc w:val="right"/>
              <w:ind w:right="699"/>
              <w:spacing w:after="0"/>
              <w:rPr>
                <w:sz w:val="20"/>
                <w:szCs w:val="20"/>
                <w:color w:val="auto"/>
              </w:rPr>
            </w:pPr>
            <w:r>
              <w:rPr>
                <w:rFonts w:ascii="Arial" w:cs="Arial" w:eastAsia="Arial" w:hAnsi="Arial"/>
                <w:sz w:val="17"/>
                <w:szCs w:val="17"/>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805</w:t>
            </w:r>
          </w:p>
        </w:tc>
        <w:tc>
          <w:tcPr>
            <w:tcW w:w="80" w:type="dxa"/>
            <w:vAlign w:val="bottom"/>
          </w:tcPr>
          <w:p>
            <w:pPr>
              <w:spacing w:after="0"/>
              <w:rPr>
                <w:sz w:val="18"/>
                <w:szCs w:val="18"/>
                <w:color w:val="auto"/>
              </w:rPr>
            </w:pPr>
          </w:p>
        </w:tc>
        <w:tc>
          <w:tcPr>
            <w:tcW w:w="240" w:type="dxa"/>
            <w:vAlign w:val="bottom"/>
            <w:tcBorders>
              <w:bottom w:val="single" w:sz="8" w:color="auto"/>
            </w:tcBorders>
          </w:tcPr>
          <w:p>
            <w:pPr>
              <w:jc w:val="right"/>
              <w:ind w:right="53"/>
              <w:spacing w:after="0"/>
              <w:rPr>
                <w:sz w:val="20"/>
                <w:szCs w:val="20"/>
                <w:color w:val="auto"/>
              </w:rPr>
            </w:pPr>
            <w:r>
              <w:rPr>
                <w:rFonts w:ascii="Arial" w:cs="Arial" w:eastAsia="Arial" w:hAnsi="Arial"/>
                <w:sz w:val="17"/>
                <w:szCs w:val="17"/>
                <w:color w:val="auto"/>
                <w:w w:val="84"/>
              </w:rPr>
              <w:t>$</w:t>
            </w:r>
          </w:p>
        </w:tc>
        <w:tc>
          <w:tcPr>
            <w:tcW w:w="132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1,644</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1,836</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71" w:lineRule="exact"/>
        <w:rPr>
          <w:sz w:val="20"/>
          <w:szCs w:val="20"/>
          <w:color w:val="auto"/>
        </w:rPr>
      </w:pPr>
    </w:p>
    <w:tbl>
      <w:tblPr>
        <w:tblLayout w:type="fixed"/>
        <w:tblInd w:w="480" w:type="dxa"/>
        <w:tblCellMar>
          <w:top w:w="0" w:type="dxa"/>
          <w:left w:w="0" w:type="dxa"/>
          <w:bottom w:w="0" w:type="dxa"/>
          <w:right w:w="0" w:type="dxa"/>
        </w:tblCellMar>
      </w:tblPr>
      <w:tr>
        <w:trPr>
          <w:trHeight w:val="221"/>
        </w:trPr>
        <w:tc>
          <w:tcPr>
            <w:tcW w:w="8960" w:type="dxa"/>
            <w:vAlign w:val="bottom"/>
          </w:tcPr>
          <w:p>
            <w:pPr>
              <w:spacing w:after="0"/>
              <w:rPr>
                <w:sz w:val="20"/>
                <w:szCs w:val="20"/>
                <w:color w:val="auto"/>
              </w:rPr>
            </w:pPr>
            <w:r>
              <w:rPr>
                <w:rFonts w:ascii="Arial" w:cs="Arial" w:eastAsia="Arial" w:hAnsi="Arial"/>
                <w:sz w:val="17"/>
                <w:szCs w:val="17"/>
                <w:color w:val="auto"/>
              </w:rPr>
              <w:t>The following summarizes our lease term and discount rate for the six months ended December 30, 2022:</w:t>
            </w:r>
          </w:p>
        </w:tc>
        <w:tc>
          <w:tcPr>
            <w:tcW w:w="1900" w:type="dxa"/>
            <w:vAlign w:val="bottom"/>
          </w:tcPr>
          <w:p>
            <w:pPr>
              <w:spacing w:after="0"/>
              <w:rPr>
                <w:sz w:val="19"/>
                <w:szCs w:val="19"/>
                <w:color w:val="auto"/>
              </w:rPr>
            </w:pPr>
          </w:p>
        </w:tc>
      </w:tr>
      <w:tr>
        <w:trPr>
          <w:trHeight w:val="183"/>
        </w:trPr>
        <w:tc>
          <w:tcPr>
            <w:tcW w:w="8960" w:type="dxa"/>
            <w:vAlign w:val="bottom"/>
          </w:tcPr>
          <w:p>
            <w:pPr>
              <w:spacing w:after="0"/>
              <w:rPr>
                <w:sz w:val="15"/>
                <w:szCs w:val="15"/>
                <w:color w:val="auto"/>
              </w:rPr>
            </w:pPr>
          </w:p>
        </w:tc>
        <w:tc>
          <w:tcPr>
            <w:tcW w:w="1900" w:type="dxa"/>
            <w:vAlign w:val="bottom"/>
          </w:tcPr>
          <w:p>
            <w:pPr>
              <w:spacing w:after="0"/>
              <w:rPr>
                <w:sz w:val="15"/>
                <w:szCs w:val="15"/>
                <w:color w:val="auto"/>
              </w:rPr>
            </w:pPr>
          </w:p>
        </w:tc>
      </w:tr>
      <w:tr>
        <w:trPr>
          <w:trHeight w:val="222"/>
        </w:trPr>
        <w:tc>
          <w:tcPr>
            <w:tcW w:w="89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remaining lease term</w:t>
            </w:r>
          </w:p>
        </w:tc>
        <w:tc>
          <w:tcPr>
            <w:tcW w:w="1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r>
      <w:tr>
        <w:trPr>
          <w:trHeight w:val="222"/>
        </w:trPr>
        <w:tc>
          <w:tcPr>
            <w:tcW w:w="8960" w:type="dxa"/>
            <w:vAlign w:val="bottom"/>
          </w:tcPr>
          <w:p>
            <w:pPr>
              <w:ind w:left="20"/>
              <w:spacing w:after="0"/>
              <w:rPr>
                <w:sz w:val="20"/>
                <w:szCs w:val="20"/>
                <w:color w:val="auto"/>
              </w:rPr>
            </w:pPr>
            <w:r>
              <w:rPr>
                <w:rFonts w:ascii="Arial" w:cs="Arial" w:eastAsia="Arial" w:hAnsi="Arial"/>
                <w:sz w:val="17"/>
                <w:szCs w:val="17"/>
                <w:color w:val="auto"/>
              </w:rPr>
              <w:t>Weighted average discount rate</w:t>
            </w:r>
          </w:p>
        </w:tc>
        <w:tc>
          <w:tcPr>
            <w:tcW w:w="1900" w:type="dxa"/>
            <w:vAlign w:val="bottom"/>
          </w:tcPr>
          <w:p>
            <w:pPr>
              <w:jc w:val="right"/>
              <w:spacing w:after="0"/>
              <w:rPr>
                <w:sz w:val="20"/>
                <w:szCs w:val="20"/>
                <w:color w:val="auto"/>
              </w:rPr>
            </w:pPr>
            <w:r>
              <w:rPr>
                <w:rFonts w:ascii="Arial" w:cs="Arial" w:eastAsia="Arial" w:hAnsi="Arial"/>
                <w:sz w:val="17"/>
                <w:szCs w:val="17"/>
                <w:color w:val="auto"/>
              </w:rPr>
              <w:t>5</w:t>
            </w:r>
          </w:p>
        </w:tc>
      </w:tr>
    </w:tbl>
    <w:p>
      <w:pPr>
        <w:spacing w:after="0" w:line="223" w:lineRule="exact"/>
        <w:rPr>
          <w:sz w:val="20"/>
          <w:szCs w:val="20"/>
          <w:color w:val="auto"/>
        </w:rPr>
      </w:pPr>
    </w:p>
    <w:p>
      <w:pPr>
        <w:ind w:right="100" w:firstLine="470"/>
        <w:spacing w:after="0" w:line="288" w:lineRule="auto"/>
        <w:rPr>
          <w:sz w:val="20"/>
          <w:szCs w:val="20"/>
          <w:color w:val="auto"/>
        </w:rPr>
      </w:pPr>
      <w:r>
        <w:rPr>
          <w:rFonts w:ascii="Arial" w:cs="Arial" w:eastAsia="Arial" w:hAnsi="Arial"/>
          <w:sz w:val="17"/>
          <w:szCs w:val="17"/>
          <w:color w:val="auto"/>
        </w:rPr>
        <w:t>As of December 30, 2022, our future minimum lease payments under all non-cancelable operating leases with an initial term in excess of one year were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25"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2"/>
        </w:trPr>
        <w:tc>
          <w:tcPr>
            <w:tcW w:w="9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jc w:val="right"/>
              <w:ind w:right="656"/>
              <w:spacing w:after="0"/>
              <w:rPr>
                <w:sz w:val="20"/>
                <w:szCs w:val="20"/>
                <w:color w:val="auto"/>
              </w:rPr>
            </w:pPr>
            <w:r>
              <w:rPr>
                <w:rFonts w:ascii="Arial" w:cs="Arial" w:eastAsia="Arial" w:hAnsi="Arial"/>
                <w:sz w:val="14"/>
                <w:szCs w:val="14"/>
                <w:b w:val="1"/>
                <w:bCs w:val="1"/>
                <w:color w:val="auto"/>
              </w:rPr>
              <w:t>Amount</w:t>
            </w:r>
          </w:p>
        </w:tc>
      </w:tr>
      <w:tr>
        <w:trPr>
          <w:trHeight w:val="23"/>
        </w:trPr>
        <w:tc>
          <w:tcPr>
            <w:tcW w:w="92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180"/>
        </w:trPr>
        <w:tc>
          <w:tcPr>
            <w:tcW w:w="9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40" w:type="dxa"/>
            <w:vAlign w:val="bottom"/>
          </w:tcPr>
          <w:p>
            <w:pPr>
              <w:jc w:val="right"/>
              <w:ind w:right="496"/>
              <w:spacing w:after="0"/>
              <w:rPr>
                <w:sz w:val="20"/>
                <w:szCs w:val="20"/>
                <w:color w:val="auto"/>
              </w:rPr>
            </w:pPr>
            <w:r>
              <w:rPr>
                <w:rFonts w:ascii="Arial" w:cs="Arial" w:eastAsia="Arial" w:hAnsi="Arial"/>
                <w:sz w:val="14"/>
                <w:szCs w:val="14"/>
                <w:color w:val="auto"/>
              </w:rPr>
              <w:t>(In thousands)</w:t>
            </w:r>
          </w:p>
        </w:tc>
      </w:tr>
      <w:tr>
        <w:trPr>
          <w:trHeight w:val="231"/>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2023</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641</w:t>
            </w:r>
          </w:p>
        </w:tc>
      </w:tr>
      <w:tr>
        <w:trPr>
          <w:trHeight w:val="222"/>
        </w:trPr>
        <w:tc>
          <w:tcPr>
            <w:tcW w:w="9260" w:type="dxa"/>
            <w:vAlign w:val="bottom"/>
          </w:tcPr>
          <w:p>
            <w:pPr>
              <w:ind w:left="20"/>
              <w:spacing w:after="0"/>
              <w:rPr>
                <w:sz w:val="20"/>
                <w:szCs w:val="20"/>
                <w:color w:val="auto"/>
              </w:rPr>
            </w:pPr>
            <w:r>
              <w:rPr>
                <w:rFonts w:ascii="Arial" w:cs="Arial" w:eastAsia="Arial" w:hAnsi="Arial"/>
                <w:sz w:val="17"/>
                <w:szCs w:val="17"/>
                <w:color w:val="auto"/>
              </w:rPr>
              <w:t>2024</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741</w:t>
            </w:r>
          </w:p>
        </w:tc>
      </w:tr>
      <w:tr>
        <w:trPr>
          <w:trHeight w:val="222"/>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633</w:t>
            </w:r>
          </w:p>
        </w:tc>
      </w:tr>
      <w:tr>
        <w:trPr>
          <w:trHeight w:val="222"/>
        </w:trPr>
        <w:tc>
          <w:tcPr>
            <w:tcW w:w="9260" w:type="dxa"/>
            <w:vAlign w:val="bottom"/>
          </w:tcPr>
          <w:p>
            <w:pPr>
              <w:ind w:left="20"/>
              <w:spacing w:after="0"/>
              <w:rPr>
                <w:sz w:val="20"/>
                <w:szCs w:val="20"/>
                <w:color w:val="auto"/>
              </w:rPr>
            </w:pPr>
            <w:r>
              <w:rPr>
                <w:rFonts w:ascii="Arial" w:cs="Arial" w:eastAsia="Arial" w:hAnsi="Arial"/>
                <w:sz w:val="17"/>
                <w:szCs w:val="17"/>
                <w:color w:val="auto"/>
              </w:rPr>
              <w:t>2026</w:t>
            </w:r>
          </w:p>
        </w:tc>
        <w:tc>
          <w:tcPr>
            <w:tcW w:w="34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490</w:t>
            </w:r>
          </w:p>
        </w:tc>
      </w:tr>
      <w:tr>
        <w:trPr>
          <w:trHeight w:val="222"/>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34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w:t>
            </w:r>
          </w:p>
        </w:tc>
      </w:tr>
      <w:tr>
        <w:trPr>
          <w:trHeight w:val="222"/>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Thereafter</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1,384</w:t>
            </w:r>
          </w:p>
        </w:tc>
      </w:tr>
      <w:tr>
        <w:trPr>
          <w:trHeight w:val="215"/>
        </w:trPr>
        <w:tc>
          <w:tcPr>
            <w:tcW w:w="9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Total lease payments</w:t>
            </w:r>
          </w:p>
        </w:tc>
        <w:tc>
          <w:tcPr>
            <w:tcW w:w="34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4,058</w:t>
            </w:r>
          </w:p>
        </w:tc>
      </w:tr>
      <w:tr>
        <w:trPr>
          <w:trHeight w:val="222"/>
        </w:trPr>
        <w:tc>
          <w:tcPr>
            <w:tcW w:w="92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interest</w:t>
            </w:r>
          </w:p>
        </w:tc>
        <w:tc>
          <w:tcPr>
            <w:tcW w:w="34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(906)</w:t>
            </w:r>
          </w:p>
        </w:tc>
      </w:tr>
      <w:tr>
        <w:trPr>
          <w:trHeight w:val="240"/>
        </w:trPr>
        <w:tc>
          <w:tcPr>
            <w:tcW w:w="92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Present value of lease liabilities</w:t>
            </w: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3,152</w:t>
            </w:r>
          </w:p>
        </w:tc>
      </w:tr>
      <w:tr>
        <w:trPr>
          <w:trHeight w:val="20"/>
        </w:trPr>
        <w:tc>
          <w:tcPr>
            <w:tcW w:w="92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5. Credit Facility and Debt</w:t>
      </w:r>
    </w:p>
    <w:p>
      <w:pPr>
        <w:spacing w:after="0" w:line="176"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On May 17, 2021, we entered into Amendment No. 4 to Third Amended and Restated Loan and Security Agreement with Silicon Valley Bank (the “SVB Credit Facility”) which extended the expiration date to June 28, 2024. The SVB Credit Facility provides for a $25.0 million accounts receivable formula-based revolving credit facility that can be borrowed by our U.S. company, with a $25.0 million sub-limit that can be borrowed by our U.S. and Singapore entities. Loans may be advanced under the SVB Credit Facility based on a borrowing base equal to a specified percentage of the value of eligible accounts of the borrowers under the SVB Credit Facility. The borrowing base is subject to certain eligibility criteria. Availability under the accounts receivable formula based revolving credit facility can also be utilized to issue letters of credit with a $12.0 million sub-limit. We may prepay loans under the SVB Credit Facility in whole or in part at any time without premium or penalty. As of December 30, 2022, available credit under the SVB Credit Facility was $22.0 million, reflecting the available limit of $25.0 million less outstanding letters of credit of $3.0 million. We borrowed and repaid $24.0 million against the SVB Credit Facility during the six months ended December 30, 2022 and the interest rate was 6.07%. As of December 30, 2022 there was no borrowing outstanding.</w:t>
      </w:r>
    </w:p>
    <w:p>
      <w:pPr>
        <w:spacing w:after="0" w:line="121"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SVB Credit Facility carries an interest rate computed, at our option, based on either (i) at the prime rate reported in the Wall Street Journal plus a spread of 0.50% to 1.50%, with such spread determined based on our adjusted quick ratio; or (ii) if we satisfy a minimum adjusted quick ratio, a LIBOR rate determined in accordance with the SVB Credit Facility, plus a spread of 2.75%. Any outstanding Singapore subsidiary borrowed loans shall bear interest at an additional 2.00% above the applicable prime or LIBOR rate.</w:t>
      </w:r>
    </w:p>
    <w:p>
      <w:pPr>
        <w:spacing w:after="0" w:line="123" w:lineRule="exact"/>
        <w:rPr>
          <w:sz w:val="20"/>
          <w:szCs w:val="20"/>
          <w:color w:val="auto"/>
        </w:rPr>
      </w:pPr>
    </w:p>
    <w:p>
      <w:pPr>
        <w:jc w:val="both"/>
        <w:ind w:firstLine="470"/>
        <w:spacing w:after="0" w:line="279" w:lineRule="auto"/>
        <w:rPr>
          <w:sz w:val="20"/>
          <w:szCs w:val="20"/>
          <w:color w:val="auto"/>
        </w:rPr>
      </w:pPr>
      <w:r>
        <w:rPr>
          <w:rFonts w:ascii="Arial" w:cs="Arial" w:eastAsia="Arial" w:hAnsi="Arial"/>
          <w:sz w:val="16"/>
          <w:szCs w:val="16"/>
          <w:color w:val="auto"/>
        </w:rPr>
        <w:t>The SVB Credit Facility contains quarterly financial covenants including minimum adjusted quick ratio and minimum profitability (EBITDA) requirements. In the event our adjusted quick ratio falls below a certain level, cash received in our accounts with Silicon Valley Bank may be directly applied to reduce outstanding obligations under the SVB Credit Facility. The SVB Credit Facility also imposes certain restrictions on our ability to dispose of assets, permit a change in control, merge or consolidate, make acquisitions, incur indebtedness, grant liens, make investments, make certain restricted payments, and enter into transactions with affiliates under certain circumstances. Certain of our assets, including accounts receivable, inventory, and equipment, are pledged as collateral for the SVB Credit Facility. Upon an event of default, outstanding obligations would be immediately due and payable. Under certain circumstances, a default interest rate will apply on all obligations during the existence of an event of default at a per annum rate of interest equal to 5.00% above the applicable interest rate. As of December 30, 2022, we were in compliance with the quarterly financial covenants contained in the SVB Credit Facility, as amended.</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6. Revenue Recognition</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Contract Balances, Performance Obligations, and Backlog</w:t>
      </w:r>
    </w:p>
    <w:p>
      <w:pPr>
        <w:spacing w:after="0" w:line="200" w:lineRule="exact"/>
        <w:rPr>
          <w:sz w:val="20"/>
          <w:szCs w:val="20"/>
          <w:color w:val="auto"/>
        </w:rPr>
      </w:pPr>
    </w:p>
    <w:p>
      <w:pPr>
        <w:spacing w:after="0" w:line="2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provides information about receivables and liabilities from contracts with customers (in thousands):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06" w:right="3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182"/>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720" w:type="dxa"/>
            <w:vAlign w:val="bottom"/>
            <w:gridSpan w:val="2"/>
          </w:tcPr>
          <w:p>
            <w:pPr>
              <w:ind w:left="120"/>
              <w:spacing w:after="0"/>
              <w:rPr>
                <w:sz w:val="20"/>
                <w:szCs w:val="20"/>
                <w:color w:val="auto"/>
              </w:rPr>
            </w:pPr>
            <w:r>
              <w:rPr>
                <w:rFonts w:ascii="Arial" w:cs="Arial" w:eastAsia="Arial" w:hAnsi="Arial"/>
                <w:sz w:val="14"/>
                <w:szCs w:val="14"/>
                <w:b w:val="1"/>
                <w:bCs w:val="1"/>
                <w:color w:val="auto"/>
              </w:rPr>
              <w:t>December 30, 2022</w:t>
            </w:r>
          </w:p>
        </w:tc>
        <w:tc>
          <w:tcPr>
            <w:tcW w:w="320" w:type="dxa"/>
            <w:vAlign w:val="bottom"/>
          </w:tcPr>
          <w:p>
            <w:pPr>
              <w:spacing w:after="0"/>
              <w:rPr>
                <w:sz w:val="15"/>
                <w:szCs w:val="15"/>
                <w:color w:val="auto"/>
              </w:rPr>
            </w:pPr>
          </w:p>
        </w:tc>
        <w:tc>
          <w:tcPr>
            <w:tcW w:w="1460" w:type="dxa"/>
            <w:vAlign w:val="bottom"/>
          </w:tcPr>
          <w:p>
            <w:pPr>
              <w:jc w:val="right"/>
              <w:ind w:right="456"/>
              <w:spacing w:after="0"/>
              <w:rPr>
                <w:sz w:val="20"/>
                <w:szCs w:val="20"/>
                <w:color w:val="auto"/>
              </w:rPr>
            </w:pPr>
            <w:r>
              <w:rPr>
                <w:rFonts w:ascii="Arial" w:cs="Arial" w:eastAsia="Arial" w:hAnsi="Arial"/>
                <w:sz w:val="14"/>
                <w:szCs w:val="14"/>
                <w:b w:val="1"/>
                <w:bCs w:val="1"/>
                <w:color w:val="auto"/>
              </w:rPr>
              <w:t>July 1, 2022</w:t>
            </w:r>
          </w:p>
        </w:tc>
        <w:tc>
          <w:tcPr>
            <w:tcW w:w="0" w:type="dxa"/>
            <w:vAlign w:val="bottom"/>
          </w:tcPr>
          <w:p>
            <w:pPr>
              <w:spacing w:after="0"/>
              <w:rPr>
                <w:sz w:val="1"/>
                <w:szCs w:val="1"/>
                <w:color w:val="auto"/>
              </w:rPr>
            </w:pPr>
          </w:p>
        </w:tc>
      </w:tr>
      <w:tr>
        <w:trPr>
          <w:trHeight w:val="23"/>
        </w:trPr>
        <w:tc>
          <w:tcPr>
            <w:tcW w:w="7520" w:type="dxa"/>
            <w:vAlign w:val="bottom"/>
            <w:vMerge w:val="restart"/>
          </w:tcPr>
          <w:p>
            <w:pPr>
              <w:ind w:left="20"/>
              <w:spacing w:after="0"/>
              <w:rPr>
                <w:sz w:val="20"/>
                <w:szCs w:val="20"/>
                <w:color w:val="auto"/>
              </w:rPr>
            </w:pPr>
            <w:r>
              <w:rPr>
                <w:rFonts w:ascii="Arial" w:cs="Arial" w:eastAsia="Arial" w:hAnsi="Arial"/>
                <w:sz w:val="17"/>
                <w:szCs w:val="17"/>
                <w:b w:val="1"/>
                <w:bCs w:val="1"/>
                <w:color w:val="auto"/>
              </w:rPr>
              <w:t>Contract Balances</w:t>
            </w:r>
          </w:p>
        </w:tc>
        <w:tc>
          <w:tcPr>
            <w:tcW w:w="2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2"/>
        </w:trPr>
        <w:tc>
          <w:tcPr>
            <w:tcW w:w="752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Accounts receivable, net</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91,371</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73,168</w:t>
            </w:r>
          </w:p>
        </w:tc>
        <w:tc>
          <w:tcPr>
            <w:tcW w:w="0" w:type="dxa"/>
            <w:vAlign w:val="bottom"/>
          </w:tcPr>
          <w:p>
            <w:pPr>
              <w:spacing w:after="0"/>
              <w:rPr>
                <w:sz w:val="1"/>
                <w:szCs w:val="1"/>
                <w:color w:val="auto"/>
              </w:rPr>
            </w:pP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color w:val="auto"/>
              </w:rPr>
              <w:t>Contract Assets</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53,600</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45,857</w:t>
            </w: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Capitalized commissions</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2,120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2,341</w:t>
            </w:r>
          </w:p>
        </w:tc>
        <w:tc>
          <w:tcPr>
            <w:tcW w:w="0" w:type="dxa"/>
            <w:vAlign w:val="bottom"/>
          </w:tcPr>
          <w:p>
            <w:pPr>
              <w:spacing w:after="0"/>
              <w:rPr>
                <w:sz w:val="1"/>
                <w:szCs w:val="1"/>
                <w:color w:val="auto"/>
              </w:rPr>
            </w:pP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b w:val="1"/>
                <w:bCs w:val="1"/>
                <w:color w:val="auto"/>
              </w:rPr>
              <w:t>Contract Liabilities</w:t>
            </w:r>
          </w:p>
        </w:tc>
        <w:tc>
          <w:tcPr>
            <w:tcW w:w="2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Advance payments and unearned revenue</w:t>
            </w:r>
          </w:p>
        </w:tc>
        <w:tc>
          <w:tcPr>
            <w:tcW w:w="22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38,870</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33,740</w:t>
            </w:r>
          </w:p>
        </w:tc>
        <w:tc>
          <w:tcPr>
            <w:tcW w:w="0" w:type="dxa"/>
            <w:vAlign w:val="bottom"/>
          </w:tcPr>
          <w:p>
            <w:pPr>
              <w:spacing w:after="0"/>
              <w:rPr>
                <w:sz w:val="1"/>
                <w:szCs w:val="1"/>
                <w:color w:val="auto"/>
              </w:rPr>
            </w:pPr>
          </w:p>
        </w:tc>
      </w:tr>
      <w:tr>
        <w:trPr>
          <w:trHeight w:val="222"/>
        </w:trPr>
        <w:tc>
          <w:tcPr>
            <w:tcW w:w="7520" w:type="dxa"/>
            <w:vAlign w:val="bottom"/>
          </w:tcPr>
          <w:p>
            <w:pPr>
              <w:ind w:left="20"/>
              <w:spacing w:after="0"/>
              <w:rPr>
                <w:sz w:val="20"/>
                <w:szCs w:val="20"/>
                <w:color w:val="auto"/>
              </w:rPr>
            </w:pPr>
            <w:r>
              <w:rPr>
                <w:rFonts w:ascii="Arial" w:cs="Arial" w:eastAsia="Arial" w:hAnsi="Arial"/>
                <w:sz w:val="17"/>
                <w:szCs w:val="17"/>
                <w:color w:val="auto"/>
              </w:rPr>
              <w:t>Unearned revenue, long-term</w:t>
            </w:r>
          </w:p>
        </w:tc>
        <w:tc>
          <w:tcPr>
            <w:tcW w:w="220" w:type="dxa"/>
            <w:vAlign w:val="bottom"/>
          </w:tcPr>
          <w:p>
            <w:pPr>
              <w:jc w:val="right"/>
              <w:ind w:right="33"/>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7,824</w:t>
            </w:r>
          </w:p>
        </w:tc>
        <w:tc>
          <w:tcPr>
            <w:tcW w:w="160" w:type="dxa"/>
            <w:vAlign w:val="bottom"/>
          </w:tcPr>
          <w:p>
            <w:pPr>
              <w:spacing w:after="0"/>
              <w:rPr>
                <w:sz w:val="19"/>
                <w:szCs w:val="19"/>
                <w:color w:val="auto"/>
              </w:rPr>
            </w:pPr>
          </w:p>
        </w:tc>
        <w:tc>
          <w:tcPr>
            <w:tcW w:w="320" w:type="dxa"/>
            <w:vAlign w:val="bottom"/>
          </w:tcPr>
          <w:p>
            <w:pPr>
              <w:jc w:val="right"/>
              <w:ind w:right="133"/>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8,920</w:t>
            </w: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Capitalized commissions are classified as both current and long term in included in other assets. Significant changes in contract balances may arise as a result of recognition over time for services, transfer of control for equipment, and periodic payments (both in arrears and in advance).</w:t>
      </w:r>
    </w:p>
    <w:p>
      <w:pPr>
        <w:spacing w:after="0" w:line="10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From time to time, we may experience unforeseen events that could result in a change to the scope or price associated with an arrangement. When such events occur, we update the transaction price and measure of progress for the performance obligation and recognize the change as a cumulative catch-up to revenue. Because of the nature and type of contracts we engage in, the timeframe to completion and satisfaction of current and future performance obligations can shift; however, this will have no impact on our future obligation to bill and collect.</w:t>
      </w:r>
    </w:p>
    <w:p>
      <w:pPr>
        <w:spacing w:after="0" w:line="123"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As of December 30, 2022, we had $46.7 million in advance payments and unearned revenue and long-term unearned revenue, of which approximately 38% is expected to be recognized as revenue in the remainder of fiscal 2023 and the balance thereafter. During the three and six months ended December 30, 2022 we recognized $6.0 million and $11.9 million, respectively, of revenue which was included in advance payments and unearned revenue at July 1, 2022.</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Remaining Performance Obligations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aggregate amount of transaction price allocated to our unsatisfied (or partially unsatisfied) performance obligations was approximately $115.9 million at December 30, 2022. Of this amount, we expect to recognize approximately 51% as revenue during the next 12 months, with the remaining amount to be recognized as revenue within two to five years.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7. Segment and Geographic Information</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5"/>
          <w:szCs w:val="15"/>
          <w:color w:val="auto"/>
        </w:rPr>
        <w:t>We operate in one reportable business segment: the design, manufacturing, and sale of a range of wireless networking products, solutions, and services.</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Our financial performance is regularly reviewed by our chief operating decision maker who is our Chief Executive Officer (“CEO”).</w:t>
      </w:r>
    </w:p>
    <w:p>
      <w:pPr>
        <w:spacing w:after="0" w:line="15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report revenue by region and country based on the location where our customers accept delivery of our products and services. Revenue by region for the three and six months ended December 30, 2022 and December 31, 2021 was as follows:</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80" w:type="dxa"/>
            <w:vAlign w:val="bottom"/>
            <w:gridSpan w:val="5"/>
          </w:tcPr>
          <w:p>
            <w:pPr>
              <w:ind w:left="740"/>
              <w:spacing w:after="0"/>
              <w:rPr>
                <w:sz w:val="20"/>
                <w:szCs w:val="20"/>
                <w:color w:val="auto"/>
              </w:rPr>
            </w:pPr>
            <w:r>
              <w:rPr>
                <w:rFonts w:ascii="Arial" w:cs="Arial" w:eastAsia="Arial" w:hAnsi="Arial"/>
                <w:sz w:val="14"/>
                <w:szCs w:val="14"/>
                <w:b w:val="1"/>
                <w:bCs w:val="1"/>
                <w:color w:val="auto"/>
              </w:rPr>
              <w:t>Three Months Ended</w:t>
            </w:r>
          </w:p>
        </w:tc>
        <w:tc>
          <w:tcPr>
            <w:tcW w:w="240" w:type="dxa"/>
            <w:vAlign w:val="bottom"/>
          </w:tcPr>
          <w:p>
            <w:pPr>
              <w:spacing w:after="0"/>
              <w:rPr>
                <w:sz w:val="15"/>
                <w:szCs w:val="15"/>
                <w:color w:val="auto"/>
              </w:rPr>
            </w:pPr>
          </w:p>
        </w:tc>
        <w:tc>
          <w:tcPr>
            <w:tcW w:w="2980" w:type="dxa"/>
            <w:vAlign w:val="bottom"/>
            <w:gridSpan w:val="4"/>
          </w:tcPr>
          <w:p>
            <w:pPr>
              <w:jc w:val="right"/>
              <w:ind w:right="978"/>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4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44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ind w:left="140"/>
              <w:spacing w:after="0" w:line="127" w:lineRule="exact"/>
              <w:rPr>
                <w:sz w:val="20"/>
                <w:szCs w:val="20"/>
                <w:color w:val="auto"/>
              </w:rPr>
            </w:pPr>
            <w:r>
              <w:rPr>
                <w:rFonts w:ascii="Arial" w:cs="Arial" w:eastAsia="Arial" w:hAnsi="Arial"/>
                <w:sz w:val="14"/>
                <w:szCs w:val="14"/>
                <w:b w:val="1"/>
                <w:bCs w:val="1"/>
                <w:color w:val="auto"/>
              </w:rPr>
              <w:t>December 30,</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78"/>
              <w:spacing w:after="0" w:line="127"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240" w:type="dxa"/>
            <w:vAlign w:val="bottom"/>
            <w:tcBorders>
              <w:top w:val="single" w:sz="8" w:color="auto"/>
            </w:tcBorders>
          </w:tcPr>
          <w:p>
            <w:pPr>
              <w:spacing w:after="0"/>
              <w:rPr>
                <w:sz w:val="11"/>
                <w:szCs w:val="11"/>
                <w:color w:val="auto"/>
              </w:rPr>
            </w:pPr>
          </w:p>
        </w:tc>
        <w:tc>
          <w:tcPr>
            <w:tcW w:w="1420" w:type="dxa"/>
            <w:vAlign w:val="bottom"/>
            <w:tcBorders>
              <w:top w:val="single" w:sz="8" w:color="auto"/>
            </w:tcBorders>
            <w:gridSpan w:val="2"/>
          </w:tcPr>
          <w:p>
            <w:pPr>
              <w:ind w:left="140"/>
              <w:spacing w:after="0" w:line="127" w:lineRule="exact"/>
              <w:rPr>
                <w:sz w:val="20"/>
                <w:szCs w:val="20"/>
                <w:color w:val="auto"/>
              </w:rPr>
            </w:pPr>
            <w:r>
              <w:rPr>
                <w:rFonts w:ascii="Arial" w:cs="Arial" w:eastAsia="Arial" w:hAnsi="Arial"/>
                <w:sz w:val="14"/>
                <w:szCs w:val="14"/>
                <w:b w:val="1"/>
                <w:bCs w:val="1"/>
                <w:color w:val="auto"/>
              </w:rPr>
              <w:t>December 30,</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tcPr>
          <w:p>
            <w:pPr>
              <w:jc w:val="right"/>
              <w:ind w:right="298"/>
              <w:spacing w:after="0" w:line="12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48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0"/>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North America</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52,049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51,046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100,897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101,983</w:t>
            </w:r>
          </w:p>
        </w:tc>
        <w:tc>
          <w:tcPr>
            <w:tcW w:w="0" w:type="dxa"/>
            <w:vAlign w:val="bottom"/>
          </w:tcPr>
          <w:p>
            <w:pPr>
              <w:spacing w:after="0"/>
              <w:rPr>
                <w:sz w:val="1"/>
                <w:szCs w:val="1"/>
                <w:color w:val="auto"/>
              </w:rPr>
            </w:pPr>
          </w:p>
        </w:tc>
      </w:tr>
      <w:tr>
        <w:trPr>
          <w:trHeight w:val="222"/>
        </w:trPr>
        <w:tc>
          <w:tcPr>
            <w:tcW w:w="4480" w:type="dxa"/>
            <w:vAlign w:val="bottom"/>
          </w:tcPr>
          <w:p>
            <w:pPr>
              <w:ind w:left="20"/>
              <w:spacing w:after="0"/>
              <w:rPr>
                <w:sz w:val="20"/>
                <w:szCs w:val="20"/>
                <w:color w:val="auto"/>
              </w:rPr>
            </w:pPr>
            <w:r>
              <w:rPr>
                <w:rFonts w:ascii="Arial" w:cs="Arial" w:eastAsia="Arial" w:hAnsi="Arial"/>
                <w:sz w:val="17"/>
                <w:szCs w:val="17"/>
                <w:color w:val="auto"/>
              </w:rPr>
              <w:t>Africa and the Middle East</w:t>
            </w: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14,135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13,535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25,119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24,237</w:t>
            </w:r>
          </w:p>
        </w:tc>
        <w:tc>
          <w:tcPr>
            <w:tcW w:w="0" w:type="dxa"/>
            <w:vAlign w:val="bottom"/>
          </w:tcPr>
          <w:p>
            <w:pPr>
              <w:spacing w:after="0"/>
              <w:rPr>
                <w:sz w:val="1"/>
                <w:szCs w:val="1"/>
                <w:color w:val="auto"/>
              </w:rPr>
            </w:pPr>
          </w:p>
        </w:tc>
      </w:tr>
      <w:tr>
        <w:trPr>
          <w:trHeight w:val="222"/>
        </w:trPr>
        <w:tc>
          <w:tcPr>
            <w:tcW w:w="44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Europe</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5,611</w:t>
            </w:r>
          </w:p>
        </w:tc>
        <w:tc>
          <w:tcPr>
            <w:tcW w:w="0" w:type="dxa"/>
            <w:vAlign w:val="bottom"/>
          </w:tcPr>
          <w:p>
            <w:pPr>
              <w:spacing w:after="0"/>
              <w:rPr>
                <w:sz w:val="1"/>
                <w:szCs w:val="1"/>
                <w:color w:val="auto"/>
              </w:rPr>
            </w:pPr>
          </w:p>
        </w:tc>
      </w:tr>
      <w:tr>
        <w:trPr>
          <w:trHeight w:val="222"/>
        </w:trPr>
        <w:tc>
          <w:tcPr>
            <w:tcW w:w="44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Latin America and Asia Pacific</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19,165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10,375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36,084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19,191</w:t>
            </w:r>
          </w:p>
        </w:tc>
        <w:tc>
          <w:tcPr>
            <w:tcW w:w="0" w:type="dxa"/>
            <w:vAlign w:val="bottom"/>
          </w:tcPr>
          <w:p>
            <w:pPr>
              <w:spacing w:after="0"/>
              <w:rPr>
                <w:sz w:val="1"/>
                <w:szCs w:val="1"/>
                <w:color w:val="auto"/>
              </w:rPr>
            </w:pPr>
          </w:p>
        </w:tc>
      </w:tr>
      <w:tr>
        <w:trPr>
          <w:trHeight w:val="240"/>
        </w:trPr>
        <w:tc>
          <w:tcPr>
            <w:tcW w:w="448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revenue</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90,683</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77,864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171,934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151,022</w:t>
            </w:r>
          </w:p>
        </w:tc>
        <w:tc>
          <w:tcPr>
            <w:tcW w:w="0" w:type="dxa"/>
            <w:vAlign w:val="bottom"/>
          </w:tcPr>
          <w:p>
            <w:pPr>
              <w:spacing w:after="0"/>
              <w:rPr>
                <w:sz w:val="1"/>
                <w:szCs w:val="1"/>
                <w:color w:val="auto"/>
              </w:rPr>
            </w:pPr>
          </w:p>
        </w:tc>
      </w:tr>
      <w:tr>
        <w:trPr>
          <w:trHeight w:val="20"/>
        </w:trPr>
        <w:tc>
          <w:tcPr>
            <w:tcW w:w="44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The loss of a significant portion of business from any significant customers could adversely affect our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5" w:right="339" w:bottom="1440" w:gutter="0" w:footer="0" w:header="0"/>
        </w:sectPr>
      </w:pPr>
    </w:p>
    <w:bookmarkStart w:id="18" w:name="page19"/>
    <w:bookmarkEnd w:id="18"/>
    <w:tbl>
      <w:tblPr>
        <w:tblLayout w:type="fixed"/>
        <w:tblInd w:w="0" w:type="dxa"/>
        <w:tblCellMar>
          <w:top w:w="0" w:type="dxa"/>
          <w:left w:w="0" w:type="dxa"/>
          <w:bottom w:w="0" w:type="dxa"/>
          <w:right w:w="0" w:type="dxa"/>
        </w:tblCellMar>
      </w:tblPr>
      <w:tr>
        <w:trPr>
          <w:trHeight w:val="221"/>
        </w:trPr>
        <w:tc>
          <w:tcPr>
            <w:tcW w:w="360" w:type="dxa"/>
            <w:vAlign w:val="bottom"/>
          </w:tcPr>
          <w:p>
            <w:pPr>
              <w:spacing w:after="0"/>
              <w:rPr>
                <w:sz w:val="19"/>
                <w:szCs w:val="19"/>
                <w:color w:val="auto"/>
              </w:rPr>
            </w:pPr>
          </w:p>
        </w:tc>
        <w:tc>
          <w:tcPr>
            <w:tcW w:w="1220" w:type="dxa"/>
            <w:vAlign w:val="bottom"/>
          </w:tcPr>
          <w:p>
            <w:pPr>
              <w:ind w:left="120"/>
              <w:spacing w:after="0"/>
              <w:rPr>
                <w:sz w:val="20"/>
                <w:szCs w:val="20"/>
                <w:color w:val="auto"/>
              </w:rPr>
            </w:pPr>
            <w:r>
              <w:rPr>
                <w:rFonts w:ascii="Arial" w:cs="Arial" w:eastAsia="Arial" w:hAnsi="Arial"/>
                <w:sz w:val="17"/>
                <w:szCs w:val="17"/>
                <w:color w:val="auto"/>
              </w:rPr>
              <w:t>Customers</w:t>
            </w:r>
          </w:p>
        </w:tc>
        <w:tc>
          <w:tcPr>
            <w:tcW w:w="1080" w:type="dxa"/>
            <w:vAlign w:val="bottom"/>
          </w:tcPr>
          <w:p>
            <w:pPr>
              <w:ind w:left="140"/>
              <w:spacing w:after="0"/>
              <w:rPr>
                <w:sz w:val="20"/>
                <w:szCs w:val="20"/>
                <w:color w:val="auto"/>
              </w:rPr>
            </w:pPr>
            <w:r>
              <w:rPr>
                <w:rFonts w:ascii="Arial" w:cs="Arial" w:eastAsia="Arial" w:hAnsi="Arial"/>
                <w:sz w:val="17"/>
                <w:szCs w:val="17"/>
                <w:color w:val="auto"/>
              </w:rPr>
              <w:t>accounting</w:t>
            </w:r>
          </w:p>
        </w:tc>
        <w:tc>
          <w:tcPr>
            <w:tcW w:w="680" w:type="dxa"/>
            <w:vAlign w:val="bottom"/>
          </w:tcPr>
          <w:p>
            <w:pPr>
              <w:ind w:left="320"/>
              <w:spacing w:after="0"/>
              <w:rPr>
                <w:sz w:val="20"/>
                <w:szCs w:val="20"/>
                <w:color w:val="auto"/>
              </w:rPr>
            </w:pPr>
            <w:r>
              <w:rPr>
                <w:rFonts w:ascii="Arial" w:cs="Arial" w:eastAsia="Arial" w:hAnsi="Arial"/>
                <w:sz w:val="17"/>
                <w:szCs w:val="17"/>
                <w:color w:val="auto"/>
              </w:rPr>
              <w:t>for</w:t>
            </w:r>
          </w:p>
        </w:tc>
        <w:tc>
          <w:tcPr>
            <w:tcW w:w="800" w:type="dxa"/>
            <w:vAlign w:val="bottom"/>
          </w:tcPr>
          <w:p>
            <w:pPr>
              <w:jc w:val="right"/>
              <w:ind w:right="73"/>
              <w:spacing w:after="0"/>
              <w:rPr>
                <w:sz w:val="20"/>
                <w:szCs w:val="20"/>
                <w:color w:val="auto"/>
              </w:rPr>
            </w:pPr>
            <w:r>
              <w:rPr>
                <w:rFonts w:ascii="Arial" w:cs="Arial" w:eastAsia="Arial" w:hAnsi="Arial"/>
                <w:sz w:val="17"/>
                <w:szCs w:val="17"/>
                <w:color w:val="auto"/>
              </w:rPr>
              <w:t>10%</w:t>
            </w:r>
          </w:p>
        </w:tc>
        <w:tc>
          <w:tcPr>
            <w:tcW w:w="560" w:type="dxa"/>
            <w:vAlign w:val="bottom"/>
          </w:tcPr>
          <w:p>
            <w:pPr>
              <w:ind w:left="340"/>
              <w:spacing w:after="0"/>
              <w:rPr>
                <w:sz w:val="20"/>
                <w:szCs w:val="20"/>
                <w:color w:val="auto"/>
              </w:rPr>
            </w:pPr>
            <w:r>
              <w:rPr>
                <w:rFonts w:ascii="Arial" w:cs="Arial" w:eastAsia="Arial" w:hAnsi="Arial"/>
                <w:sz w:val="17"/>
                <w:szCs w:val="17"/>
                <w:color w:val="auto"/>
              </w:rPr>
              <w:t>or</w:t>
            </w:r>
          </w:p>
        </w:tc>
        <w:tc>
          <w:tcPr>
            <w:tcW w:w="980" w:type="dxa"/>
            <w:vAlign w:val="bottom"/>
          </w:tcPr>
          <w:p>
            <w:pPr>
              <w:ind w:left="420"/>
              <w:spacing w:after="0"/>
              <w:rPr>
                <w:sz w:val="20"/>
                <w:szCs w:val="20"/>
                <w:color w:val="auto"/>
              </w:rPr>
            </w:pPr>
            <w:r>
              <w:rPr>
                <w:rFonts w:ascii="Arial" w:cs="Arial" w:eastAsia="Arial" w:hAnsi="Arial"/>
                <w:sz w:val="17"/>
                <w:szCs w:val="17"/>
                <w:color w:val="auto"/>
              </w:rPr>
              <w:t>more</w:t>
            </w:r>
          </w:p>
        </w:tc>
        <w:tc>
          <w:tcPr>
            <w:tcW w:w="640" w:type="dxa"/>
            <w:vAlign w:val="bottom"/>
          </w:tcPr>
          <w:p>
            <w:pPr>
              <w:jc w:val="right"/>
              <w:ind w:right="116"/>
              <w:spacing w:after="0"/>
              <w:rPr>
                <w:sz w:val="20"/>
                <w:szCs w:val="20"/>
                <w:color w:val="auto"/>
              </w:rPr>
            </w:pPr>
            <w:r>
              <w:rPr>
                <w:rFonts w:ascii="Arial" w:cs="Arial" w:eastAsia="Arial" w:hAnsi="Arial"/>
                <w:sz w:val="17"/>
                <w:szCs w:val="17"/>
                <w:color w:val="auto"/>
              </w:rPr>
              <w:t>of</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ind w:left="40"/>
              <w:spacing w:after="0"/>
              <w:rPr>
                <w:sz w:val="20"/>
                <w:szCs w:val="20"/>
                <w:color w:val="auto"/>
              </w:rPr>
            </w:pPr>
            <w:r>
              <w:rPr>
                <w:rFonts w:ascii="Arial" w:cs="Arial" w:eastAsia="Arial" w:hAnsi="Arial"/>
                <w:sz w:val="17"/>
                <w:szCs w:val="17"/>
                <w:color w:val="auto"/>
              </w:rPr>
              <w:t>our</w:t>
            </w:r>
          </w:p>
        </w:tc>
        <w:tc>
          <w:tcPr>
            <w:tcW w:w="1020" w:type="dxa"/>
            <w:vAlign w:val="bottom"/>
            <w:gridSpan w:val="2"/>
          </w:tcPr>
          <w:p>
            <w:pPr>
              <w:jc w:val="right"/>
              <w:ind w:right="290"/>
              <w:spacing w:after="0"/>
              <w:rPr>
                <w:sz w:val="20"/>
                <w:szCs w:val="20"/>
                <w:color w:val="auto"/>
              </w:rPr>
            </w:pPr>
            <w:r>
              <w:rPr>
                <w:rFonts w:ascii="Arial" w:cs="Arial" w:eastAsia="Arial" w:hAnsi="Arial"/>
                <w:sz w:val="17"/>
                <w:szCs w:val="17"/>
                <w:color w:val="auto"/>
              </w:rPr>
              <w:t>total</w:t>
            </w:r>
          </w:p>
        </w:tc>
        <w:tc>
          <w:tcPr>
            <w:tcW w:w="100" w:type="dxa"/>
            <w:vAlign w:val="bottom"/>
          </w:tcPr>
          <w:p>
            <w:pPr>
              <w:spacing w:after="0"/>
              <w:rPr>
                <w:sz w:val="19"/>
                <w:szCs w:val="19"/>
                <w:color w:val="auto"/>
              </w:rPr>
            </w:pPr>
          </w:p>
        </w:tc>
        <w:tc>
          <w:tcPr>
            <w:tcW w:w="980" w:type="dxa"/>
            <w:vAlign w:val="bottom"/>
          </w:tcPr>
          <w:p>
            <w:pPr>
              <w:jc w:val="center"/>
              <w:ind w:right="302"/>
              <w:spacing w:after="0"/>
              <w:rPr>
                <w:sz w:val="20"/>
                <w:szCs w:val="20"/>
                <w:color w:val="auto"/>
              </w:rPr>
            </w:pPr>
            <w:r>
              <w:rPr>
                <w:rFonts w:ascii="Arial" w:cs="Arial" w:eastAsia="Arial" w:hAnsi="Arial"/>
                <w:sz w:val="17"/>
                <w:szCs w:val="17"/>
                <w:color w:val="auto"/>
                <w:w w:val="91"/>
              </w:rPr>
              <w:t>revenue</w:t>
            </w:r>
          </w:p>
        </w:tc>
        <w:tc>
          <w:tcPr>
            <w:tcW w:w="740" w:type="dxa"/>
            <w:vAlign w:val="bottom"/>
            <w:gridSpan w:val="4"/>
          </w:tcPr>
          <w:p>
            <w:pPr>
              <w:ind w:left="100"/>
              <w:spacing w:after="0"/>
              <w:rPr>
                <w:sz w:val="20"/>
                <w:szCs w:val="20"/>
                <w:color w:val="auto"/>
              </w:rPr>
            </w:pPr>
            <w:r>
              <w:rPr>
                <w:rFonts w:ascii="Arial" w:cs="Arial" w:eastAsia="Arial" w:hAnsi="Arial"/>
                <w:sz w:val="17"/>
                <w:szCs w:val="17"/>
                <w:color w:val="auto"/>
              </w:rPr>
              <w:t>were</w:t>
            </w:r>
          </w:p>
        </w:tc>
        <w:tc>
          <w:tcPr>
            <w:tcW w:w="480" w:type="dxa"/>
            <w:vAlign w:val="bottom"/>
          </w:tcPr>
          <w:p>
            <w:pPr>
              <w:ind w:left="180"/>
              <w:spacing w:after="0"/>
              <w:rPr>
                <w:sz w:val="20"/>
                <w:szCs w:val="20"/>
                <w:color w:val="auto"/>
              </w:rPr>
            </w:pPr>
            <w:r>
              <w:rPr>
                <w:rFonts w:ascii="Arial" w:cs="Arial" w:eastAsia="Arial" w:hAnsi="Arial"/>
                <w:sz w:val="17"/>
                <w:szCs w:val="17"/>
                <w:color w:val="auto"/>
              </w:rPr>
              <w:t>as</w:t>
            </w:r>
          </w:p>
        </w:tc>
        <w:tc>
          <w:tcPr>
            <w:tcW w:w="920" w:type="dxa"/>
            <w:vAlign w:val="bottom"/>
          </w:tcPr>
          <w:p>
            <w:pPr>
              <w:jc w:val="right"/>
              <w:spacing w:after="0"/>
              <w:rPr>
                <w:sz w:val="20"/>
                <w:szCs w:val="20"/>
                <w:color w:val="auto"/>
              </w:rPr>
            </w:pPr>
            <w:r>
              <w:rPr>
                <w:rFonts w:ascii="Arial" w:cs="Arial" w:eastAsia="Arial" w:hAnsi="Arial"/>
                <w:sz w:val="17"/>
                <w:szCs w:val="17"/>
                <w:color w:val="auto"/>
              </w:rPr>
              <w:t>follows:</w:t>
            </w:r>
          </w:p>
        </w:tc>
      </w:tr>
      <w:tr>
        <w:trPr>
          <w:trHeight w:val="199"/>
        </w:trPr>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320" w:type="dxa"/>
            <w:vAlign w:val="bottom"/>
            <w:gridSpan w:val="4"/>
          </w:tcPr>
          <w:p>
            <w:pPr>
              <w:ind w:left="40"/>
              <w:spacing w:after="0"/>
              <w:rPr>
                <w:sz w:val="20"/>
                <w:szCs w:val="20"/>
                <w:color w:val="auto"/>
              </w:rPr>
            </w:pPr>
            <w:r>
              <w:rPr>
                <w:rFonts w:ascii="Arial" w:cs="Arial" w:eastAsia="Arial" w:hAnsi="Arial"/>
                <w:sz w:val="14"/>
                <w:szCs w:val="14"/>
                <w:b w:val="1"/>
                <w:bCs w:val="1"/>
                <w:color w:val="auto"/>
                <w:w w:val="90"/>
              </w:rPr>
              <w:t>Three Months Ended</w:t>
            </w:r>
          </w:p>
        </w:tc>
        <w:tc>
          <w:tcPr>
            <w:tcW w:w="4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20" w:type="dxa"/>
            <w:vAlign w:val="bottom"/>
            <w:gridSpan w:val="5"/>
          </w:tcPr>
          <w:p>
            <w:pPr>
              <w:ind w:left="40"/>
              <w:spacing w:after="0"/>
              <w:rPr>
                <w:sz w:val="20"/>
                <w:szCs w:val="20"/>
                <w:color w:val="auto"/>
              </w:rPr>
            </w:pPr>
            <w:r>
              <w:rPr>
                <w:rFonts w:ascii="Arial" w:cs="Arial" w:eastAsia="Arial" w:hAnsi="Arial"/>
                <w:sz w:val="14"/>
                <w:szCs w:val="14"/>
                <w:b w:val="1"/>
                <w:bCs w:val="1"/>
                <w:color w:val="auto"/>
                <w:w w:val="95"/>
              </w:rPr>
              <w:t>Six Months Ended</w:t>
            </w:r>
          </w:p>
        </w:tc>
        <w:tc>
          <w:tcPr>
            <w:tcW w:w="920" w:type="dxa"/>
            <w:vAlign w:val="bottom"/>
          </w:tcPr>
          <w:p>
            <w:pPr>
              <w:spacing w:after="0"/>
              <w:rPr>
                <w:sz w:val="17"/>
                <w:szCs w:val="17"/>
                <w:color w:val="auto"/>
              </w:rPr>
            </w:pPr>
          </w:p>
        </w:tc>
      </w:tr>
      <w:tr>
        <w:trPr>
          <w:trHeight w:val="23"/>
        </w:trPr>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gridSpan w:val="2"/>
          </w:tcPr>
          <w:p>
            <w:pPr>
              <w:spacing w:after="0"/>
              <w:rPr>
                <w:sz w:val="2"/>
                <w:szCs w:val="2"/>
                <w:color w:val="auto"/>
              </w:rPr>
            </w:pPr>
          </w:p>
        </w:tc>
      </w:tr>
      <w:tr>
        <w:trPr>
          <w:trHeight w:val="127"/>
        </w:trPr>
        <w:tc>
          <w:tcPr>
            <w:tcW w:w="3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620" w:type="dxa"/>
            <w:vAlign w:val="bottom"/>
            <w:gridSpan w:val="2"/>
          </w:tcPr>
          <w:p>
            <w:pPr>
              <w:jc w:val="center"/>
              <w:spacing w:after="0" w:line="127" w:lineRule="exact"/>
              <w:rPr>
                <w:sz w:val="20"/>
                <w:szCs w:val="20"/>
                <w:color w:val="auto"/>
              </w:rPr>
            </w:pPr>
            <w:r>
              <w:rPr>
                <w:rFonts w:ascii="Arial" w:cs="Arial" w:eastAsia="Arial" w:hAnsi="Arial"/>
                <w:sz w:val="14"/>
                <w:szCs w:val="14"/>
                <w:b w:val="1"/>
                <w:bCs w:val="1"/>
                <w:color w:val="auto"/>
                <w:w w:val="90"/>
              </w:rPr>
              <w:t>December 30,</w:t>
            </w: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440" w:type="dxa"/>
            <w:vAlign w:val="bottom"/>
            <w:gridSpan w:val="3"/>
          </w:tcPr>
          <w:p>
            <w:pPr>
              <w:jc w:val="right"/>
              <w:ind w:right="330"/>
              <w:spacing w:after="0" w:line="127" w:lineRule="exact"/>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11"/>
                <w:szCs w:val="11"/>
                <w:color w:val="auto"/>
              </w:rPr>
            </w:pPr>
          </w:p>
        </w:tc>
        <w:tc>
          <w:tcPr>
            <w:tcW w:w="1720" w:type="dxa"/>
            <w:vAlign w:val="bottom"/>
            <w:gridSpan w:val="5"/>
          </w:tcPr>
          <w:p>
            <w:pPr>
              <w:jc w:val="center"/>
              <w:ind w:right="80"/>
              <w:spacing w:after="0" w:line="127" w:lineRule="exact"/>
              <w:rPr>
                <w:sz w:val="20"/>
                <w:szCs w:val="20"/>
                <w:color w:val="auto"/>
              </w:rPr>
            </w:pPr>
            <w:r>
              <w:rPr>
                <w:rFonts w:ascii="Arial" w:cs="Arial" w:eastAsia="Arial" w:hAnsi="Arial"/>
                <w:sz w:val="14"/>
                <w:szCs w:val="14"/>
                <w:b w:val="1"/>
                <w:bCs w:val="1"/>
                <w:color w:val="auto"/>
                <w:w w:val="87"/>
              </w:rPr>
              <w:t>December 30,</w:t>
            </w:r>
          </w:p>
        </w:tc>
        <w:tc>
          <w:tcPr>
            <w:tcW w:w="1400" w:type="dxa"/>
            <w:vAlign w:val="bottom"/>
            <w:gridSpan w:val="2"/>
          </w:tcPr>
          <w:p>
            <w:pPr>
              <w:jc w:val="right"/>
              <w:ind w:right="196"/>
              <w:spacing w:after="0" w:line="127" w:lineRule="exact"/>
              <w:rPr>
                <w:sz w:val="20"/>
                <w:szCs w:val="20"/>
                <w:color w:val="auto"/>
              </w:rPr>
            </w:pPr>
            <w:r>
              <w:rPr>
                <w:rFonts w:ascii="Arial" w:cs="Arial" w:eastAsia="Arial" w:hAnsi="Arial"/>
                <w:sz w:val="14"/>
                <w:szCs w:val="14"/>
                <w:b w:val="1"/>
                <w:bCs w:val="1"/>
                <w:color w:val="auto"/>
              </w:rPr>
              <w:t>December 31,</w:t>
            </w:r>
          </w:p>
        </w:tc>
      </w:tr>
      <w:tr>
        <w:trPr>
          <w:trHeight w:val="187"/>
        </w:trPr>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980" w:type="dxa"/>
            <w:vAlign w:val="bottom"/>
          </w:tcPr>
          <w:p>
            <w:pPr>
              <w:jc w:val="right"/>
              <w:spacing w:after="0"/>
              <w:rPr>
                <w:sz w:val="20"/>
                <w:szCs w:val="20"/>
                <w:color w:val="auto"/>
              </w:rPr>
            </w:pPr>
            <w:r>
              <w:rPr>
                <w:rFonts w:ascii="Arial" w:cs="Arial" w:eastAsia="Arial" w:hAnsi="Arial"/>
                <w:sz w:val="14"/>
                <w:szCs w:val="14"/>
                <w:b w:val="1"/>
                <w:bCs w:val="1"/>
                <w:color w:val="auto"/>
              </w:rPr>
              <w:t>2022</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60" w:type="dxa"/>
            <w:vAlign w:val="bottom"/>
          </w:tcPr>
          <w:p>
            <w:pPr>
              <w:jc w:val="right"/>
              <w:ind w:right="16"/>
              <w:spacing w:after="0"/>
              <w:rPr>
                <w:sz w:val="20"/>
                <w:szCs w:val="20"/>
                <w:color w:val="auto"/>
              </w:rPr>
            </w:pPr>
            <w:r>
              <w:rPr>
                <w:rFonts w:ascii="Arial" w:cs="Arial" w:eastAsia="Arial" w:hAnsi="Arial"/>
                <w:sz w:val="14"/>
                <w:szCs w:val="14"/>
                <w:b w:val="1"/>
                <w:bCs w:val="1"/>
                <w:color w:val="auto"/>
              </w:rPr>
              <w:t>2021</w:t>
            </w:r>
          </w:p>
        </w:tc>
        <w:tc>
          <w:tcPr>
            <w:tcW w:w="560" w:type="dxa"/>
            <w:vAlign w:val="bottom"/>
          </w:tcPr>
          <w:p>
            <w:pPr>
              <w:spacing w:after="0"/>
              <w:rPr>
                <w:sz w:val="16"/>
                <w:szCs w:val="16"/>
                <w:color w:val="auto"/>
              </w:rPr>
            </w:pPr>
          </w:p>
        </w:tc>
        <w:tc>
          <w:tcPr>
            <w:tcW w:w="1080" w:type="dxa"/>
            <w:vAlign w:val="bottom"/>
            <w:gridSpan w:val="2"/>
          </w:tcPr>
          <w:p>
            <w:pPr>
              <w:jc w:val="right"/>
              <w:spacing w:after="0"/>
              <w:rPr>
                <w:sz w:val="20"/>
                <w:szCs w:val="20"/>
                <w:color w:val="auto"/>
              </w:rPr>
            </w:pPr>
            <w:r>
              <w:rPr>
                <w:rFonts w:ascii="Arial" w:cs="Arial" w:eastAsia="Arial" w:hAnsi="Arial"/>
                <w:sz w:val="14"/>
                <w:szCs w:val="14"/>
                <w:b w:val="1"/>
                <w:bCs w:val="1"/>
                <w:color w:val="auto"/>
              </w:rPr>
              <w:t>2022</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20" w:type="dxa"/>
            <w:vAlign w:val="bottom"/>
          </w:tcPr>
          <w:p>
            <w:pPr>
              <w:jc w:val="right"/>
              <w:ind w:right="476"/>
              <w:spacing w:after="0"/>
              <w:rPr>
                <w:sz w:val="20"/>
                <w:szCs w:val="20"/>
                <w:color w:val="auto"/>
              </w:rPr>
            </w:pPr>
            <w:r>
              <w:rPr>
                <w:rFonts w:ascii="Arial" w:cs="Arial" w:eastAsia="Arial" w:hAnsi="Arial"/>
                <w:sz w:val="14"/>
                <w:szCs w:val="14"/>
                <w:b w:val="1"/>
                <w:bCs w:val="1"/>
                <w:color w:val="auto"/>
              </w:rPr>
              <w:t>2021</w:t>
            </w:r>
          </w:p>
        </w:tc>
      </w:tr>
      <w:tr>
        <w:trPr>
          <w:trHeight w:val="220"/>
        </w:trPr>
        <w:tc>
          <w:tcPr>
            <w:tcW w:w="2660" w:type="dxa"/>
            <w:vAlign w:val="bottom"/>
            <w:tcBorders>
              <w:top w:val="single" w:sz="8" w:color="CCEEFF"/>
            </w:tcBorders>
            <w:gridSpan w:val="3"/>
            <w:shd w:val="clear" w:color="auto" w:fill="CCEEFF"/>
          </w:tcPr>
          <w:p>
            <w:pPr>
              <w:ind w:left="240"/>
              <w:spacing w:after="0"/>
              <w:rPr>
                <w:sz w:val="20"/>
                <w:szCs w:val="20"/>
                <w:color w:val="auto"/>
              </w:rPr>
            </w:pPr>
            <w:r>
              <w:rPr>
                <w:rFonts w:ascii="Arial" w:cs="Arial" w:eastAsia="Arial" w:hAnsi="Arial"/>
                <w:sz w:val="17"/>
                <w:szCs w:val="17"/>
                <w:color w:val="auto"/>
              </w:rPr>
              <w:t>Motorola Solutions, Inc.</w:t>
            </w:r>
          </w:p>
        </w:tc>
        <w:tc>
          <w:tcPr>
            <w:tcW w:w="68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CCEEFF"/>
            </w:tcBorders>
            <w:shd w:val="clear" w:color="auto" w:fill="CCEEFF"/>
          </w:tcPr>
          <w:p>
            <w:pPr>
              <w:spacing w:after="0"/>
              <w:rPr>
                <w:sz w:val="19"/>
                <w:szCs w:val="19"/>
                <w:color w:val="auto"/>
              </w:rPr>
            </w:pPr>
          </w:p>
        </w:tc>
        <w:tc>
          <w:tcPr>
            <w:tcW w:w="56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11.0 %</w:t>
            </w: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11.4 %</w:t>
            </w:r>
          </w:p>
        </w:tc>
        <w:tc>
          <w:tcPr>
            <w:tcW w:w="80" w:type="dxa"/>
            <w:vAlign w:val="bottom"/>
            <w:tcBorders>
              <w:top w:val="single" w:sz="8" w:color="CCEEFF"/>
            </w:tcBorders>
            <w:shd w:val="clear" w:color="auto" w:fill="CCEEFF"/>
          </w:tcPr>
          <w:p>
            <w:pPr>
              <w:spacing w:after="0"/>
              <w:rPr>
                <w:sz w:val="19"/>
                <w:szCs w:val="19"/>
                <w:color w:val="auto"/>
              </w:rPr>
            </w:pPr>
          </w:p>
        </w:tc>
        <w:tc>
          <w:tcPr>
            <w:tcW w:w="4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13.0 %</w:t>
            </w:r>
          </w:p>
        </w:tc>
      </w:tr>
      <w:tr>
        <w:trPr>
          <w:trHeight w:val="222"/>
        </w:trPr>
        <w:tc>
          <w:tcPr>
            <w:tcW w:w="1580" w:type="dxa"/>
            <w:vAlign w:val="bottom"/>
            <w:gridSpan w:val="2"/>
          </w:tcPr>
          <w:p>
            <w:pPr>
              <w:ind w:left="240"/>
              <w:spacing w:after="0"/>
              <w:rPr>
                <w:sz w:val="20"/>
                <w:szCs w:val="20"/>
                <w:color w:val="auto"/>
              </w:rPr>
            </w:pPr>
            <w:r>
              <w:rPr>
                <w:rFonts w:ascii="Arial" w:cs="Arial" w:eastAsia="Arial" w:hAnsi="Arial"/>
                <w:sz w:val="17"/>
                <w:szCs w:val="17"/>
                <w:color w:val="auto"/>
              </w:rPr>
              <w:t>Verizon Wireless</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10.1 %</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60" w:type="dxa"/>
            <w:vAlign w:val="bottom"/>
            <w:gridSpan w:val="3"/>
          </w:tcPr>
          <w:p>
            <w:pPr>
              <w:jc w:val="right"/>
              <w:ind w:right="2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301"/>
        </w:trPr>
        <w:tc>
          <w:tcPr>
            <w:tcW w:w="360" w:type="dxa"/>
            <w:vAlign w:val="bottom"/>
          </w:tcPr>
          <w:p>
            <w:pPr>
              <w:ind w:left="240"/>
              <w:spacing w:after="0"/>
              <w:rPr>
                <w:sz w:val="20"/>
                <w:szCs w:val="20"/>
                <w:color w:val="auto"/>
              </w:rPr>
            </w:pPr>
            <w:r>
              <w:rPr>
                <w:rFonts w:ascii="Arial" w:cs="Arial" w:eastAsia="Arial" w:hAnsi="Arial"/>
                <w:sz w:val="17"/>
                <w:szCs w:val="17"/>
                <w:color w:val="auto"/>
              </w:rPr>
              <w:t>*</w:t>
            </w:r>
          </w:p>
        </w:tc>
        <w:tc>
          <w:tcPr>
            <w:tcW w:w="2300" w:type="dxa"/>
            <w:vAlign w:val="bottom"/>
            <w:gridSpan w:val="2"/>
          </w:tcPr>
          <w:p>
            <w:pPr>
              <w:ind w:left="120"/>
              <w:spacing w:after="0"/>
              <w:rPr>
                <w:sz w:val="20"/>
                <w:szCs w:val="20"/>
                <w:color w:val="auto"/>
              </w:rPr>
            </w:pPr>
            <w:r>
              <w:rPr>
                <w:rFonts w:ascii="Arial" w:cs="Arial" w:eastAsia="Arial" w:hAnsi="Arial"/>
                <w:sz w:val="17"/>
                <w:szCs w:val="17"/>
                <w:color w:val="auto"/>
              </w:rPr>
              <w:t>Less than 10.0%</w:t>
            </w: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66"/>
        </w:trPr>
        <w:tc>
          <w:tcPr>
            <w:tcW w:w="360" w:type="dxa"/>
            <w:vAlign w:val="bottom"/>
          </w:tcPr>
          <w:p>
            <w:pPr>
              <w:spacing w:after="0"/>
              <w:rPr>
                <w:sz w:val="24"/>
                <w:szCs w:val="24"/>
                <w:color w:val="auto"/>
              </w:rPr>
            </w:pPr>
          </w:p>
        </w:tc>
        <w:tc>
          <w:tcPr>
            <w:tcW w:w="1220" w:type="dxa"/>
            <w:vAlign w:val="bottom"/>
          </w:tcPr>
          <w:p>
            <w:pPr>
              <w:ind w:left="120"/>
              <w:spacing w:after="0"/>
              <w:rPr>
                <w:sz w:val="20"/>
                <w:szCs w:val="20"/>
                <w:color w:val="auto"/>
              </w:rPr>
            </w:pPr>
            <w:r>
              <w:rPr>
                <w:rFonts w:ascii="Arial" w:cs="Arial" w:eastAsia="Arial" w:hAnsi="Arial"/>
                <w:sz w:val="17"/>
                <w:szCs w:val="17"/>
                <w:color w:val="auto"/>
              </w:rPr>
              <w:t>Customer</w:t>
            </w:r>
          </w:p>
        </w:tc>
        <w:tc>
          <w:tcPr>
            <w:tcW w:w="1080" w:type="dxa"/>
            <w:vAlign w:val="bottom"/>
          </w:tcPr>
          <w:p>
            <w:pPr>
              <w:ind w:left="40"/>
              <w:spacing w:after="0"/>
              <w:rPr>
                <w:sz w:val="20"/>
                <w:szCs w:val="20"/>
                <w:color w:val="auto"/>
              </w:rPr>
            </w:pPr>
            <w:r>
              <w:rPr>
                <w:rFonts w:ascii="Arial" w:cs="Arial" w:eastAsia="Arial" w:hAnsi="Arial"/>
                <w:sz w:val="17"/>
                <w:szCs w:val="17"/>
                <w:color w:val="auto"/>
              </w:rPr>
              <w:t>accounting</w:t>
            </w:r>
          </w:p>
        </w:tc>
        <w:tc>
          <w:tcPr>
            <w:tcW w:w="680" w:type="dxa"/>
            <w:vAlign w:val="bottom"/>
          </w:tcPr>
          <w:p>
            <w:pPr>
              <w:ind w:left="180"/>
              <w:spacing w:after="0"/>
              <w:rPr>
                <w:sz w:val="20"/>
                <w:szCs w:val="20"/>
                <w:color w:val="auto"/>
              </w:rPr>
            </w:pPr>
            <w:r>
              <w:rPr>
                <w:rFonts w:ascii="Arial" w:cs="Arial" w:eastAsia="Arial" w:hAnsi="Arial"/>
                <w:sz w:val="17"/>
                <w:szCs w:val="17"/>
                <w:color w:val="auto"/>
              </w:rPr>
              <w:t>for</w:t>
            </w:r>
          </w:p>
        </w:tc>
        <w:tc>
          <w:tcPr>
            <w:tcW w:w="800" w:type="dxa"/>
            <w:vAlign w:val="bottom"/>
          </w:tcPr>
          <w:p>
            <w:pPr>
              <w:jc w:val="right"/>
              <w:ind w:right="233"/>
              <w:spacing w:after="0"/>
              <w:rPr>
                <w:sz w:val="20"/>
                <w:szCs w:val="20"/>
                <w:color w:val="auto"/>
              </w:rPr>
            </w:pPr>
            <w:r>
              <w:rPr>
                <w:rFonts w:ascii="Arial" w:cs="Arial" w:eastAsia="Arial" w:hAnsi="Arial"/>
                <w:sz w:val="17"/>
                <w:szCs w:val="17"/>
                <w:color w:val="auto"/>
              </w:rPr>
              <w:t>10%</w:t>
            </w:r>
          </w:p>
        </w:tc>
        <w:tc>
          <w:tcPr>
            <w:tcW w:w="560" w:type="dxa"/>
            <w:vAlign w:val="bottom"/>
          </w:tcPr>
          <w:p>
            <w:pPr>
              <w:ind w:left="140"/>
              <w:spacing w:after="0"/>
              <w:rPr>
                <w:sz w:val="20"/>
                <w:szCs w:val="20"/>
                <w:color w:val="auto"/>
              </w:rPr>
            </w:pPr>
            <w:r>
              <w:rPr>
                <w:rFonts w:ascii="Arial" w:cs="Arial" w:eastAsia="Arial" w:hAnsi="Arial"/>
                <w:sz w:val="17"/>
                <w:szCs w:val="17"/>
                <w:color w:val="auto"/>
              </w:rPr>
              <w:t>or</w:t>
            </w:r>
          </w:p>
        </w:tc>
        <w:tc>
          <w:tcPr>
            <w:tcW w:w="980" w:type="dxa"/>
            <w:vAlign w:val="bottom"/>
          </w:tcPr>
          <w:p>
            <w:pPr>
              <w:ind w:left="200"/>
              <w:spacing w:after="0"/>
              <w:rPr>
                <w:sz w:val="20"/>
                <w:szCs w:val="20"/>
                <w:color w:val="auto"/>
              </w:rPr>
            </w:pPr>
            <w:r>
              <w:rPr>
                <w:rFonts w:ascii="Arial" w:cs="Arial" w:eastAsia="Arial" w:hAnsi="Arial"/>
                <w:sz w:val="17"/>
                <w:szCs w:val="17"/>
                <w:color w:val="auto"/>
              </w:rPr>
              <w:t>more</w:t>
            </w:r>
          </w:p>
        </w:tc>
        <w:tc>
          <w:tcPr>
            <w:tcW w:w="640" w:type="dxa"/>
            <w:vAlign w:val="bottom"/>
          </w:tcPr>
          <w:p>
            <w:pPr>
              <w:jc w:val="right"/>
              <w:ind w:right="376"/>
              <w:spacing w:after="0"/>
              <w:rPr>
                <w:sz w:val="20"/>
                <w:szCs w:val="20"/>
                <w:color w:val="auto"/>
              </w:rPr>
            </w:pPr>
            <w:r>
              <w:rPr>
                <w:rFonts w:ascii="Arial" w:cs="Arial" w:eastAsia="Arial" w:hAnsi="Arial"/>
                <w:sz w:val="17"/>
                <w:szCs w:val="17"/>
                <w:color w:val="auto"/>
              </w:rPr>
              <w:t>of</w:t>
            </w:r>
          </w:p>
        </w:tc>
        <w:tc>
          <w:tcPr>
            <w:tcW w:w="260" w:type="dxa"/>
            <w:vAlign w:val="bottom"/>
            <w:gridSpan w:val="2"/>
          </w:tcPr>
          <w:p>
            <w:pPr>
              <w:spacing w:after="0"/>
              <w:rPr>
                <w:sz w:val="20"/>
                <w:szCs w:val="20"/>
                <w:color w:val="auto"/>
              </w:rPr>
            </w:pPr>
            <w:r>
              <w:rPr>
                <w:rFonts w:ascii="Arial" w:cs="Arial" w:eastAsia="Arial" w:hAnsi="Arial"/>
                <w:sz w:val="17"/>
                <w:szCs w:val="17"/>
                <w:color w:val="auto"/>
                <w:w w:val="97"/>
              </w:rPr>
              <w:t>our</w:t>
            </w:r>
          </w:p>
        </w:tc>
        <w:tc>
          <w:tcPr>
            <w:tcW w:w="420" w:type="dxa"/>
            <w:vAlign w:val="bottom"/>
          </w:tcPr>
          <w:p>
            <w:pPr>
              <w:spacing w:after="0"/>
              <w:rPr>
                <w:sz w:val="24"/>
                <w:szCs w:val="24"/>
                <w:color w:val="auto"/>
              </w:rPr>
            </w:pPr>
          </w:p>
        </w:tc>
        <w:tc>
          <w:tcPr>
            <w:tcW w:w="1020" w:type="dxa"/>
            <w:vAlign w:val="bottom"/>
            <w:gridSpan w:val="2"/>
          </w:tcPr>
          <w:p>
            <w:pPr>
              <w:jc w:val="right"/>
              <w:ind w:right="330"/>
              <w:spacing w:after="0"/>
              <w:rPr>
                <w:sz w:val="20"/>
                <w:szCs w:val="20"/>
                <w:color w:val="auto"/>
              </w:rPr>
            </w:pPr>
            <w:r>
              <w:rPr>
                <w:rFonts w:ascii="Arial" w:cs="Arial" w:eastAsia="Arial" w:hAnsi="Arial"/>
                <w:sz w:val="17"/>
                <w:szCs w:val="17"/>
                <w:color w:val="auto"/>
                <w:w w:val="88"/>
              </w:rPr>
              <w:t>accounts</w:t>
            </w:r>
          </w:p>
        </w:tc>
        <w:tc>
          <w:tcPr>
            <w:tcW w:w="1080" w:type="dxa"/>
            <w:vAlign w:val="bottom"/>
            <w:gridSpan w:val="2"/>
          </w:tcPr>
          <w:p>
            <w:pPr>
              <w:jc w:val="center"/>
              <w:ind w:right="162"/>
              <w:spacing w:after="0"/>
              <w:rPr>
                <w:sz w:val="20"/>
                <w:szCs w:val="20"/>
                <w:color w:val="auto"/>
              </w:rPr>
            </w:pPr>
            <w:r>
              <w:rPr>
                <w:rFonts w:ascii="Arial" w:cs="Arial" w:eastAsia="Arial" w:hAnsi="Arial"/>
                <w:sz w:val="17"/>
                <w:szCs w:val="17"/>
                <w:color w:val="auto"/>
                <w:w w:val="92"/>
              </w:rPr>
              <w:t>receivable</w:t>
            </w:r>
          </w:p>
        </w:tc>
        <w:tc>
          <w:tcPr>
            <w:tcW w:w="140" w:type="dxa"/>
            <w:vAlign w:val="bottom"/>
          </w:tcPr>
          <w:p>
            <w:pPr>
              <w:spacing w:after="0"/>
              <w:rPr>
                <w:sz w:val="24"/>
                <w:szCs w:val="24"/>
                <w:color w:val="auto"/>
              </w:rPr>
            </w:pPr>
          </w:p>
        </w:tc>
        <w:tc>
          <w:tcPr>
            <w:tcW w:w="600" w:type="dxa"/>
            <w:vAlign w:val="bottom"/>
            <w:gridSpan w:val="3"/>
          </w:tcPr>
          <w:p>
            <w:pPr>
              <w:ind w:left="20"/>
              <w:spacing w:after="0"/>
              <w:rPr>
                <w:sz w:val="20"/>
                <w:szCs w:val="20"/>
                <w:color w:val="auto"/>
              </w:rPr>
            </w:pPr>
            <w:r>
              <w:rPr>
                <w:rFonts w:ascii="Arial" w:cs="Arial" w:eastAsia="Arial" w:hAnsi="Arial"/>
                <w:sz w:val="17"/>
                <w:szCs w:val="17"/>
                <w:color w:val="auto"/>
              </w:rPr>
              <w:t>were</w:t>
            </w:r>
          </w:p>
        </w:tc>
        <w:tc>
          <w:tcPr>
            <w:tcW w:w="480" w:type="dxa"/>
            <w:vAlign w:val="bottom"/>
          </w:tcPr>
          <w:p>
            <w:pPr>
              <w:ind w:left="220"/>
              <w:spacing w:after="0"/>
              <w:rPr>
                <w:sz w:val="20"/>
                <w:szCs w:val="20"/>
                <w:color w:val="auto"/>
              </w:rPr>
            </w:pPr>
            <w:r>
              <w:rPr>
                <w:rFonts w:ascii="Arial" w:cs="Arial" w:eastAsia="Arial" w:hAnsi="Arial"/>
                <w:sz w:val="17"/>
                <w:szCs w:val="17"/>
                <w:color w:val="auto"/>
              </w:rPr>
              <w:t>as</w:t>
            </w:r>
          </w:p>
        </w:tc>
        <w:tc>
          <w:tcPr>
            <w:tcW w:w="920" w:type="dxa"/>
            <w:vAlign w:val="bottom"/>
          </w:tcPr>
          <w:p>
            <w:pPr>
              <w:jc w:val="right"/>
              <w:spacing w:after="0"/>
              <w:rPr>
                <w:sz w:val="20"/>
                <w:szCs w:val="20"/>
                <w:color w:val="auto"/>
              </w:rPr>
            </w:pPr>
            <w:r>
              <w:rPr>
                <w:rFonts w:ascii="Arial" w:cs="Arial" w:eastAsia="Arial" w:hAnsi="Arial"/>
                <w:sz w:val="17"/>
                <w:szCs w:val="17"/>
                <w:color w:val="auto"/>
              </w:rPr>
              <w:t>follows:</w:t>
            </w:r>
          </w:p>
        </w:tc>
      </w:tr>
      <w:tr>
        <w:trPr>
          <w:trHeight w:val="199"/>
        </w:trPr>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40" w:type="dxa"/>
            <w:vAlign w:val="bottom"/>
            <w:gridSpan w:val="3"/>
          </w:tcPr>
          <w:p>
            <w:pPr>
              <w:ind w:left="340"/>
              <w:spacing w:after="0"/>
              <w:rPr>
                <w:sz w:val="20"/>
                <w:szCs w:val="20"/>
                <w:color w:val="auto"/>
              </w:rPr>
            </w:pPr>
            <w:r>
              <w:rPr>
                <w:rFonts w:ascii="Arial" w:cs="Arial" w:eastAsia="Arial" w:hAnsi="Arial"/>
                <w:sz w:val="14"/>
                <w:szCs w:val="14"/>
                <w:b w:val="1"/>
                <w:bCs w:val="1"/>
                <w:color w:val="auto"/>
              </w:rPr>
              <w:t>December 30, 2022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0" w:type="dxa"/>
            <w:vAlign w:val="bottom"/>
            <w:gridSpan w:val="2"/>
          </w:tcPr>
          <w:p>
            <w:pPr>
              <w:jc w:val="right"/>
              <w:ind w:right="516"/>
              <w:spacing w:after="0"/>
              <w:rPr>
                <w:sz w:val="20"/>
                <w:szCs w:val="20"/>
                <w:color w:val="auto"/>
              </w:rPr>
            </w:pPr>
            <w:r>
              <w:rPr>
                <w:rFonts w:ascii="Arial" w:cs="Arial" w:eastAsia="Arial" w:hAnsi="Arial"/>
                <w:sz w:val="14"/>
                <w:szCs w:val="14"/>
                <w:b w:val="1"/>
                <w:bCs w:val="1"/>
                <w:color w:val="auto"/>
                <w:w w:val="99"/>
              </w:rPr>
              <w:t>July 1, 2022</w:t>
            </w:r>
          </w:p>
        </w:tc>
      </w:tr>
      <w:tr>
        <w:trPr>
          <w:trHeight w:val="23"/>
        </w:trPr>
        <w:tc>
          <w:tcPr>
            <w:tcW w:w="4140" w:type="dxa"/>
            <w:vAlign w:val="bottom"/>
            <w:tcBorders>
              <w:bottom w:val="single" w:sz="8" w:color="CCEEFF"/>
            </w:tcBorders>
            <w:gridSpan w:val="5"/>
          </w:tcPr>
          <w:p>
            <w:pPr>
              <w:spacing w:after="0"/>
              <w:rPr>
                <w:sz w:val="2"/>
                <w:szCs w:val="2"/>
                <w:color w:val="auto"/>
              </w:rPr>
            </w:pPr>
          </w:p>
        </w:tc>
        <w:tc>
          <w:tcPr>
            <w:tcW w:w="56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15"/>
        </w:trPr>
        <w:tc>
          <w:tcPr>
            <w:tcW w:w="4140" w:type="dxa"/>
            <w:vAlign w:val="bottom"/>
            <w:gridSpan w:val="5"/>
            <w:shd w:val="clear" w:color="auto" w:fill="CCEEFF"/>
          </w:tcPr>
          <w:p>
            <w:pPr>
              <w:ind w:left="240"/>
              <w:spacing w:after="0"/>
              <w:rPr>
                <w:sz w:val="20"/>
                <w:szCs w:val="20"/>
                <w:color w:val="auto"/>
              </w:rPr>
            </w:pPr>
            <w:r>
              <w:rPr>
                <w:rFonts w:ascii="Arial" w:cs="Arial" w:eastAsia="Arial" w:hAnsi="Arial"/>
                <w:sz w:val="17"/>
                <w:szCs w:val="17"/>
                <w:color w:val="auto"/>
              </w:rPr>
              <w:t>Mobile Telephone Networks Group (MTN Group)</w:t>
            </w:r>
          </w:p>
        </w:tc>
        <w:tc>
          <w:tcPr>
            <w:tcW w:w="5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ind w:left="4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17.0 %</w:t>
            </w:r>
          </w:p>
        </w:tc>
      </w:tr>
      <w:tr>
        <w:trPr>
          <w:trHeight w:val="222"/>
        </w:trPr>
        <w:tc>
          <w:tcPr>
            <w:tcW w:w="360" w:type="dxa"/>
            <w:vAlign w:val="bottom"/>
          </w:tcPr>
          <w:p>
            <w:pPr>
              <w:ind w:left="180"/>
              <w:spacing w:after="0"/>
              <w:rPr>
                <w:sz w:val="20"/>
                <w:szCs w:val="20"/>
                <w:color w:val="auto"/>
              </w:rPr>
            </w:pPr>
            <w:r>
              <w:rPr>
                <w:rFonts w:ascii="Arial" w:cs="Arial" w:eastAsia="Arial" w:hAnsi="Arial"/>
                <w:sz w:val="17"/>
                <w:szCs w:val="17"/>
                <w:color w:val="auto"/>
              </w:rPr>
              <w:t>*</w:t>
            </w:r>
          </w:p>
        </w:tc>
        <w:tc>
          <w:tcPr>
            <w:tcW w:w="1220" w:type="dxa"/>
            <w:vAlign w:val="bottom"/>
          </w:tcPr>
          <w:p>
            <w:pPr>
              <w:ind w:left="40"/>
              <w:spacing w:after="0"/>
              <w:rPr>
                <w:sz w:val="20"/>
                <w:szCs w:val="20"/>
                <w:color w:val="auto"/>
              </w:rPr>
            </w:pPr>
            <w:r>
              <w:rPr>
                <w:rFonts w:ascii="Arial" w:cs="Arial" w:eastAsia="Arial" w:hAnsi="Arial"/>
                <w:sz w:val="17"/>
                <w:szCs w:val="17"/>
                <w:color w:val="auto"/>
                <w:w w:val="91"/>
              </w:rPr>
              <w:t>Less than 10.0%</w:t>
            </w:r>
          </w:p>
        </w:tc>
        <w:tc>
          <w:tcPr>
            <w:tcW w:w="10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spacing w:after="0"/>
              <w:rPr>
                <w:sz w:val="19"/>
                <w:szCs w:val="19"/>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8. Equity</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Repurchase Program</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November 2021 our Board of Directors approved a stock repurchase program to purchase up to $10.0 million of our common stock. As of December 30, 2022, $8.0 million remains available and we may choose to suspend or discontinue the repurchase program at any time.</w:t>
      </w:r>
    </w:p>
    <w:p>
      <w:pPr>
        <w:spacing w:after="0" w:line="184" w:lineRule="exact"/>
        <w:rPr>
          <w:sz w:val="20"/>
          <w:szCs w:val="20"/>
          <w:color w:val="auto"/>
        </w:rPr>
      </w:pPr>
    </w:p>
    <w:p>
      <w:pPr>
        <w:ind w:left="400"/>
        <w:spacing w:after="0"/>
        <w:rPr>
          <w:sz w:val="20"/>
          <w:szCs w:val="20"/>
          <w:color w:val="auto"/>
        </w:rPr>
      </w:pPr>
      <w:r>
        <w:rPr>
          <w:rFonts w:ascii="Arial" w:cs="Arial" w:eastAsia="Arial" w:hAnsi="Arial"/>
          <w:sz w:val="17"/>
          <w:szCs w:val="17"/>
          <w:color w:val="auto"/>
        </w:rPr>
        <w:t>During the first six months of fiscal 2023, we did not repurchase any shares of our common stock in the open market.</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 Incentive Programs</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As of December 30, 2022, we had one stock incentive plan for our employees and non-employee directors, the 2018 Incentive Plan (the “2018 Plan”). The 2018 Plan provides for the issuance of share-based awards in the form of stock options, stock appreciation rights, restricted stock awards and units, and performance share awards and units.</w:t>
      </w:r>
    </w:p>
    <w:p>
      <w:pPr>
        <w:spacing w:after="0" w:line="113"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Under the 2018 Plan, option exercise prices are equal to the fair market value of our common stock on the date the options are granted using our closing stock price. After vesting, options generally may be exercised within seven years after the date of grant.</w:t>
      </w:r>
    </w:p>
    <w:p>
      <w:pPr>
        <w:spacing w:after="0" w:line="10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Restricted stock units are not transferable until vested and the restrictions lapse upon the achievement of continued employment or service over a specified time period. Restricted stock units issued to employees generally vest three years from the date of grant (three-year cliff or annually over three years). Restricted stock units issued to non-executive board members annually generally vest on the day before the annual stockholders’ meeting.</w:t>
      </w:r>
    </w:p>
    <w:p>
      <w:pPr>
        <w:spacing w:after="0" w:line="101"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Vesting of performance share awards and units is subject to the achievement of predetermined financial performance criteria and continued employment through the end of the applicable period. Market-based stock units vest upon meeting certain predetermined share price performance criteria and continued employment through the end of the applicable period.</w:t>
      </w:r>
    </w:p>
    <w:p>
      <w:pPr>
        <w:spacing w:after="0" w:line="11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During the six months ended December 30, 2022, we granted 72,162 restricted stock units, 49,321 market-based stock units and 110,945 stock options to purchase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19" w:name="page20"/>
    <w:bookmarkEnd w:id="19"/>
    <w:p>
      <w:pPr>
        <w:ind w:left="480"/>
        <w:spacing w:after="0"/>
        <w:rPr>
          <w:sz w:val="20"/>
          <w:szCs w:val="20"/>
          <w:color w:val="auto"/>
        </w:rPr>
      </w:pPr>
      <w:r>
        <w:rPr>
          <w:rFonts w:ascii="Arial" w:cs="Arial" w:eastAsia="Arial" w:hAnsi="Arial"/>
          <w:sz w:val="16"/>
          <w:szCs w:val="16"/>
          <w:color w:val="auto"/>
        </w:rPr>
        <w:t>Total compensation expense for share-based awards included in our unaudited condensed consolidated statements of operations was as follows:</w:t>
      </w:r>
    </w:p>
    <w:p>
      <w:pPr>
        <w:spacing w:after="0" w:line="5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2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40" w:type="dxa"/>
            <w:vAlign w:val="bottom"/>
            <w:gridSpan w:val="3"/>
          </w:tcPr>
          <w:p>
            <w:pPr>
              <w:jc w:val="right"/>
              <w:ind w:right="559"/>
              <w:spacing w:after="0"/>
              <w:rPr>
                <w:sz w:val="20"/>
                <w:szCs w:val="20"/>
                <w:color w:val="auto"/>
              </w:rPr>
            </w:pPr>
            <w:r>
              <w:rPr>
                <w:rFonts w:ascii="Arial" w:cs="Arial" w:eastAsia="Arial" w:hAnsi="Arial"/>
                <w:sz w:val="14"/>
                <w:szCs w:val="14"/>
                <w:b w:val="1"/>
                <w:bCs w:val="1"/>
                <w:color w:val="auto"/>
              </w:rPr>
              <w:t>Three Months Ended</w:t>
            </w: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980" w:type="dxa"/>
            <w:vAlign w:val="bottom"/>
            <w:gridSpan w:val="4"/>
          </w:tcPr>
          <w:p>
            <w:pPr>
              <w:jc w:val="right"/>
              <w:ind w:right="977"/>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30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46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(In thousands)</w:t>
            </w:r>
          </w:p>
        </w:tc>
        <w:tc>
          <w:tcPr>
            <w:tcW w:w="240" w:type="dxa"/>
            <w:vAlign w:val="bottom"/>
          </w:tcPr>
          <w:p>
            <w:pPr>
              <w:spacing w:after="0"/>
              <w:rPr>
                <w:sz w:val="11"/>
                <w:szCs w:val="11"/>
                <w:color w:val="auto"/>
              </w:rPr>
            </w:pPr>
          </w:p>
        </w:tc>
        <w:tc>
          <w:tcPr>
            <w:tcW w:w="1420" w:type="dxa"/>
            <w:vAlign w:val="bottom"/>
            <w:gridSpan w:val="2"/>
          </w:tcPr>
          <w:p>
            <w:pPr>
              <w:ind w:left="140"/>
              <w:spacing w:after="0" w:line="127" w:lineRule="exact"/>
              <w:rPr>
                <w:sz w:val="20"/>
                <w:szCs w:val="20"/>
                <w:color w:val="auto"/>
              </w:rPr>
            </w:pPr>
            <w:r>
              <w:rPr>
                <w:rFonts w:ascii="Arial" w:cs="Arial" w:eastAsia="Arial" w:hAnsi="Arial"/>
                <w:sz w:val="14"/>
                <w:szCs w:val="14"/>
                <w:b w:val="1"/>
                <w:bCs w:val="1"/>
                <w:color w:val="auto"/>
              </w:rPr>
              <w:t>December 30,</w:t>
            </w:r>
          </w:p>
        </w:tc>
        <w:tc>
          <w:tcPr>
            <w:tcW w:w="1220" w:type="dxa"/>
            <w:vAlign w:val="bottom"/>
          </w:tcPr>
          <w:p>
            <w:pPr>
              <w:jc w:val="right"/>
              <w:spacing w:after="0" w:line="127" w:lineRule="exact"/>
              <w:rPr>
                <w:sz w:val="20"/>
                <w:szCs w:val="20"/>
                <w:color w:val="auto"/>
              </w:rPr>
            </w:pPr>
            <w:r>
              <w:rPr>
                <w:rFonts w:ascii="Arial" w:cs="Arial" w:eastAsia="Arial" w:hAnsi="Arial"/>
                <w:sz w:val="14"/>
                <w:szCs w:val="14"/>
                <w:b w:val="1"/>
                <w:bCs w:val="1"/>
                <w:color w:val="auto"/>
              </w:rPr>
              <w:t>December 31,</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ind w:left="140"/>
              <w:spacing w:after="0" w:line="127" w:lineRule="exact"/>
              <w:rPr>
                <w:sz w:val="20"/>
                <w:szCs w:val="20"/>
                <w:color w:val="auto"/>
              </w:rPr>
            </w:pPr>
            <w:r>
              <w:rPr>
                <w:rFonts w:ascii="Arial" w:cs="Arial" w:eastAsia="Arial" w:hAnsi="Arial"/>
                <w:sz w:val="14"/>
                <w:szCs w:val="14"/>
                <w:b w:val="1"/>
                <w:bCs w:val="1"/>
                <w:color w:val="auto"/>
              </w:rPr>
              <w:t>December 30,</w:t>
            </w:r>
          </w:p>
        </w:tc>
        <w:tc>
          <w:tcPr>
            <w:tcW w:w="240" w:type="dxa"/>
            <w:vAlign w:val="bottom"/>
          </w:tcPr>
          <w:p>
            <w:pPr>
              <w:spacing w:after="0"/>
              <w:rPr>
                <w:sz w:val="11"/>
                <w:szCs w:val="11"/>
                <w:color w:val="auto"/>
              </w:rPr>
            </w:pPr>
          </w:p>
        </w:tc>
        <w:tc>
          <w:tcPr>
            <w:tcW w:w="1320" w:type="dxa"/>
            <w:vAlign w:val="bottom"/>
          </w:tcPr>
          <w:p>
            <w:pPr>
              <w:jc w:val="right"/>
              <w:ind w:right="277"/>
              <w:spacing w:after="0" w:line="127" w:lineRule="exact"/>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tcPr>
          <w:p>
            <w:pPr>
              <w:spacing w:after="0"/>
              <w:rPr>
                <w:sz w:val="16"/>
                <w:szCs w:val="16"/>
                <w:color w:val="auto"/>
              </w:rPr>
            </w:pPr>
          </w:p>
        </w:tc>
        <w:tc>
          <w:tcPr>
            <w:tcW w:w="4680" w:type="dxa"/>
            <w:vAlign w:val="bottom"/>
            <w:tcBorders>
              <w:bottom w:val="single" w:sz="8" w:color="CCEEFF"/>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22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2021</w:t>
            </w: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7"/>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87"/>
        </w:trPr>
        <w:tc>
          <w:tcPr>
            <w:tcW w:w="20" w:type="dxa"/>
            <w:vAlign w:val="bottom"/>
            <w:tcBorders>
              <w:bottom w:val="single" w:sz="8" w:color="CCEEFF"/>
            </w:tcBorders>
            <w:shd w:val="clear" w:color="auto" w:fill="CCEEFF"/>
          </w:tcPr>
          <w:p>
            <w:pPr>
              <w:spacing w:after="0"/>
              <w:rPr>
                <w:sz w:val="16"/>
                <w:szCs w:val="16"/>
                <w:color w:val="auto"/>
              </w:rPr>
            </w:pPr>
          </w:p>
        </w:tc>
        <w:tc>
          <w:tcPr>
            <w:tcW w:w="1660" w:type="dxa"/>
            <w:vAlign w:val="bottom"/>
            <w:tcBorders>
              <w:bottom w:val="single" w:sz="8" w:color="auto"/>
            </w:tcBorders>
            <w:gridSpan w:val="2"/>
            <w:shd w:val="clear" w:color="auto" w:fill="CCEEFF"/>
          </w:tcPr>
          <w:p>
            <w:pPr>
              <w:spacing w:after="0" w:line="168" w:lineRule="exact"/>
              <w:rPr>
                <w:sz w:val="20"/>
                <w:szCs w:val="20"/>
                <w:color w:val="auto"/>
              </w:rPr>
            </w:pPr>
            <w:r>
              <w:rPr>
                <w:rFonts w:ascii="Arial" w:cs="Arial" w:eastAsia="Arial" w:hAnsi="Arial"/>
                <w:sz w:val="17"/>
                <w:szCs w:val="17"/>
                <w:b w:val="1"/>
                <w:bCs w:val="1"/>
                <w:color w:val="auto"/>
                <w:w w:val="90"/>
              </w:rPr>
              <w:t>By Expense Category:</w:t>
            </w:r>
          </w:p>
        </w:tc>
        <w:tc>
          <w:tcPr>
            <w:tcW w:w="302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22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680" w:type="dxa"/>
            <w:vAlign w:val="bottom"/>
            <w:gridSpan w:val="3"/>
          </w:tcPr>
          <w:p>
            <w:pPr>
              <w:ind w:left="120"/>
              <w:spacing w:after="0"/>
              <w:rPr>
                <w:sz w:val="20"/>
                <w:szCs w:val="20"/>
                <w:color w:val="auto"/>
              </w:rPr>
            </w:pPr>
            <w:r>
              <w:rPr>
                <w:rFonts w:ascii="Arial" w:cs="Arial" w:eastAsia="Arial" w:hAnsi="Arial"/>
                <w:sz w:val="17"/>
                <w:szCs w:val="17"/>
                <w:color w:val="auto"/>
              </w:rPr>
              <w:t>Cost of revenues</w:t>
            </w: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9"/>
                <w:szCs w:val="19"/>
                <w:color w:val="auto"/>
              </w:rPr>
            </w:pPr>
          </w:p>
        </w:tc>
        <w:tc>
          <w:tcPr>
            <w:tcW w:w="1220" w:type="dxa"/>
            <w:vAlign w:val="bottom"/>
          </w:tcPr>
          <w:p>
            <w:pPr>
              <w:jc w:val="right"/>
              <w:ind w:right="1019"/>
              <w:spacing w:after="0"/>
              <w:rPr>
                <w:sz w:val="20"/>
                <w:szCs w:val="20"/>
                <w:color w:val="auto"/>
              </w:rPr>
            </w:pPr>
            <w:r>
              <w:rPr>
                <w:rFonts w:ascii="Arial" w:cs="Arial" w:eastAsia="Arial" w:hAnsi="Arial"/>
                <w:sz w:val="17"/>
                <w:szCs w:val="17"/>
                <w:color w:val="auto"/>
              </w:rPr>
              <w:t>$</w:t>
            </w:r>
          </w:p>
        </w:tc>
        <w:tc>
          <w:tcPr>
            <w:tcW w:w="340" w:type="dxa"/>
            <w:vAlign w:val="bottom"/>
          </w:tcPr>
          <w:p>
            <w:pPr>
              <w:jc w:val="right"/>
              <w:spacing w:after="0"/>
              <w:rPr>
                <w:sz w:val="20"/>
                <w:szCs w:val="20"/>
                <w:color w:val="auto"/>
              </w:rPr>
            </w:pPr>
            <w:r>
              <w:rPr>
                <w:rFonts w:ascii="Arial" w:cs="Arial" w:eastAsia="Arial" w:hAnsi="Arial"/>
                <w:sz w:val="17"/>
                <w:szCs w:val="17"/>
                <w:color w:val="auto"/>
                <w:w w:val="91"/>
              </w:rPr>
              <w:t>102</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338</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170</w:t>
            </w:r>
          </w:p>
        </w:tc>
        <w:tc>
          <w:tcPr>
            <w:tcW w:w="0" w:type="dxa"/>
            <w:vAlign w:val="bottom"/>
          </w:tcPr>
          <w:p>
            <w:pPr>
              <w:spacing w:after="0"/>
              <w:rPr>
                <w:sz w:val="1"/>
                <w:szCs w:val="1"/>
                <w:color w:val="auto"/>
              </w:rPr>
            </w:pPr>
          </w:p>
        </w:tc>
      </w:tr>
      <w:tr>
        <w:trPr>
          <w:trHeight w:val="222"/>
        </w:trPr>
        <w:tc>
          <w:tcPr>
            <w:tcW w:w="20" w:type="dxa"/>
            <w:vAlign w:val="bottom"/>
            <w:shd w:val="clear" w:color="auto" w:fill="CCEEFF"/>
          </w:tcPr>
          <w:p>
            <w:pPr>
              <w:spacing w:after="0"/>
              <w:rPr>
                <w:sz w:val="19"/>
                <w:szCs w:val="19"/>
                <w:color w:val="auto"/>
              </w:rPr>
            </w:pPr>
          </w:p>
        </w:tc>
        <w:tc>
          <w:tcPr>
            <w:tcW w:w="46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Research and development</w:t>
            </w: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137</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Selling and administrative</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1,356</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637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2,887</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1,356</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rPr>
              <w:t>Total share-based compensation expense</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761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bottom w:val="single" w:sz="8" w:color="CCEEFF"/>
            </w:tcBorders>
            <w:vMerge w:val="restart"/>
          </w:tcPr>
          <w:p>
            <w:pPr>
              <w:spacing w:after="0" w:line="20" w:lineRule="exact"/>
              <w:rPr>
                <w:sz w:val="1"/>
                <w:szCs w:val="1"/>
                <w:color w:val="auto"/>
              </w:rPr>
            </w:pPr>
          </w:p>
        </w:tc>
        <w:tc>
          <w:tcPr>
            <w:tcW w:w="1480" w:type="dxa"/>
            <w:vAlign w:val="bottom"/>
            <w:tcBorders>
              <w:top w:val="single" w:sz="8" w:color="CCEEFF"/>
              <w:bottom w:val="single" w:sz="8" w:color="CCEEFF"/>
            </w:tcBorders>
            <w:vMerge w:val="restart"/>
          </w:tcPr>
          <w:p>
            <w:pPr>
              <w:spacing w:after="0" w:line="169" w:lineRule="exact"/>
              <w:rPr>
                <w:sz w:val="20"/>
                <w:szCs w:val="20"/>
                <w:color w:val="auto"/>
              </w:rPr>
            </w:pPr>
            <w:r>
              <w:rPr>
                <w:rFonts w:ascii="Arial" w:cs="Arial" w:eastAsia="Arial" w:hAnsi="Arial"/>
                <w:sz w:val="17"/>
                <w:szCs w:val="17"/>
                <w:b w:val="1"/>
                <w:bCs w:val="1"/>
                <w:color w:val="auto"/>
                <w:w w:val="91"/>
              </w:rPr>
              <w:t>By Types of Award:</w:t>
            </w:r>
          </w:p>
        </w:tc>
        <w:tc>
          <w:tcPr>
            <w:tcW w:w="3200" w:type="dxa"/>
            <w:vAlign w:val="bottom"/>
            <w:tcBorders>
              <w:top w:val="single" w:sz="8" w:color="CCEEFF"/>
              <w:bottom w:val="single" w:sz="8" w:color="CCEEFF"/>
            </w:tcBorders>
            <w:gridSpan w:val="2"/>
            <w:vMerge w:val="restart"/>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9"/>
        </w:trPr>
        <w:tc>
          <w:tcPr>
            <w:tcW w:w="20" w:type="dxa"/>
            <w:vAlign w:val="bottom"/>
            <w:vMerge w:val="continue"/>
          </w:tcPr>
          <w:p>
            <w:pPr>
              <w:spacing w:after="0"/>
              <w:rPr>
                <w:sz w:val="12"/>
                <w:szCs w:val="12"/>
                <w:color w:val="auto"/>
              </w:rPr>
            </w:pPr>
          </w:p>
        </w:tc>
        <w:tc>
          <w:tcPr>
            <w:tcW w:w="1480" w:type="dxa"/>
            <w:vAlign w:val="bottom"/>
            <w:tcBorders>
              <w:bottom w:val="single" w:sz="8" w:color="auto"/>
            </w:tcBorders>
            <w:vMerge w:val="continue"/>
          </w:tcPr>
          <w:p>
            <w:pPr>
              <w:spacing w:after="0"/>
              <w:rPr>
                <w:sz w:val="12"/>
                <w:szCs w:val="12"/>
                <w:color w:val="auto"/>
              </w:rPr>
            </w:pPr>
          </w:p>
        </w:tc>
        <w:tc>
          <w:tcPr>
            <w:tcW w:w="3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2"/>
        </w:trPr>
        <w:tc>
          <w:tcPr>
            <w:tcW w:w="20" w:type="dxa"/>
            <w:vAlign w:val="bottom"/>
            <w:shd w:val="clear" w:color="auto" w:fill="CCEEFF"/>
          </w:tcPr>
          <w:p>
            <w:pPr>
              <w:spacing w:after="0"/>
              <w:rPr>
                <w:sz w:val="20"/>
                <w:szCs w:val="20"/>
                <w:color w:val="auto"/>
              </w:rPr>
            </w:pPr>
          </w:p>
        </w:tc>
        <w:tc>
          <w:tcPr>
            <w:tcW w:w="468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Options</w:t>
            </w: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w:t>
            </w:r>
          </w:p>
        </w:tc>
        <w:tc>
          <w:tcPr>
            <w:tcW w:w="100" w:type="dxa"/>
            <w:vAlign w:val="bottom"/>
            <w:shd w:val="clear" w:color="auto" w:fill="CCEEFF"/>
          </w:tcPr>
          <w:p>
            <w:pPr>
              <w:spacing w:after="0"/>
              <w:rPr>
                <w:sz w:val="20"/>
                <w:szCs w:val="20"/>
                <w:color w:val="auto"/>
              </w:rPr>
            </w:pPr>
          </w:p>
        </w:tc>
        <w:tc>
          <w:tcPr>
            <w:tcW w:w="1220" w:type="dxa"/>
            <w:vAlign w:val="bottom"/>
            <w:shd w:val="clear" w:color="auto" w:fill="CCEEFF"/>
          </w:tcPr>
          <w:p>
            <w:pPr>
              <w:jc w:val="right"/>
              <w:ind w:right="1019"/>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120</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0" w:type="dxa"/>
            <w:vAlign w:val="bottom"/>
          </w:tcPr>
          <w:p>
            <w:pPr>
              <w:spacing w:after="0"/>
              <w:rPr>
                <w:sz w:val="1"/>
                <w:szCs w:val="1"/>
                <w:color w:val="auto"/>
              </w:rPr>
            </w:pPr>
          </w:p>
        </w:tc>
      </w:tr>
      <w:tr>
        <w:trPr>
          <w:trHeight w:val="222"/>
        </w:trPr>
        <w:tc>
          <w:tcPr>
            <w:tcW w:w="20" w:type="dxa"/>
            <w:vAlign w:val="bottom"/>
            <w:tcBorders>
              <w:bottom w:val="single" w:sz="8" w:color="CCEEFF"/>
            </w:tcBorders>
          </w:tcPr>
          <w:p>
            <w:pPr>
              <w:spacing w:after="0"/>
              <w:rPr>
                <w:sz w:val="19"/>
                <w:szCs w:val="19"/>
                <w:color w:val="auto"/>
              </w:rPr>
            </w:pPr>
          </w:p>
        </w:tc>
        <w:tc>
          <w:tcPr>
            <w:tcW w:w="4680" w:type="dxa"/>
            <w:vAlign w:val="bottom"/>
            <w:tcBorders>
              <w:bottom w:val="single" w:sz="8" w:color="CCEEFF"/>
            </w:tcBorders>
            <w:gridSpan w:val="3"/>
          </w:tcPr>
          <w:p>
            <w:pPr>
              <w:ind w:left="120"/>
              <w:spacing w:after="0"/>
              <w:rPr>
                <w:sz w:val="20"/>
                <w:szCs w:val="20"/>
                <w:color w:val="auto"/>
              </w:rPr>
            </w:pPr>
            <w:r>
              <w:rPr>
                <w:rFonts w:ascii="Arial" w:cs="Arial" w:eastAsia="Arial" w:hAnsi="Arial"/>
                <w:sz w:val="17"/>
                <w:szCs w:val="17"/>
                <w:color w:val="auto"/>
              </w:rPr>
              <w:t>Restricted and performance stock awards and units</w:t>
            </w: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1,353</w:t>
            </w:r>
          </w:p>
        </w:tc>
        <w:tc>
          <w:tcPr>
            <w:tcW w:w="100" w:type="dxa"/>
            <w:vAlign w:val="bottom"/>
            <w:tcBorders>
              <w:bottom w:val="single" w:sz="8" w:color="CCEEFF"/>
            </w:tcBorders>
          </w:tcPr>
          <w:p>
            <w:pPr>
              <w:spacing w:after="0"/>
              <w:rPr>
                <w:sz w:val="19"/>
                <w:szCs w:val="19"/>
                <w:color w:val="auto"/>
              </w:rPr>
            </w:pPr>
          </w:p>
        </w:tc>
        <w:tc>
          <w:tcPr>
            <w:tcW w:w="1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1"/>
              </w:rPr>
              <w:t>641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1,329</w:t>
            </w:r>
          </w:p>
        </w:tc>
        <w:tc>
          <w:tcPr>
            <w:tcW w:w="0" w:type="dxa"/>
            <w:vAlign w:val="bottom"/>
          </w:tcPr>
          <w:p>
            <w:pPr>
              <w:spacing w:after="0"/>
              <w:rPr>
                <w:sz w:val="1"/>
                <w:szCs w:val="1"/>
                <w:color w:val="auto"/>
              </w:rPr>
            </w:pPr>
          </w:p>
        </w:tc>
      </w:tr>
      <w:tr>
        <w:trPr>
          <w:trHeight w:val="240"/>
        </w:trPr>
        <w:tc>
          <w:tcPr>
            <w:tcW w:w="20" w:type="dxa"/>
            <w:vAlign w:val="bottom"/>
            <w:tcBorders>
              <w:bottom w:val="single" w:sz="8" w:color="CCEEFF"/>
            </w:tcBorders>
            <w:shd w:val="clear" w:color="auto" w:fill="CCEEFF"/>
          </w:tcPr>
          <w:p>
            <w:pPr>
              <w:spacing w:after="0"/>
              <w:rPr>
                <w:sz w:val="20"/>
                <w:szCs w:val="20"/>
                <w:color w:val="auto"/>
              </w:rPr>
            </w:pPr>
          </w:p>
        </w:tc>
        <w:tc>
          <w:tcPr>
            <w:tcW w:w="4680" w:type="dxa"/>
            <w:vAlign w:val="bottom"/>
            <w:tcBorders>
              <w:bottom w:val="single" w:sz="8" w:color="CCEEFF"/>
            </w:tcBorders>
            <w:gridSpan w:val="3"/>
            <w:shd w:val="clear" w:color="auto" w:fill="CCEEFF"/>
          </w:tcPr>
          <w:p>
            <w:pPr>
              <w:ind w:left="320"/>
              <w:spacing w:after="0"/>
              <w:rPr>
                <w:sz w:val="20"/>
                <w:szCs w:val="20"/>
                <w:color w:val="auto"/>
              </w:rPr>
            </w:pPr>
            <w:r>
              <w:rPr>
                <w:rFonts w:ascii="Arial" w:cs="Arial" w:eastAsia="Arial" w:hAnsi="Arial"/>
                <w:sz w:val="17"/>
                <w:szCs w:val="17"/>
                <w:color w:val="auto"/>
              </w:rPr>
              <w:t>Total share-based compensation expense</w:t>
            </w: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1,659</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19"/>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761</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3,497</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7"/>
                <w:szCs w:val="17"/>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1,624</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6"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As of December 30, 2022, there was approximately $2.3 million of total unrecognized compensation expense related to non-vested stock options granted which is expected to be recognized over a weighted-average period of 1.8 years. As of December 30, 2022, there was $10.6 million of total unrecognized compensation expense related to non-vested stock awards which is expected to be recognized over a weighted-average period of 1.8 years.</w:t>
      </w:r>
    </w:p>
    <w:p>
      <w:pPr>
        <w:spacing w:after="0" w:line="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9. Restructuring Activities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summarizes our restructuring-related activities: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780" w:type="dxa"/>
            <w:vAlign w:val="bottom"/>
            <w:gridSpan w:val="5"/>
          </w:tcPr>
          <w:p>
            <w:pPr>
              <w:ind w:left="560"/>
              <w:spacing w:after="0"/>
              <w:rPr>
                <w:sz w:val="20"/>
                <w:szCs w:val="20"/>
                <w:color w:val="auto"/>
              </w:rPr>
            </w:pPr>
            <w:r>
              <w:rPr>
                <w:rFonts w:ascii="Arial" w:cs="Arial" w:eastAsia="Arial" w:hAnsi="Arial"/>
                <w:sz w:val="14"/>
                <w:szCs w:val="14"/>
                <w:b w:val="1"/>
                <w:bCs w:val="1"/>
                <w:color w:val="auto"/>
              </w:rPr>
              <w:t>Severance and Benefits</w:t>
            </w: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jc w:val="right"/>
              <w:ind w:right="4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
        </w:trPr>
        <w:tc>
          <w:tcPr>
            <w:tcW w:w="3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2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1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2"/>
        </w:trPr>
        <w:tc>
          <w:tcPr>
            <w:tcW w:w="3860" w:type="dxa"/>
            <w:vAlign w:val="bottom"/>
            <w:tcBorders>
              <w:bottom w:val="single" w:sz="8" w:color="CCEEFF"/>
            </w:tcBorders>
            <w:vMerge w:val="continue"/>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Q2 2023 Plan</w:t>
            </w:r>
          </w:p>
        </w:tc>
        <w:tc>
          <w:tcPr>
            <w:tcW w:w="80" w:type="dxa"/>
            <w:vAlign w:val="bottom"/>
            <w:tcBorders>
              <w:top w:val="single" w:sz="8" w:color="auto"/>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118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8"/>
              </w:rPr>
              <w:t>Q1 2023 Plan</w:t>
            </w:r>
          </w:p>
        </w:tc>
        <w:tc>
          <w:tcPr>
            <w:tcW w:w="100" w:type="dxa"/>
            <w:vAlign w:val="bottom"/>
            <w:tcBorders>
              <w:top w:val="single" w:sz="8" w:color="auto"/>
              <w:bottom w:val="single" w:sz="8" w:color="CCEEFF"/>
            </w:tcBorders>
          </w:tcPr>
          <w:p>
            <w:pPr>
              <w:spacing w:after="0"/>
              <w:rPr>
                <w:sz w:val="15"/>
                <w:szCs w:val="15"/>
                <w:color w:val="auto"/>
              </w:rPr>
            </w:pPr>
          </w:p>
        </w:tc>
        <w:tc>
          <w:tcPr>
            <w:tcW w:w="200" w:type="dxa"/>
            <w:vAlign w:val="bottom"/>
            <w:tcBorders>
              <w:top w:val="single" w:sz="8" w:color="auto"/>
              <w:bottom w:val="single" w:sz="8" w:color="auto"/>
            </w:tcBorders>
          </w:tcPr>
          <w:p>
            <w:pPr>
              <w:spacing w:after="0"/>
              <w:rPr>
                <w:sz w:val="15"/>
                <w:szCs w:val="15"/>
                <w:color w:val="auto"/>
              </w:rPr>
            </w:pPr>
          </w:p>
        </w:tc>
        <w:tc>
          <w:tcPr>
            <w:tcW w:w="1200" w:type="dxa"/>
            <w:vAlign w:val="bottom"/>
            <w:tcBorders>
              <w:top w:val="single" w:sz="8" w:color="auto"/>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Q4 2022 Plan</w:t>
            </w:r>
          </w:p>
        </w:tc>
        <w:tc>
          <w:tcPr>
            <w:tcW w:w="100" w:type="dxa"/>
            <w:vAlign w:val="bottom"/>
            <w:tcBorders>
              <w:top w:val="single" w:sz="8" w:color="auto"/>
              <w:bottom w:val="single" w:sz="8" w:color="CCEEFF"/>
            </w:tcBorders>
          </w:tcPr>
          <w:p>
            <w:pPr>
              <w:spacing w:after="0"/>
              <w:rPr>
                <w:sz w:val="15"/>
                <w:szCs w:val="15"/>
                <w:color w:val="auto"/>
              </w:rPr>
            </w:pPr>
          </w:p>
        </w:tc>
        <w:tc>
          <w:tcPr>
            <w:tcW w:w="160" w:type="dxa"/>
            <w:vAlign w:val="bottom"/>
            <w:tcBorders>
              <w:top w:val="single" w:sz="8" w:color="auto"/>
              <w:bottom w:val="single" w:sz="8" w:color="auto"/>
            </w:tcBorders>
          </w:tcPr>
          <w:p>
            <w:pPr>
              <w:spacing w:after="0"/>
              <w:rPr>
                <w:sz w:val="15"/>
                <w:szCs w:val="15"/>
                <w:color w:val="auto"/>
              </w:rPr>
            </w:pPr>
          </w:p>
        </w:tc>
        <w:tc>
          <w:tcPr>
            <w:tcW w:w="1240" w:type="dxa"/>
            <w:vAlign w:val="bottom"/>
            <w:tcBorders>
              <w:top w:val="single" w:sz="8" w:color="auto"/>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2"/>
              </w:rPr>
              <w:t>Fiscal 2021 Plan</w:t>
            </w:r>
          </w:p>
        </w:tc>
        <w:tc>
          <w:tcPr>
            <w:tcW w:w="100" w:type="dxa"/>
            <w:vAlign w:val="bottom"/>
            <w:tcBorders>
              <w:bottom w:val="single" w:sz="8" w:color="CCEEFF"/>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1060" w:type="dxa"/>
            <w:vAlign w:val="bottom"/>
            <w:tcBorders>
              <w:top w:val="single" w:sz="8" w:color="auto"/>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2"/>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Accrual balance, July 1, 2022</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1,381</w:t>
            </w:r>
          </w:p>
        </w:tc>
        <w:tc>
          <w:tcPr>
            <w:tcW w:w="0" w:type="dxa"/>
            <w:vAlign w:val="bottom"/>
          </w:tcPr>
          <w:p>
            <w:pPr>
              <w:spacing w:after="0"/>
              <w:rPr>
                <w:sz w:val="1"/>
                <w:szCs w:val="1"/>
                <w:color w:val="auto"/>
              </w:rPr>
            </w:pPr>
          </w:p>
        </w:tc>
      </w:tr>
      <w:tr>
        <w:trPr>
          <w:trHeight w:val="222"/>
        </w:trPr>
        <w:tc>
          <w:tcPr>
            <w:tcW w:w="3860" w:type="dxa"/>
            <w:vAlign w:val="bottom"/>
          </w:tcPr>
          <w:p>
            <w:pPr>
              <w:ind w:left="140"/>
              <w:spacing w:after="0"/>
              <w:rPr>
                <w:sz w:val="20"/>
                <w:szCs w:val="20"/>
                <w:color w:val="auto"/>
              </w:rPr>
            </w:pPr>
            <w:r>
              <w:rPr>
                <w:rFonts w:ascii="Arial" w:cs="Arial" w:eastAsia="Arial" w:hAnsi="Arial"/>
                <w:sz w:val="17"/>
                <w:szCs w:val="17"/>
                <w:color w:val="auto"/>
              </w:rPr>
              <w:t>Charges, net</w:t>
            </w: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7"/>
                <w:szCs w:val="17"/>
                <w:color w:val="auto"/>
              </w:rPr>
              <w:t>1,950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1,950</w:t>
            </w:r>
          </w:p>
        </w:tc>
        <w:tc>
          <w:tcPr>
            <w:tcW w:w="0" w:type="dxa"/>
            <w:vAlign w:val="bottom"/>
          </w:tcPr>
          <w:p>
            <w:pPr>
              <w:spacing w:after="0"/>
              <w:rPr>
                <w:sz w:val="1"/>
                <w:szCs w:val="1"/>
                <w:color w:val="auto"/>
              </w:rPr>
            </w:pPr>
          </w:p>
        </w:tc>
      </w:tr>
      <w:tr>
        <w:trPr>
          <w:trHeight w:val="222"/>
        </w:trPr>
        <w:tc>
          <w:tcPr>
            <w:tcW w:w="3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payments</w:t>
            </w:r>
          </w:p>
        </w:tc>
        <w:tc>
          <w:tcPr>
            <w:tcW w:w="2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(1,809)</w:t>
            </w:r>
          </w:p>
        </w:tc>
        <w:tc>
          <w:tcPr>
            <w:tcW w:w="0" w:type="dxa"/>
            <w:vAlign w:val="bottom"/>
          </w:tcPr>
          <w:p>
            <w:pPr>
              <w:spacing w:after="0"/>
              <w:rPr>
                <w:sz w:val="1"/>
                <w:szCs w:val="1"/>
                <w:color w:val="auto"/>
              </w:rPr>
            </w:pPr>
          </w:p>
        </w:tc>
      </w:tr>
      <w:tr>
        <w:trPr>
          <w:trHeight w:val="222"/>
        </w:trPr>
        <w:tc>
          <w:tcPr>
            <w:tcW w:w="386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Foreign exchange impact</w:t>
            </w: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5"/>
        </w:trPr>
        <w:tc>
          <w:tcPr>
            <w:tcW w:w="3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Accrual balance, September 30, 2022</w:t>
            </w:r>
          </w:p>
        </w:tc>
        <w:tc>
          <w:tcPr>
            <w:tcW w:w="2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986</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1,522</w:t>
            </w:r>
          </w:p>
        </w:tc>
        <w:tc>
          <w:tcPr>
            <w:tcW w:w="0" w:type="dxa"/>
            <w:vAlign w:val="bottom"/>
          </w:tcPr>
          <w:p>
            <w:pPr>
              <w:spacing w:after="0"/>
              <w:rPr>
                <w:sz w:val="1"/>
                <w:szCs w:val="1"/>
                <w:color w:val="auto"/>
              </w:rPr>
            </w:pPr>
          </w:p>
        </w:tc>
      </w:tr>
      <w:tr>
        <w:trPr>
          <w:trHeight w:val="222"/>
        </w:trPr>
        <w:tc>
          <w:tcPr>
            <w:tcW w:w="3860" w:type="dxa"/>
            <w:vAlign w:val="bottom"/>
          </w:tcPr>
          <w:p>
            <w:pPr>
              <w:ind w:left="140"/>
              <w:spacing w:after="0"/>
              <w:rPr>
                <w:sz w:val="20"/>
                <w:szCs w:val="20"/>
                <w:color w:val="auto"/>
              </w:rPr>
            </w:pPr>
            <w:r>
              <w:rPr>
                <w:rFonts w:ascii="Arial" w:cs="Arial" w:eastAsia="Arial" w:hAnsi="Arial"/>
                <w:sz w:val="17"/>
                <w:szCs w:val="17"/>
                <w:color w:val="auto"/>
              </w:rPr>
              <w:t>Charges, net</w:t>
            </w:r>
          </w:p>
        </w:tc>
        <w:tc>
          <w:tcPr>
            <w:tcW w:w="2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928</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928</w:t>
            </w:r>
          </w:p>
        </w:tc>
        <w:tc>
          <w:tcPr>
            <w:tcW w:w="0" w:type="dxa"/>
            <w:vAlign w:val="bottom"/>
          </w:tcPr>
          <w:p>
            <w:pPr>
              <w:spacing w:after="0"/>
              <w:rPr>
                <w:sz w:val="1"/>
                <w:szCs w:val="1"/>
                <w:color w:val="auto"/>
              </w:rPr>
            </w:pPr>
          </w:p>
        </w:tc>
      </w:tr>
      <w:tr>
        <w:trPr>
          <w:trHeight w:val="222"/>
        </w:trPr>
        <w:tc>
          <w:tcPr>
            <w:tcW w:w="38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Cash payments</w:t>
            </w:r>
          </w:p>
        </w:tc>
        <w:tc>
          <w:tcPr>
            <w:tcW w:w="2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(452)</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(978)</w:t>
            </w:r>
          </w:p>
        </w:tc>
        <w:tc>
          <w:tcPr>
            <w:tcW w:w="0" w:type="dxa"/>
            <w:vAlign w:val="bottom"/>
          </w:tcPr>
          <w:p>
            <w:pPr>
              <w:spacing w:after="0"/>
              <w:rPr>
                <w:sz w:val="1"/>
                <w:szCs w:val="1"/>
                <w:color w:val="auto"/>
              </w:rPr>
            </w:pPr>
          </w:p>
        </w:tc>
      </w:tr>
      <w:tr>
        <w:trPr>
          <w:trHeight w:val="222"/>
        </w:trPr>
        <w:tc>
          <w:tcPr>
            <w:tcW w:w="3860" w:type="dxa"/>
            <w:vAlign w:val="bottom"/>
          </w:tcPr>
          <w:p>
            <w:pPr>
              <w:ind w:left="140"/>
              <w:spacing w:after="0"/>
              <w:rPr>
                <w:sz w:val="20"/>
                <w:szCs w:val="20"/>
                <w:color w:val="auto"/>
              </w:rPr>
            </w:pPr>
            <w:r>
              <w:rPr>
                <w:rFonts w:ascii="Arial" w:cs="Arial" w:eastAsia="Arial" w:hAnsi="Arial"/>
                <w:sz w:val="17"/>
                <w:szCs w:val="17"/>
                <w:color w:val="auto"/>
              </w:rPr>
              <w:t>Foreign exchange impact</w:t>
            </w:r>
          </w:p>
        </w:tc>
        <w:tc>
          <w:tcPr>
            <w:tcW w:w="20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9"/>
                <w:szCs w:val="19"/>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40"/>
        </w:trPr>
        <w:tc>
          <w:tcPr>
            <w:tcW w:w="38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Accrual balance, December 30, 2022</w:t>
            </w: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jc w:val="right"/>
              <w:ind w:right="13"/>
              <w:spacing w:after="0"/>
              <w:rPr>
                <w:sz w:val="20"/>
                <w:szCs w:val="20"/>
                <w:color w:val="auto"/>
              </w:rPr>
            </w:pPr>
            <w:r>
              <w:rPr>
                <w:rFonts w:ascii="Arial" w:cs="Arial" w:eastAsia="Arial" w:hAnsi="Arial"/>
                <w:sz w:val="17"/>
                <w:szCs w:val="17"/>
                <w:color w:val="auto"/>
                <w:w w:val="84"/>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837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1,472</w:t>
            </w:r>
          </w:p>
        </w:tc>
        <w:tc>
          <w:tcPr>
            <w:tcW w:w="0" w:type="dxa"/>
            <w:vAlign w:val="bottom"/>
          </w:tcPr>
          <w:p>
            <w:pPr>
              <w:spacing w:after="0"/>
              <w:rPr>
                <w:sz w:val="1"/>
                <w:szCs w:val="1"/>
                <w:color w:val="auto"/>
              </w:rPr>
            </w:pPr>
          </w:p>
        </w:tc>
      </w:tr>
      <w:tr>
        <w:trPr>
          <w:trHeight w:val="20"/>
        </w:trPr>
        <w:tc>
          <w:tcPr>
            <w:tcW w:w="38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As of December 30, 2022, the accrual balance of $1.5 million was in short-term restructuring liabilities on our unaudited condensed consolidated balance sheets. Included in the above plans for which we were carrying a provision were positions identified for termination that have not been executed from a restructuring perspective.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Q2 2023 Plan</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During the second quarter of fiscal 2023, our Board of Directors approved a restructuring plan, (the “Q2 2023 Plan”) which is anticipated to generate cost savings from the elimination of 6 roles. The Q2 2023 plan is expected to be implemented through the end of first half of fiscal 2024.</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Q1 2023 Plan</w:t>
      </w:r>
    </w:p>
    <w:p>
      <w:pPr>
        <w:spacing w:after="0" w:line="26"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During the first quarter of fiscal 2023, our Board of Directors approved a restructuring plan, (the “Q1 2023 Plan”) from the acquisition of Redline Communications, Inc. (“Redline”). The Q1 2023 Plan which is anticipated to generate cost saving on integration of Redline, entails a reduction in force of approximately 20 employees due to integrating work into existing Aviat teams, is expected to be implemented through the end of fiscal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0" w:name="page21"/>
    <w:bookmarkEnd w:id="20"/>
    <w:p>
      <w:pPr>
        <w:spacing w:after="0"/>
        <w:rPr>
          <w:sz w:val="20"/>
          <w:szCs w:val="20"/>
          <w:color w:val="auto"/>
        </w:rPr>
      </w:pPr>
      <w:r>
        <w:rPr>
          <w:rFonts w:ascii="Arial" w:cs="Arial" w:eastAsia="Arial" w:hAnsi="Arial"/>
          <w:sz w:val="17"/>
          <w:szCs w:val="17"/>
          <w:b w:val="1"/>
          <w:bCs w:val="1"/>
          <w:i w:val="1"/>
          <w:iCs w:val="1"/>
          <w:color w:val="auto"/>
        </w:rPr>
        <w:t>Q4 2022 Plan</w:t>
      </w:r>
    </w:p>
    <w:p>
      <w:pPr>
        <w:spacing w:after="0" w:line="26" w:lineRule="exact"/>
        <w:rPr>
          <w:sz w:val="20"/>
          <w:szCs w:val="20"/>
          <w:color w:val="auto"/>
        </w:rPr>
      </w:pPr>
    </w:p>
    <w:p>
      <w:pPr>
        <w:jc w:val="both"/>
        <w:ind w:firstLine="470"/>
        <w:spacing w:after="0" w:line="265" w:lineRule="auto"/>
        <w:rPr>
          <w:sz w:val="20"/>
          <w:szCs w:val="20"/>
          <w:color w:val="auto"/>
        </w:rPr>
      </w:pPr>
      <w:r>
        <w:rPr>
          <w:rFonts w:ascii="Arial" w:cs="Arial" w:eastAsia="Arial" w:hAnsi="Arial"/>
          <w:sz w:val="17"/>
          <w:szCs w:val="17"/>
          <w:color w:val="auto"/>
        </w:rPr>
        <w:t>During the fourth quarter of fiscal 2022, our Board of Directors approved a restructuring plan (the “Q4 2022 Plan”) to restructure specific groups to optimize skill sets and align structure to execute on strategic deliverables. The Q4 2022 Plan was anticipated to entail a reduction in force of approximately 11 employees to be implemented through the end of fiscal year 2023, with a certain number of positions being consolidated.</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Fiscal 2021 Plan</w:t>
      </w:r>
    </w:p>
    <w:p>
      <w:pPr>
        <w:spacing w:after="0" w:line="26" w:lineRule="exact"/>
        <w:rPr>
          <w:sz w:val="20"/>
          <w:szCs w:val="20"/>
          <w:color w:val="auto"/>
        </w:rPr>
      </w:pPr>
    </w:p>
    <w:p>
      <w:pPr>
        <w:jc w:val="both"/>
        <w:ind w:firstLine="470"/>
        <w:spacing w:after="0" w:line="283" w:lineRule="auto"/>
        <w:rPr>
          <w:sz w:val="20"/>
          <w:szCs w:val="20"/>
          <w:color w:val="auto"/>
        </w:rPr>
      </w:pPr>
      <w:r>
        <w:rPr>
          <w:rFonts w:ascii="Arial" w:cs="Arial" w:eastAsia="Arial" w:hAnsi="Arial"/>
          <w:sz w:val="16"/>
          <w:szCs w:val="16"/>
          <w:color w:val="auto"/>
        </w:rPr>
        <w:t>During the third quarter of fiscal 2021, our Board of Directors approved restructuring plans (the “Fiscal 2021 Plan”) to continue to reduce our operating costs and improve profitability as part of our transformational initiative to optimize our business model and increase efficiencies. We recorded restructuring charges of $2.4 million related to the Fiscal 2021 Plan in fiscal 2021. The Fiscal 2021 Plan was anticipated to entail a reduction in force of approximately 30 employees and will be completed through the end of fiscal 2023, with a certain number of positions being consolidated and/or relocated.</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10. Acquisition</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In the first quarter of fiscal 2023, we completed the acquisition of Redline, a leading provider of mission-critical data infrastructure. Acquiring Redline allows Aviat to expand its Private Networks Offering with Private LTE/5G, Unlicensed Wireless Access Solutions, by creating an integrated end-to-end offering for wireless access and transport in the Private Networks segment, leveraging Aviat's sales channel to address a large dollar Private LTE/5G addressable market and increasing Aviat’s reach in mission-critical industrial Private Networks.</w:t>
      </w:r>
    </w:p>
    <w:p>
      <w:pPr>
        <w:spacing w:after="0" w:line="1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consideration paid by Aviat for this all-cash acquisition was $20.4 million. Cash acquired as part of acquisition was $4.6 million for total net consideration of $15.8 million. A summary of the preliminary allocation, pursuant to the completion of purchase price allocation, of the total purchase consideration is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840" w:type="dxa"/>
            <w:vAlign w:val="bottom"/>
          </w:tcPr>
          <w:p>
            <w:pPr>
              <w:ind w:left="2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5"/>
                <w:szCs w:val="15"/>
                <w:color w:val="auto"/>
              </w:rPr>
            </w:pPr>
          </w:p>
        </w:tc>
        <w:tc>
          <w:tcPr>
            <w:tcW w:w="1720" w:type="dxa"/>
            <w:vAlign w:val="bottom"/>
            <w:gridSpan w:val="2"/>
          </w:tcPr>
          <w:p>
            <w:pPr>
              <w:ind w:left="40"/>
              <w:spacing w:after="0"/>
              <w:rPr>
                <w:sz w:val="20"/>
                <w:szCs w:val="20"/>
                <w:color w:val="auto"/>
              </w:rPr>
            </w:pPr>
            <w:r>
              <w:rPr>
                <w:rFonts w:ascii="Arial" w:cs="Arial" w:eastAsia="Arial" w:hAnsi="Arial"/>
                <w:sz w:val="14"/>
                <w:szCs w:val="14"/>
                <w:b w:val="1"/>
                <w:bCs w:val="1"/>
                <w:color w:val="auto"/>
              </w:rPr>
              <w:t>Purchase consideration</w:t>
            </w:r>
          </w:p>
        </w:tc>
        <w:tc>
          <w:tcPr>
            <w:tcW w:w="1880" w:type="dxa"/>
            <w:vAlign w:val="bottom"/>
            <w:gridSpan w:val="3"/>
          </w:tcPr>
          <w:p>
            <w:pPr>
              <w:ind w:left="60"/>
              <w:spacing w:after="0"/>
              <w:rPr>
                <w:sz w:val="20"/>
                <w:szCs w:val="20"/>
                <w:color w:val="auto"/>
              </w:rPr>
            </w:pPr>
            <w:r>
              <w:rPr>
                <w:rFonts w:ascii="Arial" w:cs="Arial" w:eastAsia="Arial" w:hAnsi="Arial"/>
                <w:sz w:val="14"/>
                <w:szCs w:val="14"/>
                <w:b w:val="1"/>
                <w:bCs w:val="1"/>
                <w:color w:val="auto"/>
                <w:w w:val="94"/>
              </w:rPr>
              <w:t>Net tangible assets acquired</w:t>
            </w:r>
          </w:p>
        </w:tc>
        <w:tc>
          <w:tcPr>
            <w:tcW w:w="1880" w:type="dxa"/>
            <w:vAlign w:val="bottom"/>
            <w:gridSpan w:val="3"/>
          </w:tcPr>
          <w:p>
            <w:pPr>
              <w:ind w:left="80"/>
              <w:spacing w:after="0"/>
              <w:rPr>
                <w:sz w:val="20"/>
                <w:szCs w:val="20"/>
                <w:color w:val="auto"/>
              </w:rPr>
            </w:pPr>
            <w:r>
              <w:rPr>
                <w:rFonts w:ascii="Arial" w:cs="Arial" w:eastAsia="Arial" w:hAnsi="Arial"/>
                <w:sz w:val="14"/>
                <w:szCs w:val="14"/>
                <w:b w:val="1"/>
                <w:bCs w:val="1"/>
                <w:color w:val="auto"/>
                <w:w w:val="94"/>
              </w:rPr>
              <w:t>Purchased intangible assets</w:t>
            </w:r>
          </w:p>
        </w:tc>
        <w:tc>
          <w:tcPr>
            <w:tcW w:w="360" w:type="dxa"/>
            <w:vAlign w:val="bottom"/>
          </w:tcPr>
          <w:p>
            <w:pPr>
              <w:spacing w:after="0"/>
              <w:rPr>
                <w:sz w:val="15"/>
                <w:szCs w:val="15"/>
                <w:color w:val="auto"/>
              </w:rPr>
            </w:pPr>
          </w:p>
        </w:tc>
        <w:tc>
          <w:tcPr>
            <w:tcW w:w="1420" w:type="dxa"/>
            <w:vAlign w:val="bottom"/>
          </w:tcPr>
          <w:p>
            <w:pPr>
              <w:jc w:val="right"/>
              <w:ind w:right="542"/>
              <w:spacing w:after="0"/>
              <w:rPr>
                <w:sz w:val="20"/>
                <w:szCs w:val="20"/>
                <w:color w:val="auto"/>
              </w:rPr>
            </w:pPr>
            <w:r>
              <w:rPr>
                <w:rFonts w:ascii="Arial" w:cs="Arial" w:eastAsia="Arial" w:hAnsi="Arial"/>
                <w:sz w:val="14"/>
                <w:szCs w:val="14"/>
                <w:b w:val="1"/>
                <w:bCs w:val="1"/>
                <w:color w:val="auto"/>
              </w:rPr>
              <w:t>Goodwill</w:t>
            </w:r>
          </w:p>
        </w:tc>
      </w:tr>
      <w:tr>
        <w:trPr>
          <w:trHeight w:val="23"/>
        </w:trPr>
        <w:tc>
          <w:tcPr>
            <w:tcW w:w="38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15"/>
        </w:trPr>
        <w:tc>
          <w:tcPr>
            <w:tcW w:w="3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Redline</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20,411</w:t>
            </w:r>
          </w:p>
        </w:tc>
        <w:tc>
          <w:tcPr>
            <w:tcW w:w="8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542"/>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8,171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22"/>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7,290</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3"/>
              <w:spacing w:after="0"/>
              <w:rPr>
                <w:sz w:val="20"/>
                <w:szCs w:val="20"/>
                <w:color w:val="auto"/>
              </w:rPr>
            </w:pPr>
            <w:r>
              <w:rPr>
                <w:rFonts w:ascii="Arial" w:cs="Arial" w:eastAsia="Arial" w:hAnsi="Arial"/>
                <w:sz w:val="17"/>
                <w:szCs w:val="17"/>
                <w:color w:val="auto"/>
                <w:w w:val="84"/>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4,950</w:t>
            </w:r>
          </w:p>
        </w:tc>
      </w:tr>
      <w:tr>
        <w:trPr>
          <w:trHeight w:val="26"/>
        </w:trPr>
        <w:tc>
          <w:tcPr>
            <w:tcW w:w="384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14"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details of our intangible assets:</w:t>
      </w:r>
    </w:p>
    <w:p>
      <w:pPr>
        <w:spacing w:after="0" w:line="5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3960" w:type="dxa"/>
            <w:vAlign w:val="bottom"/>
          </w:tcPr>
          <w:p>
            <w:pPr>
              <w:ind w:left="20"/>
              <w:spacing w:after="0"/>
              <w:rPr>
                <w:sz w:val="20"/>
                <w:szCs w:val="20"/>
                <w:color w:val="auto"/>
              </w:rPr>
            </w:pPr>
            <w:r>
              <w:rPr>
                <w:rFonts w:ascii="Arial" w:cs="Arial" w:eastAsia="Arial" w:hAnsi="Arial"/>
                <w:sz w:val="14"/>
                <w:szCs w:val="14"/>
                <w:b w:val="1"/>
                <w:bCs w:val="1"/>
                <w:color w:val="auto"/>
              </w:rPr>
              <w:t>(In thousands except for useful life)</w:t>
            </w:r>
          </w:p>
        </w:tc>
        <w:tc>
          <w:tcPr>
            <w:tcW w:w="1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300" w:type="dxa"/>
            <w:vAlign w:val="bottom"/>
          </w:tcPr>
          <w:p>
            <w:pPr>
              <w:spacing w:after="0"/>
              <w:rPr>
                <w:sz w:val="15"/>
                <w:szCs w:val="15"/>
                <w:color w:val="auto"/>
              </w:rPr>
            </w:pPr>
          </w:p>
        </w:tc>
      </w:tr>
      <w:tr>
        <w:trPr>
          <w:trHeight w:val="23"/>
        </w:trPr>
        <w:tc>
          <w:tcPr>
            <w:tcW w:w="39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b w:val="1"/>
                <w:bCs w:val="1"/>
                <w:color w:val="auto"/>
              </w:rPr>
              <w:t>Goodwill</w:t>
            </w:r>
          </w:p>
        </w:tc>
        <w:tc>
          <w:tcPr>
            <w:tcW w:w="1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b w:val="1"/>
                <w:bCs w:val="1"/>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4,950</w:t>
            </w:r>
          </w:p>
        </w:tc>
      </w:tr>
      <w:tr>
        <w:trPr>
          <w:trHeight w:val="519"/>
        </w:trPr>
        <w:tc>
          <w:tcPr>
            <w:tcW w:w="3960" w:type="dxa"/>
            <w:vAlign w:val="bottom"/>
          </w:tcPr>
          <w:p>
            <w:pPr>
              <w:spacing w:after="0"/>
              <w:rPr>
                <w:sz w:val="24"/>
                <w:szCs w:val="24"/>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Useful life in Years</w:t>
            </w:r>
          </w:p>
        </w:tc>
        <w:tc>
          <w:tcPr>
            <w:tcW w:w="400" w:type="dxa"/>
            <w:vAlign w:val="bottom"/>
          </w:tcPr>
          <w:p>
            <w:pPr>
              <w:spacing w:after="0"/>
              <w:rPr>
                <w:sz w:val="24"/>
                <w:szCs w:val="24"/>
                <w:color w:val="auto"/>
              </w:rPr>
            </w:pPr>
          </w:p>
        </w:tc>
        <w:tc>
          <w:tcPr>
            <w:tcW w:w="1440" w:type="dxa"/>
            <w:vAlign w:val="bottom"/>
            <w:gridSpan w:val="2"/>
          </w:tcPr>
          <w:p>
            <w:pPr>
              <w:ind w:left="30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24"/>
                <w:szCs w:val="24"/>
                <w:color w:val="auto"/>
              </w:rPr>
            </w:pPr>
          </w:p>
        </w:tc>
        <w:tc>
          <w:tcPr>
            <w:tcW w:w="1740" w:type="dxa"/>
            <w:vAlign w:val="bottom"/>
            <w:gridSpan w:val="2"/>
          </w:tcPr>
          <w:p>
            <w:pPr>
              <w:spacing w:after="0"/>
              <w:rPr>
                <w:sz w:val="20"/>
                <w:szCs w:val="20"/>
                <w:color w:val="auto"/>
              </w:rPr>
            </w:pPr>
            <w:r>
              <w:rPr>
                <w:rFonts w:ascii="Arial" w:cs="Arial" w:eastAsia="Arial" w:hAnsi="Arial"/>
                <w:sz w:val="14"/>
                <w:szCs w:val="14"/>
                <w:b w:val="1"/>
                <w:bCs w:val="1"/>
                <w:color w:val="auto"/>
              </w:rPr>
              <w:t>Accumulate amortization</w:t>
            </w:r>
          </w:p>
        </w:tc>
        <w:tc>
          <w:tcPr>
            <w:tcW w:w="44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Net</w:t>
            </w:r>
          </w:p>
        </w:tc>
      </w:tr>
      <w:tr>
        <w:trPr>
          <w:trHeight w:val="23"/>
        </w:trPr>
        <w:tc>
          <w:tcPr>
            <w:tcW w:w="3960" w:type="dxa"/>
            <w:vAlign w:val="bottom"/>
            <w:tcBorders>
              <w:bottom w:val="single" w:sz="8" w:color="CCEEFF"/>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8"/>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Purchased intangible with finite lives:</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4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r>
      <w:tr>
        <w:trPr>
          <w:trHeight w:val="222"/>
        </w:trPr>
        <w:tc>
          <w:tcPr>
            <w:tcW w:w="3960" w:type="dxa"/>
            <w:vAlign w:val="bottom"/>
          </w:tcPr>
          <w:p>
            <w:pPr>
              <w:ind w:left="120"/>
              <w:spacing w:after="0"/>
              <w:rPr>
                <w:sz w:val="20"/>
                <w:szCs w:val="20"/>
                <w:color w:val="auto"/>
              </w:rPr>
            </w:pPr>
            <w:r>
              <w:rPr>
                <w:rFonts w:ascii="Arial" w:cs="Arial" w:eastAsia="Arial" w:hAnsi="Arial"/>
                <w:sz w:val="17"/>
                <w:szCs w:val="17"/>
                <w:color w:val="auto"/>
              </w:rPr>
              <w:t>Patents</w:t>
            </w:r>
          </w:p>
        </w:tc>
        <w:tc>
          <w:tcPr>
            <w:tcW w:w="1740" w:type="dxa"/>
            <w:vAlign w:val="bottom"/>
          </w:tcPr>
          <w:p>
            <w:pPr>
              <w:jc w:val="center"/>
              <w:spacing w:after="0"/>
              <w:rPr>
                <w:sz w:val="20"/>
                <w:szCs w:val="20"/>
                <w:color w:val="auto"/>
              </w:rPr>
            </w:pPr>
            <w:r>
              <w:rPr>
                <w:rFonts w:ascii="Arial" w:cs="Arial" w:eastAsia="Arial" w:hAnsi="Arial"/>
                <w:sz w:val="17"/>
                <w:szCs w:val="17"/>
                <w:color w:val="auto"/>
                <w:w w:val="94"/>
              </w:rPr>
              <w:t>11</w:t>
            </w:r>
          </w:p>
        </w:tc>
        <w:tc>
          <w:tcPr>
            <w:tcW w:w="100" w:type="dxa"/>
            <w:vAlign w:val="bottom"/>
          </w:tcPr>
          <w:p>
            <w:pPr>
              <w:spacing w:after="0"/>
              <w:rPr>
                <w:sz w:val="19"/>
                <w:szCs w:val="19"/>
                <w:color w:val="auto"/>
              </w:rPr>
            </w:pPr>
          </w:p>
        </w:tc>
        <w:tc>
          <w:tcPr>
            <w:tcW w:w="400" w:type="dxa"/>
            <w:vAlign w:val="bottom"/>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spacing w:after="0"/>
              <w:rPr>
                <w:sz w:val="20"/>
                <w:szCs w:val="20"/>
                <w:color w:val="auto"/>
              </w:rPr>
            </w:pPr>
            <w:r>
              <w:rPr>
                <w:rFonts w:ascii="Arial" w:cs="Arial" w:eastAsia="Arial" w:hAnsi="Arial"/>
                <w:sz w:val="17"/>
                <w:szCs w:val="17"/>
                <w:color w:val="auto"/>
              </w:rPr>
              <w:t>630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Pr>
          <w:p>
            <w:pPr>
              <w:jc w:val="right"/>
              <w:spacing w:after="0"/>
              <w:rPr>
                <w:sz w:val="20"/>
                <w:szCs w:val="20"/>
                <w:color w:val="auto"/>
              </w:rPr>
            </w:pPr>
            <w:r>
              <w:rPr>
                <w:rFonts w:ascii="Arial" w:cs="Arial" w:eastAsia="Arial" w:hAnsi="Arial"/>
                <w:sz w:val="17"/>
                <w:szCs w:val="17"/>
                <w:color w:val="auto"/>
              </w:rPr>
              <w:t>(29)</w:t>
            </w:r>
          </w:p>
        </w:tc>
        <w:tc>
          <w:tcPr>
            <w:tcW w:w="100" w:type="dxa"/>
            <w:vAlign w:val="bottom"/>
          </w:tcPr>
          <w:p>
            <w:pPr>
              <w:spacing w:after="0"/>
              <w:rPr>
                <w:sz w:val="19"/>
                <w:szCs w:val="19"/>
                <w:color w:val="auto"/>
              </w:rPr>
            </w:pPr>
          </w:p>
        </w:tc>
        <w:tc>
          <w:tcPr>
            <w:tcW w:w="440" w:type="dxa"/>
            <w:vAlign w:val="bottom"/>
          </w:tcPr>
          <w:p>
            <w:pPr>
              <w:jc w:val="right"/>
              <w:ind w:right="253"/>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601</w:t>
            </w:r>
          </w:p>
        </w:tc>
      </w:tr>
      <w:tr>
        <w:trPr>
          <w:trHeight w:val="26"/>
        </w:trPr>
        <w:tc>
          <w:tcPr>
            <w:tcW w:w="39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28"/>
        </w:trPr>
        <w:tc>
          <w:tcPr>
            <w:tcW w:w="39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Customer relationship</w:t>
            </w:r>
          </w:p>
        </w:tc>
        <w:tc>
          <w:tcPr>
            <w:tcW w:w="17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7"/>
                <w:szCs w:val="17"/>
                <w:color w:val="auto"/>
                <w:w w:val="94"/>
              </w:rPr>
              <w:t>15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spacing w:after="0"/>
              <w:rPr>
                <w:sz w:val="19"/>
                <w:szCs w:val="19"/>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5,500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(183)</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5,317</w:t>
            </w:r>
          </w:p>
        </w:tc>
      </w:tr>
      <w:tr>
        <w:trPr>
          <w:trHeight w:val="222"/>
        </w:trPr>
        <w:tc>
          <w:tcPr>
            <w:tcW w:w="3960" w:type="dxa"/>
            <w:vAlign w:val="bottom"/>
          </w:tcPr>
          <w:p>
            <w:pPr>
              <w:ind w:left="120"/>
              <w:spacing w:after="0"/>
              <w:rPr>
                <w:sz w:val="20"/>
                <w:szCs w:val="20"/>
                <w:color w:val="auto"/>
              </w:rPr>
            </w:pPr>
            <w:r>
              <w:rPr>
                <w:rFonts w:ascii="Arial" w:cs="Arial" w:eastAsia="Arial" w:hAnsi="Arial"/>
                <w:sz w:val="17"/>
                <w:szCs w:val="17"/>
                <w:color w:val="auto"/>
              </w:rPr>
              <w:t>Trade names</w:t>
            </w:r>
          </w:p>
        </w:tc>
        <w:tc>
          <w:tcPr>
            <w:tcW w:w="1740" w:type="dxa"/>
            <w:vAlign w:val="bottom"/>
          </w:tcPr>
          <w:p>
            <w:pPr>
              <w:jc w:val="center"/>
              <w:spacing w:after="0"/>
              <w:rPr>
                <w:sz w:val="20"/>
                <w:szCs w:val="20"/>
                <w:color w:val="auto"/>
              </w:rPr>
            </w:pPr>
            <w:r>
              <w:rPr>
                <w:rFonts w:ascii="Arial" w:cs="Arial" w:eastAsia="Arial" w:hAnsi="Arial"/>
                <w:sz w:val="17"/>
                <w:szCs w:val="17"/>
                <w:color w:val="auto"/>
                <w:w w:val="94"/>
              </w:rPr>
              <w:t>16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1,160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(36)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1,124</w:t>
            </w:r>
          </w:p>
        </w:tc>
      </w:tr>
      <w:tr>
        <w:trPr>
          <w:trHeight w:val="26"/>
        </w:trPr>
        <w:tc>
          <w:tcPr>
            <w:tcW w:w="396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21"/>
        </w:trPr>
        <w:tc>
          <w:tcPr>
            <w:tcW w:w="3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purchased intangible assets with finite lives</w:t>
            </w:r>
          </w:p>
        </w:tc>
        <w:tc>
          <w:tcPr>
            <w:tcW w:w="174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CCEEFF"/>
            </w:tcBorders>
            <w:shd w:val="clear" w:color="auto" w:fill="CCEEFF"/>
          </w:tcPr>
          <w:p>
            <w:pPr>
              <w:jc w:val="right"/>
              <w:ind w:right="213"/>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7,290</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(248)</w:t>
            </w:r>
          </w:p>
        </w:tc>
        <w:tc>
          <w:tcPr>
            <w:tcW w:w="100" w:type="dxa"/>
            <w:vAlign w:val="bottom"/>
            <w:tcBorders>
              <w:bottom w:val="single" w:sz="8" w:color="CCEEFF"/>
            </w:tcBorders>
            <w:shd w:val="clear" w:color="auto" w:fill="CCEEFF"/>
          </w:tcPr>
          <w:p>
            <w:pPr>
              <w:spacing w:after="0"/>
              <w:rPr>
                <w:sz w:val="19"/>
                <w:szCs w:val="19"/>
                <w:color w:val="auto"/>
              </w:rPr>
            </w:pPr>
          </w:p>
        </w:tc>
        <w:tc>
          <w:tcPr>
            <w:tcW w:w="440" w:type="dxa"/>
            <w:vAlign w:val="bottom"/>
            <w:tcBorders>
              <w:bottom w:val="single" w:sz="8" w:color="CCEEFF"/>
            </w:tcBorders>
            <w:shd w:val="clear" w:color="auto" w:fill="CCEEFF"/>
          </w:tcPr>
          <w:p>
            <w:pPr>
              <w:jc w:val="right"/>
              <w:ind w:right="253"/>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7,042</w:t>
            </w:r>
          </w:p>
        </w:tc>
      </w:tr>
      <w:tr>
        <w:trPr>
          <w:trHeight w:val="20"/>
        </w:trPr>
        <w:tc>
          <w:tcPr>
            <w:tcW w:w="39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ind w:right="40" w:firstLine="470"/>
        <w:spacing w:after="0" w:line="288" w:lineRule="auto"/>
        <w:rPr>
          <w:sz w:val="20"/>
          <w:szCs w:val="20"/>
          <w:color w:val="auto"/>
        </w:rPr>
      </w:pPr>
      <w:r>
        <w:rPr>
          <w:rFonts w:ascii="Arial" w:cs="Arial" w:eastAsia="Arial" w:hAnsi="Arial"/>
          <w:sz w:val="17"/>
          <w:szCs w:val="17"/>
          <w:color w:val="auto"/>
        </w:rPr>
        <w:t>Amortization of purchased intangible assets for the six months ended December 30, 2022 was $0.2 million included in operating expenses. There were no impairment charges for the three or six months ended December 30, 2022.</w:t>
      </w:r>
    </w:p>
    <w:p>
      <w:pPr>
        <w:spacing w:after="0" w:line="106" w:lineRule="exact"/>
        <w:rPr>
          <w:sz w:val="20"/>
          <w:szCs w:val="20"/>
          <w:color w:val="auto"/>
        </w:rPr>
      </w:pPr>
    </w:p>
    <w:p>
      <w:pPr>
        <w:ind w:right="540" w:firstLine="470"/>
        <w:spacing w:after="0" w:line="288" w:lineRule="auto"/>
        <w:rPr>
          <w:sz w:val="20"/>
          <w:szCs w:val="20"/>
          <w:color w:val="auto"/>
        </w:rPr>
      </w:pPr>
      <w:r>
        <w:rPr>
          <w:rFonts w:ascii="Arial" w:cs="Arial" w:eastAsia="Arial" w:hAnsi="Arial"/>
          <w:sz w:val="17"/>
          <w:szCs w:val="17"/>
          <w:color w:val="auto"/>
        </w:rPr>
        <w:t>Pro forma results of operations for this acquisition have not been presented because the effects on revenue and net income were not material to our historic consolidated financial statements.</w:t>
      </w:r>
    </w:p>
    <w:p>
      <w:pPr>
        <w:spacing w:after="0" w:line="341"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estimated future amortization expense of intangible assets with finite lives as of December 30, 2022 is as follows:</w:t>
      </w:r>
    </w:p>
    <w:p>
      <w:pPr>
        <w:spacing w:after="0" w:line="56" w:lineRule="exact"/>
        <w:rPr>
          <w:sz w:val="20"/>
          <w:szCs w:val="20"/>
          <w:color w:val="auto"/>
        </w:rPr>
      </w:pPr>
    </w:p>
    <w:p>
      <w:pPr>
        <w:jc w:val="center"/>
        <w:ind w:left="898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5712460</wp:posOffset>
            </wp:positionH>
            <wp:positionV relativeFrom="paragraph">
              <wp:posOffset>27940</wp:posOffset>
            </wp:positionV>
            <wp:extent cx="14274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45" w:lineRule="exact"/>
        <w:rPr>
          <w:sz w:val="20"/>
          <w:szCs w:val="20"/>
          <w:color w:val="auto"/>
        </w:rPr>
      </w:pPr>
    </w:p>
    <w:p>
      <w:pPr>
        <w:jc w:val="center"/>
        <w:ind w:left="8980"/>
        <w:spacing w:after="0"/>
        <w:rPr>
          <w:sz w:val="20"/>
          <w:szCs w:val="20"/>
          <w:color w:val="auto"/>
        </w:rPr>
      </w:pPr>
      <w:r>
        <w:rPr>
          <w:rFonts w:ascii="Arial" w:cs="Arial" w:eastAsia="Arial" w:hAnsi="Arial"/>
          <w:sz w:val="14"/>
          <w:szCs w:val="14"/>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8" w:right="339" w:bottom="1440" w:gutter="0" w:footer="0" w:header="0"/>
        </w:sectPr>
      </w:pPr>
    </w:p>
    <w:bookmarkStart w:id="21" w:name="page22"/>
    <w:bookmarkEnd w:id="21"/>
    <w:tbl>
      <w:tblPr>
        <w:tblLayout w:type="fixed"/>
        <w:tblInd w:w="480" w:type="dxa"/>
        <w:tblCellMar>
          <w:top w:w="0" w:type="dxa"/>
          <w:left w:w="0" w:type="dxa"/>
          <w:bottom w:w="0" w:type="dxa"/>
          <w:right w:w="0" w:type="dxa"/>
        </w:tblCellMar>
      </w:tblPr>
      <w:tr>
        <w:trPr>
          <w:trHeight w:val="248"/>
        </w:trPr>
        <w:tc>
          <w:tcPr>
            <w:tcW w:w="8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Remainder of 2023</w:t>
            </w:r>
          </w:p>
        </w:tc>
        <w:tc>
          <w:tcPr>
            <w:tcW w:w="960" w:type="dxa"/>
            <w:vAlign w:val="bottom"/>
            <w:shd w:val="clear" w:color="auto" w:fill="CCEEFF"/>
          </w:tcPr>
          <w:p>
            <w:pPr>
              <w:jc w:val="right"/>
              <w:ind w:right="753"/>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spacing w:after="0"/>
              <w:rPr>
                <w:sz w:val="21"/>
                <w:szCs w:val="21"/>
                <w:color w:val="auto"/>
              </w:rPr>
            </w:pPr>
          </w:p>
        </w:tc>
      </w:tr>
      <w:tr>
        <w:trPr>
          <w:trHeight w:val="222"/>
        </w:trPr>
        <w:tc>
          <w:tcPr>
            <w:tcW w:w="8980" w:type="dxa"/>
            <w:vAlign w:val="bottom"/>
          </w:tcPr>
          <w:p>
            <w:pPr>
              <w:ind w:left="20"/>
              <w:spacing w:after="0"/>
              <w:rPr>
                <w:sz w:val="20"/>
                <w:szCs w:val="20"/>
                <w:color w:val="auto"/>
              </w:rPr>
            </w:pPr>
            <w:r>
              <w:rPr>
                <w:rFonts w:ascii="Arial" w:cs="Arial" w:eastAsia="Arial" w:hAnsi="Arial"/>
                <w:sz w:val="17"/>
                <w:szCs w:val="17"/>
                <w:color w:val="auto"/>
              </w:rPr>
              <w:t>2024</w:t>
            </w: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
        </w:trPr>
        <w:tc>
          <w:tcPr>
            <w:tcW w:w="8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2025</w:t>
            </w:r>
          </w:p>
        </w:tc>
        <w:tc>
          <w:tcPr>
            <w:tcW w:w="9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22"/>
        </w:trPr>
        <w:tc>
          <w:tcPr>
            <w:tcW w:w="8980" w:type="dxa"/>
            <w:vAlign w:val="bottom"/>
          </w:tcPr>
          <w:p>
            <w:pPr>
              <w:ind w:left="20"/>
              <w:spacing w:after="0"/>
              <w:rPr>
                <w:sz w:val="20"/>
                <w:szCs w:val="20"/>
                <w:color w:val="auto"/>
              </w:rPr>
            </w:pPr>
            <w:r>
              <w:rPr>
                <w:rFonts w:ascii="Arial" w:cs="Arial" w:eastAsia="Arial" w:hAnsi="Arial"/>
                <w:sz w:val="17"/>
                <w:szCs w:val="17"/>
                <w:color w:val="auto"/>
              </w:rPr>
              <w:t>2026</w:t>
            </w:r>
          </w:p>
        </w:tc>
        <w:tc>
          <w:tcPr>
            <w:tcW w:w="9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6"/>
        </w:trPr>
        <w:tc>
          <w:tcPr>
            <w:tcW w:w="8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28"/>
        </w:trPr>
        <w:tc>
          <w:tcPr>
            <w:tcW w:w="8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2027</w:t>
            </w:r>
          </w:p>
        </w:tc>
        <w:tc>
          <w:tcPr>
            <w:tcW w:w="9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spacing w:after="0"/>
              <w:rPr>
                <w:sz w:val="19"/>
                <w:szCs w:val="19"/>
                <w:color w:val="auto"/>
              </w:rPr>
            </w:pPr>
          </w:p>
        </w:tc>
      </w:tr>
      <w:tr>
        <w:trPr>
          <w:trHeight w:val="222"/>
        </w:trPr>
        <w:tc>
          <w:tcPr>
            <w:tcW w:w="8980" w:type="dxa"/>
            <w:vAlign w:val="bottom"/>
          </w:tcPr>
          <w:p>
            <w:pPr>
              <w:ind w:left="20"/>
              <w:spacing w:after="0"/>
              <w:rPr>
                <w:sz w:val="20"/>
                <w:szCs w:val="20"/>
                <w:color w:val="auto"/>
              </w:rPr>
            </w:pPr>
            <w:r>
              <w:rPr>
                <w:rFonts w:ascii="Arial" w:cs="Arial" w:eastAsia="Arial" w:hAnsi="Arial"/>
                <w:sz w:val="17"/>
                <w:szCs w:val="17"/>
                <w:color w:val="auto"/>
              </w:rPr>
              <w:t>Thereafter</w:t>
            </w:r>
          </w:p>
        </w:tc>
        <w:tc>
          <w:tcPr>
            <w:tcW w:w="96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6"/>
        </w:trPr>
        <w:tc>
          <w:tcPr>
            <w:tcW w:w="89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21"/>
        </w:trPr>
        <w:tc>
          <w:tcPr>
            <w:tcW w:w="898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7"/>
                <w:szCs w:val="17"/>
                <w:color w:val="auto"/>
              </w:rPr>
              <w:t>Total</w:t>
            </w:r>
          </w:p>
        </w:tc>
        <w:tc>
          <w:tcPr>
            <w:tcW w:w="960" w:type="dxa"/>
            <w:vAlign w:val="bottom"/>
            <w:tcBorders>
              <w:bottom w:val="single" w:sz="8" w:color="CCEEFF"/>
            </w:tcBorders>
            <w:shd w:val="clear" w:color="auto" w:fill="CCEEFF"/>
          </w:tcPr>
          <w:p>
            <w:pPr>
              <w:jc w:val="right"/>
              <w:ind w:right="753"/>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w:t>
            </w:r>
          </w:p>
        </w:tc>
      </w:tr>
      <w:tr>
        <w:trPr>
          <w:trHeight w:val="20"/>
        </w:trPr>
        <w:tc>
          <w:tcPr>
            <w:tcW w:w="89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bl>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11. Income Taxes</w:t>
      </w:r>
    </w:p>
    <w:p>
      <w:pPr>
        <w:spacing w:after="0" w:line="176"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Our effective tax rate varies from the U.S. federal statutory rate of 21% primarily due to results of foreign operations that are subject to income taxes at different statutory rates and certain jurisdictions where we cannot recognize tax benefit on current losses. During interim periods, we accrue tax expenses for jurisdictions that are anticipated to be profitable for fiscal 2023.</w:t>
      </w:r>
    </w:p>
    <w:p>
      <w:pPr>
        <w:spacing w:after="0" w:line="198" w:lineRule="exact"/>
        <w:rPr>
          <w:sz w:val="20"/>
          <w:szCs w:val="20"/>
          <w:color w:val="auto"/>
        </w:rPr>
      </w:pPr>
    </w:p>
    <w:p>
      <w:pPr>
        <w:jc w:val="both"/>
        <w:ind w:right="100" w:firstLine="470"/>
        <w:spacing w:after="0" w:line="263" w:lineRule="auto"/>
        <w:rPr>
          <w:sz w:val="20"/>
          <w:szCs w:val="20"/>
          <w:color w:val="auto"/>
        </w:rPr>
      </w:pPr>
      <w:r>
        <w:rPr>
          <w:rFonts w:ascii="Arial" w:cs="Arial" w:eastAsia="Arial" w:hAnsi="Arial"/>
          <w:sz w:val="17"/>
          <w:szCs w:val="17"/>
          <w:color w:val="auto"/>
        </w:rPr>
        <w:t>The determination of our income taxes for the six months ended December 30, 2022 and December 31, 2021 was based on our estimated annual effective tax rate adjusted for losses in certain jurisdictions for which no tax benefit can be recognized. Our tax expense for the six months ended December 30, 2022 was primarily due to tax expense related to U.S. and profitable foreign subsidiaries, including deferred tax expense associated with our acquisition of Redline in July 2022 and the subsequent multi-step restructure plan where the two Redline Communication Canadian corporations converted to ULC companies and then amalgamated by the end of September 2022. The tax expense for the six months ended December 31, 2021 was primarily due to tax expense related to U.S. and profitable foreign subsidiaries.</w:t>
      </w:r>
    </w:p>
    <w:p>
      <w:pPr>
        <w:spacing w:after="0" w:line="205"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We have a number of open income tax audits covering various tax years, which vary from jurisdiction to jurisdiction. Our major tax jurisdictions that are open and subject to potential audits include the U.S., Singapore, Ghana, Kenya, Nigeria, and Saudi Arabia. The earliest years for these jurisdictions are as follows: U.S. - 2003; Singapore - 2015; Ghana – 2016; Kenya - 2018: Nigeria - 2006; and Saudi Arabia - 2019.</w:t>
      </w:r>
    </w:p>
    <w:p>
      <w:pPr>
        <w:spacing w:after="0" w:line="198" w:lineRule="exact"/>
        <w:rPr>
          <w:sz w:val="20"/>
          <w:szCs w:val="20"/>
          <w:color w:val="auto"/>
        </w:rPr>
      </w:pPr>
    </w:p>
    <w:p>
      <w:pPr>
        <w:jc w:val="both"/>
        <w:ind w:right="100" w:firstLine="470"/>
        <w:spacing w:after="0" w:line="288" w:lineRule="auto"/>
        <w:rPr>
          <w:sz w:val="20"/>
          <w:szCs w:val="20"/>
          <w:color w:val="auto"/>
        </w:rPr>
      </w:pPr>
      <w:r>
        <w:rPr>
          <w:rFonts w:ascii="Arial" w:cs="Arial" w:eastAsia="Arial" w:hAnsi="Arial"/>
          <w:sz w:val="17"/>
          <w:szCs w:val="17"/>
          <w:color w:val="auto"/>
        </w:rPr>
        <w:t>We account for interest and penalties related to unrecognized tax benefits as part of our provision for federal, foreign, and state income taxes. Such interest expense was not material for the six months ended December 30, 2022 and December 31, 2021.</w:t>
      </w:r>
    </w:p>
    <w:p>
      <w:pPr>
        <w:spacing w:after="0" w:line="184" w:lineRule="exact"/>
        <w:rPr>
          <w:sz w:val="20"/>
          <w:szCs w:val="20"/>
          <w:color w:val="auto"/>
        </w:rPr>
      </w:pPr>
    </w:p>
    <w:p>
      <w:pPr>
        <w:jc w:val="both"/>
        <w:ind w:right="100" w:firstLine="470"/>
        <w:spacing w:after="0" w:line="272" w:lineRule="auto"/>
        <w:rPr>
          <w:sz w:val="20"/>
          <w:szCs w:val="20"/>
          <w:color w:val="auto"/>
        </w:rPr>
      </w:pPr>
      <w:r>
        <w:rPr>
          <w:rFonts w:ascii="Arial" w:cs="Arial" w:eastAsia="Arial" w:hAnsi="Arial"/>
          <w:sz w:val="17"/>
          <w:szCs w:val="17"/>
          <w:color w:val="auto"/>
        </w:rPr>
        <w:t>On March 11, 2021, the U.S. enacted the American Rescue Plan Act of 2021 (“ARPA”) which expands Section 162(m) to cover the next five most highly compensated employees for the taxable year, in addition to the “covered employees” effective for taxable years beginning after December 31, 2026. We continue to examine the elements of the ARPA and the impact they may have on our future business.</w:t>
      </w:r>
    </w:p>
    <w:p>
      <w:pPr>
        <w:spacing w:after="0" w:line="198" w:lineRule="exact"/>
        <w:rPr>
          <w:sz w:val="20"/>
          <w:szCs w:val="20"/>
          <w:color w:val="auto"/>
        </w:rPr>
      </w:pPr>
    </w:p>
    <w:p>
      <w:pPr>
        <w:jc w:val="both"/>
        <w:ind w:right="100" w:firstLine="470"/>
        <w:spacing w:after="0" w:line="297" w:lineRule="auto"/>
        <w:rPr>
          <w:sz w:val="20"/>
          <w:szCs w:val="20"/>
          <w:color w:val="auto"/>
        </w:rPr>
      </w:pPr>
      <w:r>
        <w:rPr>
          <w:rFonts w:ascii="Arial" w:cs="Arial" w:eastAsia="Arial" w:hAnsi="Arial"/>
          <w:sz w:val="16"/>
          <w:szCs w:val="16"/>
          <w:color w:val="auto"/>
        </w:rPr>
        <w:t>On August 16, 2022, the U.S. enacted the Inflation Reduction Act of 2022 (“IRA”) which includes a new corporate alternative minimum tax of 15% on adjusted financial statement income of corporations with profits greater than $1 billion, and a 1% excise tax on stock repurchases by public corporations effective for taxable years beginning after December 31, 2022. We will continue to evaluate the applicability and effect of the IRA as more guidance is issued.</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340"/>
          </w:cols>
          <w:pgMar w:left="320" w:top="1263" w:right="239" w:bottom="1440" w:gutter="0" w:footer="0" w:header="0"/>
        </w:sectPr>
      </w:pPr>
    </w:p>
    <w:bookmarkStart w:id="22" w:name="page23"/>
    <w:bookmarkEnd w:id="22"/>
    <w:p>
      <w:pPr>
        <w:spacing w:after="0"/>
        <w:rPr>
          <w:sz w:val="20"/>
          <w:szCs w:val="20"/>
          <w:color w:val="auto"/>
        </w:rPr>
      </w:pPr>
      <w:r>
        <w:rPr>
          <w:rFonts w:ascii="Arial" w:cs="Arial" w:eastAsia="Arial" w:hAnsi="Arial"/>
          <w:sz w:val="17"/>
          <w:szCs w:val="17"/>
          <w:b w:val="1"/>
          <w:bCs w:val="1"/>
          <w:color w:val="auto"/>
        </w:rPr>
        <w:t>Note 12. Net Income Per Share of Common Stock</w:t>
      </w:r>
    </w:p>
    <w:p>
      <w:pPr>
        <w:spacing w:after="0" w:line="176" w:lineRule="exact"/>
        <w:rPr>
          <w:sz w:val="20"/>
          <w:szCs w:val="20"/>
          <w:color w:val="auto"/>
        </w:rPr>
      </w:pPr>
    </w:p>
    <w:p>
      <w:pPr>
        <w:jc w:val="both"/>
        <w:ind w:left="480"/>
        <w:spacing w:after="0"/>
        <w:tabs>
          <w:tab w:leader="none" w:pos="1120" w:val="left"/>
          <w:tab w:leader="none" w:pos="2200" w:val="left"/>
          <w:tab w:leader="none" w:pos="2940" w:val="left"/>
          <w:tab w:leader="none" w:pos="3920" w:val="left"/>
        </w:tabs>
        <w:rPr>
          <w:sz w:val="20"/>
          <w:szCs w:val="20"/>
          <w:color w:val="auto"/>
        </w:rPr>
      </w:pPr>
      <w:r>
        <w:rPr>
          <w:rFonts w:ascii="Arial" w:cs="Arial" w:eastAsia="Arial" w:hAnsi="Arial"/>
          <w:sz w:val="17"/>
          <w:szCs w:val="17"/>
          <w:color w:val="auto"/>
        </w:rPr>
        <w:t>The</w:t>
      </w:r>
      <w:r>
        <w:rPr>
          <w:sz w:val="20"/>
          <w:szCs w:val="20"/>
          <w:color w:val="auto"/>
        </w:rPr>
        <w:tab/>
      </w:r>
      <w:r>
        <w:rPr>
          <w:rFonts w:ascii="Arial" w:cs="Arial" w:eastAsia="Arial" w:hAnsi="Arial"/>
          <w:sz w:val="17"/>
          <w:szCs w:val="17"/>
          <w:color w:val="auto"/>
        </w:rPr>
        <w:t>following</w:t>
      </w:r>
      <w:r>
        <w:rPr>
          <w:sz w:val="20"/>
          <w:szCs w:val="20"/>
          <w:color w:val="auto"/>
        </w:rPr>
        <w:tab/>
      </w:r>
      <w:r>
        <w:rPr>
          <w:rFonts w:ascii="Arial" w:cs="Arial" w:eastAsia="Arial" w:hAnsi="Arial"/>
          <w:sz w:val="17"/>
          <w:szCs w:val="17"/>
          <w:color w:val="auto"/>
        </w:rPr>
        <w:t>table</w:t>
      </w:r>
      <w:r>
        <w:rPr>
          <w:sz w:val="20"/>
          <w:szCs w:val="20"/>
          <w:color w:val="auto"/>
        </w:rPr>
        <w:tab/>
      </w:r>
      <w:r>
        <w:rPr>
          <w:rFonts w:ascii="Arial" w:cs="Arial" w:eastAsia="Arial" w:hAnsi="Arial"/>
          <w:sz w:val="17"/>
          <w:szCs w:val="17"/>
          <w:color w:val="auto"/>
        </w:rPr>
        <w:t>presents</w:t>
      </w:r>
      <w:r>
        <w:rPr>
          <w:sz w:val="20"/>
          <w:szCs w:val="20"/>
          <w:color w:val="auto"/>
        </w:rPr>
        <w:tab/>
      </w:r>
      <w:r>
        <w:rPr>
          <w:rFonts w:ascii="Arial" w:cs="Arial" w:eastAsia="Arial" w:hAnsi="Arial"/>
          <w:sz w:val="15"/>
          <w:szCs w:val="15"/>
          <w:color w:val="auto"/>
        </w:rPr>
        <w:t>the</w:t>
      </w:r>
    </w:p>
    <w:p>
      <w:pPr>
        <w:spacing w:after="0" w:line="38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(In thousands, except per share amounts)</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Numerator:</w:t>
      </w:r>
    </w:p>
    <w:p>
      <w:pPr>
        <w:spacing w:after="0" w:line="59"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Net income</w:t>
      </w:r>
    </w:p>
    <w:p>
      <w:pPr>
        <w:spacing w:after="0" w:line="282"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Denominator:</w:t>
      </w:r>
    </w:p>
    <w:p>
      <w:pPr>
        <w:spacing w:after="0" w:line="33" w:lineRule="exact"/>
        <w:rPr>
          <w:sz w:val="20"/>
          <w:szCs w:val="20"/>
          <w:color w:val="auto"/>
        </w:rPr>
      </w:pPr>
    </w:p>
    <w:p>
      <w:pPr>
        <w:ind w:left="180" w:right="760"/>
        <w:spacing w:after="0" w:line="315" w:lineRule="auto"/>
        <w:rPr>
          <w:sz w:val="20"/>
          <w:szCs w:val="20"/>
          <w:color w:val="auto"/>
        </w:rPr>
      </w:pPr>
      <w:r>
        <w:rPr>
          <w:rFonts w:ascii="Arial" w:cs="Arial" w:eastAsia="Arial" w:hAnsi="Arial"/>
          <w:sz w:val="16"/>
          <w:szCs w:val="16"/>
          <w:color w:val="auto"/>
        </w:rPr>
        <w:t>Weighted-average shares outstanding, basic Effect of potentially dilutive equivalent shares</w:t>
      </w:r>
    </w:p>
    <w:p>
      <w:pPr>
        <w:spacing w:after="0" w:line="1" w:lineRule="exact"/>
        <w:rPr>
          <w:sz w:val="20"/>
          <w:szCs w:val="20"/>
          <w:color w:val="auto"/>
        </w:rPr>
      </w:pPr>
    </w:p>
    <w:p>
      <w:pPr>
        <w:ind w:left="180"/>
        <w:spacing w:after="0"/>
        <w:rPr>
          <w:sz w:val="20"/>
          <w:szCs w:val="20"/>
          <w:color w:val="auto"/>
        </w:rPr>
      </w:pPr>
      <w:r>
        <w:rPr>
          <w:rFonts w:ascii="Arial" w:cs="Arial" w:eastAsia="Arial" w:hAnsi="Arial"/>
          <w:sz w:val="17"/>
          <w:szCs w:val="17"/>
          <w:color w:val="auto"/>
        </w:rPr>
        <w:t>Weighted-average shares outstanding, diluted</w:t>
      </w:r>
    </w:p>
    <w:p>
      <w:pPr>
        <w:spacing w:after="0" w:line="282" w:lineRule="exact"/>
        <w:rPr>
          <w:sz w:val="20"/>
          <w:szCs w:val="20"/>
          <w:color w:val="auto"/>
        </w:rPr>
      </w:pPr>
    </w:p>
    <w:p>
      <w:pPr>
        <w:ind w:left="180"/>
        <w:spacing w:after="0"/>
        <w:rPr>
          <w:sz w:val="20"/>
          <w:szCs w:val="20"/>
          <w:color w:val="auto"/>
        </w:rPr>
      </w:pPr>
      <w:r>
        <w:rPr>
          <w:rFonts w:ascii="Arial" w:cs="Arial" w:eastAsia="Arial" w:hAnsi="Arial"/>
          <w:sz w:val="15"/>
          <w:szCs w:val="15"/>
          <w:b w:val="1"/>
          <w:bCs w:val="1"/>
          <w:color w:val="auto"/>
        </w:rPr>
        <w:t>Net income per share of common stock outstanding:</w:t>
      </w:r>
    </w:p>
    <w:p>
      <w:pPr>
        <w:spacing w:after="0" w:line="5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Basic</w:t>
      </w:r>
    </w:p>
    <w:p>
      <w:pPr>
        <w:spacing w:after="0" w:line="27" w:lineRule="exact"/>
        <w:rPr>
          <w:sz w:val="20"/>
          <w:szCs w:val="20"/>
          <w:color w:val="auto"/>
        </w:rPr>
      </w:pPr>
    </w:p>
    <w:p>
      <w:pPr>
        <w:ind w:left="180"/>
        <w:spacing w:after="0"/>
        <w:rPr>
          <w:sz w:val="20"/>
          <w:szCs w:val="20"/>
          <w:color w:val="auto"/>
        </w:rPr>
      </w:pPr>
      <w:r>
        <w:rPr>
          <w:rFonts w:ascii="Arial" w:cs="Arial" w:eastAsia="Arial" w:hAnsi="Arial"/>
          <w:sz w:val="17"/>
          <w:szCs w:val="17"/>
          <w:color w:val="auto"/>
        </w:rPr>
        <w:t>Diluted</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1100" w:type="dxa"/>
            <w:vAlign w:val="bottom"/>
            <w:gridSpan w:val="2"/>
          </w:tcPr>
          <w:p>
            <w:pPr>
              <w:jc w:val="right"/>
              <w:ind w:right="170"/>
              <w:spacing w:after="0"/>
              <w:rPr>
                <w:sz w:val="20"/>
                <w:szCs w:val="20"/>
                <w:color w:val="auto"/>
              </w:rPr>
            </w:pPr>
            <w:r>
              <w:rPr>
                <w:rFonts w:ascii="Arial" w:cs="Arial" w:eastAsia="Arial" w:hAnsi="Arial"/>
                <w:sz w:val="17"/>
                <w:szCs w:val="17"/>
                <w:color w:val="auto"/>
                <w:w w:val="90"/>
              </w:rPr>
              <w:t>computation</w:t>
            </w:r>
          </w:p>
        </w:tc>
        <w:tc>
          <w:tcPr>
            <w:tcW w:w="700" w:type="dxa"/>
            <w:vAlign w:val="bottom"/>
            <w:gridSpan w:val="2"/>
          </w:tcPr>
          <w:p>
            <w:pPr>
              <w:ind w:left="160"/>
              <w:spacing w:after="0"/>
              <w:rPr>
                <w:sz w:val="20"/>
                <w:szCs w:val="20"/>
                <w:color w:val="auto"/>
              </w:rPr>
            </w:pPr>
            <w:r>
              <w:rPr>
                <w:rFonts w:ascii="Arial" w:cs="Arial" w:eastAsia="Arial" w:hAnsi="Arial"/>
                <w:sz w:val="17"/>
                <w:szCs w:val="17"/>
                <w:color w:val="auto"/>
              </w:rPr>
              <w:t>of</w:t>
            </w:r>
          </w:p>
        </w:tc>
        <w:tc>
          <w:tcPr>
            <w:tcW w:w="380" w:type="dxa"/>
            <w:vAlign w:val="bottom"/>
          </w:tcPr>
          <w:p>
            <w:pPr>
              <w:ind w:left="20"/>
              <w:spacing w:after="0"/>
              <w:rPr>
                <w:sz w:val="20"/>
                <w:szCs w:val="20"/>
                <w:color w:val="auto"/>
              </w:rPr>
            </w:pPr>
            <w:r>
              <w:rPr>
                <w:rFonts w:ascii="Arial" w:cs="Arial" w:eastAsia="Arial" w:hAnsi="Arial"/>
                <w:sz w:val="17"/>
                <w:szCs w:val="17"/>
                <w:color w:val="auto"/>
                <w:w w:val="85"/>
              </w:rPr>
              <w:t>basic</w:t>
            </w:r>
          </w:p>
        </w:tc>
        <w:tc>
          <w:tcPr>
            <w:tcW w:w="640" w:type="dxa"/>
            <w:vAlign w:val="bottom"/>
          </w:tcPr>
          <w:p>
            <w:pPr>
              <w:ind w:left="400"/>
              <w:spacing w:after="0"/>
              <w:rPr>
                <w:sz w:val="20"/>
                <w:szCs w:val="20"/>
                <w:color w:val="auto"/>
              </w:rPr>
            </w:pPr>
            <w:r>
              <w:rPr>
                <w:rFonts w:ascii="Arial" w:cs="Arial" w:eastAsia="Arial" w:hAnsi="Arial"/>
                <w:sz w:val="17"/>
                <w:szCs w:val="17"/>
                <w:color w:val="auto"/>
                <w:w w:val="77"/>
              </w:rPr>
              <w:t>and</w:t>
            </w:r>
          </w:p>
        </w:tc>
        <w:tc>
          <w:tcPr>
            <w:tcW w:w="960" w:type="dxa"/>
            <w:vAlign w:val="bottom"/>
            <w:gridSpan w:val="3"/>
          </w:tcPr>
          <w:p>
            <w:pPr>
              <w:jc w:val="right"/>
              <w:spacing w:after="0"/>
              <w:rPr>
                <w:sz w:val="20"/>
                <w:szCs w:val="20"/>
                <w:color w:val="auto"/>
              </w:rPr>
            </w:pPr>
            <w:r>
              <w:rPr>
                <w:rFonts w:ascii="Arial" w:cs="Arial" w:eastAsia="Arial" w:hAnsi="Arial"/>
                <w:sz w:val="17"/>
                <w:szCs w:val="17"/>
                <w:color w:val="auto"/>
              </w:rPr>
              <w:t>diluted</w:t>
            </w:r>
          </w:p>
        </w:tc>
        <w:tc>
          <w:tcPr>
            <w:tcW w:w="660" w:type="dxa"/>
            <w:vAlign w:val="bottom"/>
          </w:tcPr>
          <w:p>
            <w:pPr>
              <w:ind w:left="320"/>
              <w:spacing w:after="0"/>
              <w:rPr>
                <w:sz w:val="20"/>
                <w:szCs w:val="20"/>
                <w:color w:val="auto"/>
              </w:rPr>
            </w:pPr>
            <w:r>
              <w:rPr>
                <w:rFonts w:ascii="Arial" w:cs="Arial" w:eastAsia="Arial" w:hAnsi="Arial"/>
                <w:sz w:val="17"/>
                <w:szCs w:val="17"/>
                <w:color w:val="auto"/>
              </w:rPr>
              <w:t>net</w:t>
            </w:r>
          </w:p>
        </w:tc>
        <w:tc>
          <w:tcPr>
            <w:tcW w:w="920" w:type="dxa"/>
            <w:vAlign w:val="bottom"/>
            <w:gridSpan w:val="3"/>
          </w:tcPr>
          <w:p>
            <w:pPr>
              <w:jc w:val="right"/>
              <w:ind w:right="33"/>
              <w:spacing w:after="0"/>
              <w:rPr>
                <w:sz w:val="20"/>
                <w:szCs w:val="20"/>
                <w:color w:val="auto"/>
              </w:rPr>
            </w:pPr>
            <w:r>
              <w:rPr>
                <w:rFonts w:ascii="Arial" w:cs="Arial" w:eastAsia="Arial" w:hAnsi="Arial"/>
                <w:sz w:val="17"/>
                <w:szCs w:val="17"/>
                <w:color w:val="auto"/>
              </w:rPr>
              <w:t>income</w:t>
            </w:r>
          </w:p>
        </w:tc>
        <w:tc>
          <w:tcPr>
            <w:tcW w:w="740" w:type="dxa"/>
            <w:vAlign w:val="bottom"/>
          </w:tcPr>
          <w:p>
            <w:pPr>
              <w:ind w:left="280"/>
              <w:spacing w:after="0"/>
              <w:rPr>
                <w:sz w:val="20"/>
                <w:szCs w:val="20"/>
                <w:color w:val="auto"/>
              </w:rPr>
            </w:pPr>
            <w:r>
              <w:rPr>
                <w:rFonts w:ascii="Arial" w:cs="Arial" w:eastAsia="Arial" w:hAnsi="Arial"/>
                <w:sz w:val="17"/>
                <w:szCs w:val="17"/>
                <w:color w:val="auto"/>
              </w:rPr>
              <w:t>per</w:t>
            </w:r>
          </w:p>
        </w:tc>
        <w:tc>
          <w:tcPr>
            <w:tcW w:w="580" w:type="dxa"/>
            <w:vAlign w:val="bottom"/>
          </w:tcPr>
          <w:p>
            <w:pPr>
              <w:jc w:val="right"/>
              <w:spacing w:after="0"/>
              <w:rPr>
                <w:sz w:val="20"/>
                <w:szCs w:val="20"/>
                <w:color w:val="auto"/>
              </w:rPr>
            </w:pPr>
            <w:r>
              <w:rPr>
                <w:rFonts w:ascii="Arial" w:cs="Arial" w:eastAsia="Arial" w:hAnsi="Arial"/>
                <w:sz w:val="17"/>
                <w:szCs w:val="17"/>
                <w:color w:val="auto"/>
              </w:rPr>
              <w:t>share:</w:t>
            </w:r>
          </w:p>
        </w:tc>
      </w:tr>
      <w:tr>
        <w:trPr>
          <w:trHeight w:val="199"/>
        </w:trPr>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72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660" w:type="dxa"/>
            <w:vAlign w:val="bottom"/>
            <w:gridSpan w:val="4"/>
          </w:tcPr>
          <w:p>
            <w:pPr>
              <w:ind w:left="80"/>
              <w:spacing w:after="0"/>
              <w:rPr>
                <w:sz w:val="20"/>
                <w:szCs w:val="20"/>
                <w:color w:val="auto"/>
              </w:rPr>
            </w:pPr>
            <w:r>
              <w:rPr>
                <w:rFonts w:ascii="Arial" w:cs="Arial" w:eastAsia="Arial" w:hAnsi="Arial"/>
                <w:sz w:val="14"/>
                <w:szCs w:val="14"/>
                <w:b w:val="1"/>
                <w:bCs w:val="1"/>
                <w:color w:val="auto"/>
              </w:rPr>
              <w:t>Six Months Ended</w:t>
            </w:r>
          </w:p>
        </w:tc>
        <w:tc>
          <w:tcPr>
            <w:tcW w:w="580" w:type="dxa"/>
            <w:vAlign w:val="bottom"/>
          </w:tcPr>
          <w:p>
            <w:pPr>
              <w:spacing w:after="0"/>
              <w:rPr>
                <w:sz w:val="17"/>
                <w:szCs w:val="17"/>
                <w:color w:val="auto"/>
              </w:rPr>
            </w:pPr>
          </w:p>
        </w:tc>
      </w:tr>
      <w:tr>
        <w:trPr>
          <w:trHeight w:val="23"/>
        </w:trPr>
        <w:tc>
          <w:tcPr>
            <w:tcW w:w="140" w:type="dxa"/>
            <w:vAlign w:val="bottom"/>
          </w:tcPr>
          <w:p>
            <w:pPr>
              <w:spacing w:after="0"/>
              <w:rPr>
                <w:sz w:val="2"/>
                <w:szCs w:val="2"/>
                <w:color w:val="auto"/>
              </w:rPr>
            </w:pPr>
          </w:p>
        </w:tc>
        <w:tc>
          <w:tcPr>
            <w:tcW w:w="1660" w:type="dxa"/>
            <w:vAlign w:val="bottom"/>
            <w:gridSpan w:val="3"/>
          </w:tcPr>
          <w:p>
            <w:pPr>
              <w:spacing w:after="0"/>
              <w:rPr>
                <w:sz w:val="2"/>
                <w:szCs w:val="2"/>
                <w:color w:val="auto"/>
              </w:rPr>
            </w:pPr>
          </w:p>
        </w:tc>
        <w:tc>
          <w:tcPr>
            <w:tcW w:w="380" w:type="dxa"/>
            <w:vAlign w:val="bottom"/>
          </w:tcPr>
          <w:p>
            <w:pPr>
              <w:spacing w:after="0"/>
              <w:rPr>
                <w:sz w:val="2"/>
                <w:szCs w:val="2"/>
                <w:color w:val="auto"/>
              </w:rPr>
            </w:pPr>
          </w:p>
        </w:tc>
        <w:tc>
          <w:tcPr>
            <w:tcW w:w="128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340" w:type="dxa"/>
            <w:vAlign w:val="bottom"/>
            <w:gridSpan w:val="3"/>
          </w:tcPr>
          <w:p>
            <w:pPr>
              <w:spacing w:after="0"/>
              <w:rPr>
                <w:sz w:val="2"/>
                <w:szCs w:val="2"/>
                <w:color w:val="auto"/>
              </w:rPr>
            </w:pPr>
          </w:p>
        </w:tc>
        <w:tc>
          <w:tcPr>
            <w:tcW w:w="24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r>
      <w:tr>
        <w:trPr>
          <w:trHeight w:val="127"/>
        </w:trPr>
        <w:tc>
          <w:tcPr>
            <w:tcW w:w="140" w:type="dxa"/>
            <w:vAlign w:val="bottom"/>
          </w:tcPr>
          <w:p>
            <w:pPr>
              <w:spacing w:after="0"/>
              <w:rPr>
                <w:sz w:val="11"/>
                <w:szCs w:val="11"/>
                <w:color w:val="auto"/>
              </w:rPr>
            </w:pPr>
          </w:p>
        </w:tc>
        <w:tc>
          <w:tcPr>
            <w:tcW w:w="1660" w:type="dxa"/>
            <w:vAlign w:val="bottom"/>
            <w:tcBorders>
              <w:top w:val="single" w:sz="8" w:color="auto"/>
            </w:tcBorders>
            <w:gridSpan w:val="3"/>
          </w:tcPr>
          <w:p>
            <w:pPr>
              <w:ind w:left="380"/>
              <w:spacing w:after="0" w:line="127" w:lineRule="exact"/>
              <w:rPr>
                <w:sz w:val="20"/>
                <w:szCs w:val="20"/>
                <w:color w:val="auto"/>
              </w:rPr>
            </w:pPr>
            <w:r>
              <w:rPr>
                <w:rFonts w:ascii="Arial" w:cs="Arial" w:eastAsia="Arial" w:hAnsi="Arial"/>
                <w:sz w:val="14"/>
                <w:szCs w:val="14"/>
                <w:b w:val="1"/>
                <w:bCs w:val="1"/>
                <w:color w:val="auto"/>
              </w:rPr>
              <w:t>December 30,</w:t>
            </w:r>
          </w:p>
        </w:tc>
        <w:tc>
          <w:tcPr>
            <w:tcW w:w="380" w:type="dxa"/>
            <w:vAlign w:val="bottom"/>
            <w:tcBorders>
              <w:top w:val="single" w:sz="8" w:color="auto"/>
            </w:tcBorders>
          </w:tcPr>
          <w:p>
            <w:pPr>
              <w:spacing w:after="0"/>
              <w:rPr>
                <w:sz w:val="11"/>
                <w:szCs w:val="11"/>
                <w:color w:val="auto"/>
              </w:rPr>
            </w:pPr>
          </w:p>
        </w:tc>
        <w:tc>
          <w:tcPr>
            <w:tcW w:w="1180" w:type="dxa"/>
            <w:vAlign w:val="bottom"/>
            <w:tcBorders>
              <w:top w:val="single" w:sz="8" w:color="auto"/>
            </w:tcBorders>
            <w:gridSpan w:val="2"/>
          </w:tcPr>
          <w:p>
            <w:pPr>
              <w:jc w:val="center"/>
              <w:ind w:right="273"/>
              <w:spacing w:after="0" w:line="127" w:lineRule="exact"/>
              <w:rPr>
                <w:sz w:val="20"/>
                <w:szCs w:val="20"/>
                <w:color w:val="auto"/>
              </w:rPr>
            </w:pPr>
            <w:r>
              <w:rPr>
                <w:rFonts w:ascii="Arial" w:cs="Arial" w:eastAsia="Arial" w:hAnsi="Arial"/>
                <w:sz w:val="14"/>
                <w:szCs w:val="14"/>
                <w:b w:val="1"/>
                <w:bCs w:val="1"/>
                <w:color w:val="auto"/>
                <w:w w:val="90"/>
              </w:rPr>
              <w:t>December 31,</w:t>
            </w:r>
          </w:p>
        </w:tc>
        <w:tc>
          <w:tcPr>
            <w:tcW w:w="10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1340" w:type="dxa"/>
            <w:vAlign w:val="bottom"/>
            <w:tcBorders>
              <w:top w:val="single" w:sz="8" w:color="auto"/>
            </w:tcBorders>
            <w:gridSpan w:val="3"/>
          </w:tcPr>
          <w:p>
            <w:pPr>
              <w:ind w:left="60"/>
              <w:spacing w:after="0" w:line="127" w:lineRule="exact"/>
              <w:rPr>
                <w:sz w:val="20"/>
                <w:szCs w:val="20"/>
                <w:color w:val="auto"/>
              </w:rPr>
            </w:pPr>
            <w:r>
              <w:rPr>
                <w:rFonts w:ascii="Arial" w:cs="Arial" w:eastAsia="Arial" w:hAnsi="Arial"/>
                <w:sz w:val="14"/>
                <w:szCs w:val="14"/>
                <w:b w:val="1"/>
                <w:bCs w:val="1"/>
                <w:color w:val="auto"/>
              </w:rPr>
              <w:t>December 30,</w:t>
            </w:r>
          </w:p>
        </w:tc>
        <w:tc>
          <w:tcPr>
            <w:tcW w:w="240" w:type="dxa"/>
            <w:vAlign w:val="bottom"/>
            <w:tcBorders>
              <w:top w:val="single" w:sz="8" w:color="auto"/>
            </w:tcBorders>
          </w:tcPr>
          <w:p>
            <w:pPr>
              <w:spacing w:after="0"/>
              <w:rPr>
                <w:sz w:val="11"/>
                <w:szCs w:val="11"/>
                <w:color w:val="auto"/>
              </w:rPr>
            </w:pPr>
          </w:p>
        </w:tc>
        <w:tc>
          <w:tcPr>
            <w:tcW w:w="1320" w:type="dxa"/>
            <w:vAlign w:val="bottom"/>
            <w:tcBorders>
              <w:top w:val="single" w:sz="8" w:color="auto"/>
            </w:tcBorders>
            <w:gridSpan w:val="2"/>
          </w:tcPr>
          <w:p>
            <w:pPr>
              <w:jc w:val="center"/>
              <w:ind w:right="133"/>
              <w:spacing w:after="0" w:line="127" w:lineRule="exact"/>
              <w:rPr>
                <w:sz w:val="20"/>
                <w:szCs w:val="20"/>
                <w:color w:val="auto"/>
              </w:rPr>
            </w:pPr>
            <w:r>
              <w:rPr>
                <w:rFonts w:ascii="Arial" w:cs="Arial" w:eastAsia="Arial" w:hAnsi="Arial"/>
                <w:sz w:val="14"/>
                <w:szCs w:val="14"/>
                <w:b w:val="1"/>
                <w:bCs w:val="1"/>
                <w:color w:val="auto"/>
                <w:w w:val="90"/>
              </w:rPr>
              <w:t>December 31,</w:t>
            </w:r>
          </w:p>
        </w:tc>
      </w:tr>
      <w:tr>
        <w:trPr>
          <w:trHeight w:val="187"/>
        </w:trPr>
        <w:tc>
          <w:tcPr>
            <w:tcW w:w="140" w:type="dxa"/>
            <w:vAlign w:val="bottom"/>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25"/>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80" w:type="dxa"/>
            <w:vAlign w:val="bottom"/>
            <w:tcBorders>
              <w:bottom w:val="single" w:sz="8" w:color="auto"/>
            </w:tcBorders>
          </w:tcPr>
          <w:p>
            <w:pPr>
              <w:spacing w:after="0"/>
              <w:rPr>
                <w:sz w:val="16"/>
                <w:szCs w:val="16"/>
                <w:color w:val="auto"/>
              </w:rPr>
            </w:pPr>
          </w:p>
        </w:tc>
      </w:tr>
      <w:tr>
        <w:trPr>
          <w:trHeight w:val="429"/>
        </w:trPr>
        <w:tc>
          <w:tcPr>
            <w:tcW w:w="1100" w:type="dxa"/>
            <w:vAlign w:val="bottom"/>
            <w:gridSpan w:val="2"/>
          </w:tcPr>
          <w:p>
            <w:pPr>
              <w:jc w:val="right"/>
              <w:ind w:right="77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6,046</w:t>
            </w:r>
          </w:p>
        </w:tc>
        <w:tc>
          <w:tcPr>
            <w:tcW w:w="1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5,916</w:t>
            </w:r>
          </w:p>
        </w:tc>
        <w:tc>
          <w:tcPr>
            <w:tcW w:w="100" w:type="dxa"/>
            <w:vAlign w:val="bottom"/>
          </w:tcPr>
          <w:p>
            <w:pPr>
              <w:spacing w:after="0"/>
              <w:rPr>
                <w:sz w:val="24"/>
                <w:szCs w:val="24"/>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3,300</w:t>
            </w:r>
          </w:p>
        </w:tc>
        <w:tc>
          <w:tcPr>
            <w:tcW w:w="100" w:type="dxa"/>
            <w:vAlign w:val="bottom"/>
          </w:tcPr>
          <w:p>
            <w:pPr>
              <w:spacing w:after="0"/>
              <w:rPr>
                <w:sz w:val="24"/>
                <w:szCs w:val="24"/>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10,598</w:t>
            </w:r>
          </w:p>
        </w:tc>
      </w:tr>
      <w:tr>
        <w:trPr>
          <w:trHeight w:val="20"/>
        </w:trPr>
        <w:tc>
          <w:tcPr>
            <w:tcW w:w="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r>
      <w:tr>
        <w:trPr>
          <w:trHeight w:val="672"/>
        </w:trPr>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9"/>
              </w:rPr>
              <w:t>11,347</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8"/>
              </w:rPr>
              <w:t>11,309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11,273</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11,172</w:t>
            </w:r>
          </w:p>
        </w:tc>
      </w:tr>
      <w:tr>
        <w:trPr>
          <w:trHeight w:val="222"/>
        </w:trPr>
        <w:tc>
          <w:tcPr>
            <w:tcW w:w="140" w:type="dxa"/>
            <w:vAlign w:val="bottom"/>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458</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723</w:t>
            </w:r>
          </w:p>
        </w:tc>
      </w:tr>
      <w:tr>
        <w:trPr>
          <w:trHeight w:val="215"/>
        </w:trPr>
        <w:tc>
          <w:tcPr>
            <w:tcW w:w="14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11,805</w:t>
            </w:r>
          </w:p>
        </w:tc>
        <w:tc>
          <w:tcPr>
            <w:tcW w:w="10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11,960</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11,795</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6"/>
              </w:rPr>
              <w:t>11,895</w:t>
            </w:r>
          </w:p>
        </w:tc>
      </w:tr>
      <w:tr>
        <w:trPr>
          <w:trHeight w:val="20"/>
        </w:trPr>
        <w:tc>
          <w:tcPr>
            <w:tcW w:w="1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r>
      <w:tr>
        <w:trPr>
          <w:trHeight w:val="672"/>
        </w:trPr>
        <w:tc>
          <w:tcPr>
            <w:tcW w:w="1100" w:type="dxa"/>
            <w:vAlign w:val="bottom"/>
            <w:gridSpan w:val="2"/>
          </w:tcPr>
          <w:p>
            <w:pPr>
              <w:jc w:val="right"/>
              <w:ind w:right="77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0.53</w:t>
            </w:r>
          </w:p>
        </w:tc>
        <w:tc>
          <w:tcPr>
            <w:tcW w:w="100" w:type="dxa"/>
            <w:vAlign w:val="bottom"/>
          </w:tcPr>
          <w:p>
            <w:pPr>
              <w:spacing w:after="0"/>
              <w:rPr>
                <w:sz w:val="24"/>
                <w:szCs w:val="24"/>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0.52</w:t>
            </w:r>
          </w:p>
        </w:tc>
        <w:tc>
          <w:tcPr>
            <w:tcW w:w="100" w:type="dxa"/>
            <w:vAlign w:val="bottom"/>
          </w:tcPr>
          <w:p>
            <w:pPr>
              <w:spacing w:after="0"/>
              <w:rPr>
                <w:sz w:val="24"/>
                <w:szCs w:val="24"/>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0.29</w:t>
            </w:r>
          </w:p>
        </w:tc>
        <w:tc>
          <w:tcPr>
            <w:tcW w:w="100" w:type="dxa"/>
            <w:vAlign w:val="bottom"/>
          </w:tcPr>
          <w:p>
            <w:pPr>
              <w:spacing w:after="0"/>
              <w:rPr>
                <w:sz w:val="24"/>
                <w:szCs w:val="24"/>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0.95</w:t>
            </w:r>
          </w:p>
        </w:tc>
      </w:tr>
      <w:tr>
        <w:trPr>
          <w:trHeight w:val="222"/>
        </w:trPr>
        <w:tc>
          <w:tcPr>
            <w:tcW w:w="1100" w:type="dxa"/>
            <w:vAlign w:val="bottom"/>
            <w:gridSpan w:val="2"/>
          </w:tcPr>
          <w:p>
            <w:pPr>
              <w:jc w:val="right"/>
              <w:ind w:right="770"/>
              <w:spacing w:after="0"/>
              <w:rPr>
                <w:sz w:val="20"/>
                <w:szCs w:val="20"/>
                <w:color w:val="auto"/>
              </w:rPr>
            </w:pPr>
            <w:r>
              <w:rPr>
                <w:rFonts w:ascii="Arial" w:cs="Arial" w:eastAsia="Arial" w:hAnsi="Arial"/>
                <w:sz w:val="17"/>
                <w:szCs w:val="17"/>
                <w:color w:val="auto"/>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0.51</w:t>
            </w:r>
          </w:p>
        </w:tc>
        <w:tc>
          <w:tcPr>
            <w:tcW w:w="100" w:type="dxa"/>
            <w:vAlign w:val="bottom"/>
          </w:tcPr>
          <w:p>
            <w:pPr>
              <w:spacing w:after="0"/>
              <w:rPr>
                <w:sz w:val="19"/>
                <w:szCs w:val="19"/>
                <w:color w:val="auto"/>
              </w:rPr>
            </w:pPr>
          </w:p>
        </w:tc>
        <w:tc>
          <w:tcPr>
            <w:tcW w:w="380" w:type="dxa"/>
            <w:vAlign w:val="bottom"/>
          </w:tcPr>
          <w:p>
            <w:pPr>
              <w:ind w:left="2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0.49</w:t>
            </w:r>
          </w:p>
        </w:tc>
        <w:tc>
          <w:tcPr>
            <w:tcW w:w="100" w:type="dxa"/>
            <w:vAlign w:val="bottom"/>
          </w:tcPr>
          <w:p>
            <w:pPr>
              <w:spacing w:after="0"/>
              <w:rPr>
                <w:sz w:val="19"/>
                <w:szCs w:val="19"/>
                <w:color w:val="auto"/>
              </w:rPr>
            </w:pPr>
          </w:p>
        </w:tc>
        <w:tc>
          <w:tcPr>
            <w:tcW w:w="320" w:type="dxa"/>
            <w:vAlign w:val="bottom"/>
          </w:tcPr>
          <w:p>
            <w:pPr>
              <w:jc w:val="right"/>
              <w:ind w:right="113"/>
              <w:spacing w:after="0"/>
              <w:rPr>
                <w:sz w:val="20"/>
                <w:szCs w:val="20"/>
                <w:color w:val="auto"/>
              </w:rPr>
            </w:pPr>
            <w:r>
              <w:rPr>
                <w:rFonts w:ascii="Arial" w:cs="Arial" w:eastAsia="Arial" w:hAnsi="Arial"/>
                <w:sz w:val="17"/>
                <w:szCs w:val="17"/>
                <w:color w:val="auto"/>
              </w:rPr>
              <w:t>$</w:t>
            </w:r>
          </w:p>
        </w:tc>
        <w:tc>
          <w:tcPr>
            <w:tcW w:w="6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0.28</w:t>
            </w:r>
          </w:p>
        </w:tc>
        <w:tc>
          <w:tcPr>
            <w:tcW w:w="100" w:type="dxa"/>
            <w:vAlign w:val="bottom"/>
          </w:tcPr>
          <w:p>
            <w:pPr>
              <w:spacing w:after="0"/>
              <w:rPr>
                <w:sz w:val="19"/>
                <w:szCs w:val="19"/>
                <w:color w:val="auto"/>
              </w:rPr>
            </w:pPr>
          </w:p>
        </w:tc>
        <w:tc>
          <w:tcPr>
            <w:tcW w:w="240" w:type="dxa"/>
            <w:vAlign w:val="bottom"/>
          </w:tcPr>
          <w:p>
            <w:pPr>
              <w:jc w:val="right"/>
              <w:ind w:right="33"/>
              <w:spacing w:after="0"/>
              <w:rPr>
                <w:sz w:val="20"/>
                <w:szCs w:val="20"/>
                <w:color w:val="auto"/>
              </w:rPr>
            </w:pPr>
            <w:r>
              <w:rPr>
                <w:rFonts w:ascii="Arial" w:cs="Arial" w:eastAsia="Arial" w:hAnsi="Arial"/>
                <w:sz w:val="17"/>
                <w:szCs w:val="17"/>
                <w:color w:val="auto"/>
              </w:rPr>
              <w:t>$</w:t>
            </w:r>
          </w:p>
        </w:tc>
        <w:tc>
          <w:tcPr>
            <w:tcW w:w="7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0.89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-2891790</wp:posOffset>
            </wp:positionH>
            <wp:positionV relativeFrom="paragraph">
              <wp:posOffset>-1642110</wp:posOffset>
            </wp:positionV>
            <wp:extent cx="7136765" cy="14097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-1343660</wp:posOffset>
            </wp:positionV>
            <wp:extent cx="7136765" cy="165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6765" cy="16573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-1036320</wp:posOffset>
            </wp:positionV>
            <wp:extent cx="7136765" cy="14097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-754380</wp:posOffset>
            </wp:positionV>
            <wp:extent cx="7136765" cy="165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6765" cy="165735"/>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-422275</wp:posOffset>
            </wp:positionV>
            <wp:extent cx="7136765" cy="1409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6765" cy="140970"/>
                    </a:xfrm>
                    <a:prstGeom prst="rect">
                      <a:avLst/>
                    </a:prstGeom>
                    <a:noFill/>
                  </pic:spPr>
                </pic:pic>
              </a:graphicData>
            </a:graphic>
          </wp:anchor>
        </w:drawing>
        <w:drawing>
          <wp:anchor simplePos="0" relativeHeight="251657728" behindDoc="1" locked="0" layoutInCell="0" allowOverlap="1">
            <wp:simplePos x="0" y="0"/>
            <wp:positionH relativeFrom="column">
              <wp:posOffset>-2891790</wp:posOffset>
            </wp:positionH>
            <wp:positionV relativeFrom="paragraph">
              <wp:posOffset>-140335</wp:posOffset>
            </wp:positionV>
            <wp:extent cx="7136765" cy="14097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160" w:space="400"/>
            <w:col w:w="6680"/>
          </w:cols>
          <w:pgMar w:left="320" w:top="1219" w:right="339" w:bottom="1440" w:gutter="0" w:footer="0" w:header="0"/>
        </w:sectPr>
      </w:pPr>
    </w:p>
    <w:p>
      <w:pPr>
        <w:spacing w:after="0" w:line="36" w:lineRule="exact"/>
        <w:rPr>
          <w:sz w:val="20"/>
          <w:szCs w:val="20"/>
          <w:color w:val="auto"/>
        </w:rPr>
      </w:pPr>
    </w:p>
    <w:p>
      <w:pPr>
        <w:jc w:val="both"/>
        <w:ind w:firstLine="470"/>
        <w:spacing w:after="0" w:line="274" w:lineRule="auto"/>
        <w:rPr>
          <w:sz w:val="20"/>
          <w:szCs w:val="20"/>
          <w:color w:val="auto"/>
        </w:rPr>
      </w:pPr>
      <w:r>
        <w:rPr>
          <w:rFonts w:ascii="Arial" w:cs="Arial" w:eastAsia="Arial" w:hAnsi="Arial"/>
          <w:sz w:val="17"/>
          <w:szCs w:val="17"/>
          <w:color w:val="auto"/>
        </w:rPr>
        <w:t>The following table summarizes the weighted-average equity awards that were excluded from the diluted net income per share calculations since they were anti-dilutive:</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4840" w:type="dxa"/>
            <w:vAlign w:val="bottom"/>
          </w:tcPr>
          <w:p>
            <w:pPr>
              <w:spacing w:after="0"/>
              <w:rPr>
                <w:sz w:val="15"/>
                <w:szCs w:val="15"/>
                <w:color w:val="auto"/>
              </w:rPr>
            </w:pPr>
          </w:p>
        </w:tc>
        <w:tc>
          <w:tcPr>
            <w:tcW w:w="2860" w:type="dxa"/>
            <w:vAlign w:val="bottom"/>
            <w:gridSpan w:val="4"/>
          </w:tcPr>
          <w:p>
            <w:pPr>
              <w:ind w:left="980"/>
              <w:spacing w:after="0"/>
              <w:rPr>
                <w:sz w:val="20"/>
                <w:szCs w:val="20"/>
                <w:color w:val="auto"/>
              </w:rPr>
            </w:pPr>
            <w:r>
              <w:rPr>
                <w:rFonts w:ascii="Arial" w:cs="Arial" w:eastAsia="Arial" w:hAnsi="Arial"/>
                <w:sz w:val="14"/>
                <w:szCs w:val="14"/>
                <w:b w:val="1"/>
                <w:bCs w:val="1"/>
                <w:color w:val="auto"/>
              </w:rPr>
              <w:t>Three Months Ended</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0" w:type="dxa"/>
            <w:vAlign w:val="bottom"/>
            <w:gridSpan w:val="4"/>
          </w:tcPr>
          <w:p>
            <w:pPr>
              <w:ind w:left="1000"/>
              <w:spacing w:after="0"/>
              <w:rPr>
                <w:sz w:val="20"/>
                <w:szCs w:val="20"/>
                <w:color w:val="auto"/>
              </w:rPr>
            </w:pPr>
            <w:r>
              <w:rPr>
                <w:rFonts w:ascii="Arial" w:cs="Arial" w:eastAsia="Arial" w:hAnsi="Arial"/>
                <w:sz w:val="14"/>
                <w:szCs w:val="14"/>
                <w:b w:val="1"/>
                <w:bCs w:val="1"/>
                <w:color w:val="auto"/>
              </w:rPr>
              <w:t>Six Months Ended</w:t>
            </w:r>
          </w:p>
        </w:tc>
        <w:tc>
          <w:tcPr>
            <w:tcW w:w="2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484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4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200" w:type="dxa"/>
            <w:vAlign w:val="bottom"/>
          </w:tcPr>
          <w:p>
            <w:pPr>
              <w:jc w:val="center"/>
              <w:ind w:left="290"/>
              <w:spacing w:after="0" w:line="124" w:lineRule="exact"/>
              <w:rPr>
                <w:sz w:val="20"/>
                <w:szCs w:val="20"/>
                <w:color w:val="auto"/>
              </w:rPr>
            </w:pPr>
            <w:r>
              <w:rPr>
                <w:rFonts w:ascii="Arial" w:cs="Arial" w:eastAsia="Arial" w:hAnsi="Arial"/>
                <w:sz w:val="14"/>
                <w:szCs w:val="14"/>
                <w:b w:val="1"/>
                <w:bCs w:val="1"/>
                <w:color w:val="auto"/>
                <w:w w:val="87"/>
              </w:rPr>
              <w:t>December 30,</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290"/>
              <w:spacing w:after="0" w:line="124" w:lineRule="exact"/>
              <w:rPr>
                <w:sz w:val="20"/>
                <w:szCs w:val="20"/>
                <w:color w:val="auto"/>
              </w:rPr>
            </w:pPr>
            <w:r>
              <w:rPr>
                <w:rFonts w:ascii="Arial" w:cs="Arial" w:eastAsia="Arial" w:hAnsi="Arial"/>
                <w:sz w:val="14"/>
                <w:szCs w:val="14"/>
                <w:b w:val="1"/>
                <w:bCs w:val="1"/>
                <w:color w:val="auto"/>
                <w:w w:val="87"/>
              </w:rPr>
              <w:t>December 31,</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0" w:type="dxa"/>
            <w:vAlign w:val="bottom"/>
          </w:tcPr>
          <w:p>
            <w:pPr>
              <w:jc w:val="center"/>
              <w:ind w:left="290"/>
              <w:spacing w:after="0" w:line="124" w:lineRule="exact"/>
              <w:rPr>
                <w:sz w:val="20"/>
                <w:szCs w:val="20"/>
                <w:color w:val="auto"/>
              </w:rPr>
            </w:pPr>
            <w:r>
              <w:rPr>
                <w:rFonts w:ascii="Arial" w:cs="Arial" w:eastAsia="Arial" w:hAnsi="Arial"/>
                <w:sz w:val="14"/>
                <w:szCs w:val="14"/>
                <w:b w:val="1"/>
                <w:bCs w:val="1"/>
                <w:color w:val="auto"/>
                <w:w w:val="87"/>
              </w:rPr>
              <w:t>December 30,</w:t>
            </w:r>
          </w:p>
        </w:tc>
        <w:tc>
          <w:tcPr>
            <w:tcW w:w="3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tcPr>
          <w:p>
            <w:pPr>
              <w:jc w:val="center"/>
              <w:ind w:left="210"/>
              <w:spacing w:after="0" w:line="124" w:lineRule="exact"/>
              <w:rPr>
                <w:sz w:val="20"/>
                <w:szCs w:val="20"/>
                <w:color w:val="auto"/>
              </w:rPr>
            </w:pPr>
            <w:r>
              <w:rPr>
                <w:rFonts w:ascii="Arial" w:cs="Arial" w:eastAsia="Arial" w:hAnsi="Arial"/>
                <w:sz w:val="14"/>
                <w:szCs w:val="14"/>
                <w:b w:val="1"/>
                <w:bCs w:val="1"/>
                <w:color w:val="auto"/>
                <w:w w:val="90"/>
              </w:rPr>
              <w:t>December 31,</w:t>
            </w:r>
          </w:p>
        </w:tc>
        <w:tc>
          <w:tcPr>
            <w:tcW w:w="2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840" w:type="dxa"/>
            <w:vAlign w:val="bottom"/>
            <w:vMerge w:val="continue"/>
          </w:tcPr>
          <w:p>
            <w:pPr>
              <w:spacing w:after="0"/>
              <w:rPr>
                <w:sz w:val="16"/>
                <w:szCs w:val="16"/>
                <w:color w:val="auto"/>
              </w:rPr>
            </w:pPr>
          </w:p>
        </w:tc>
        <w:tc>
          <w:tcPr>
            <w:tcW w:w="1200" w:type="dxa"/>
            <w:vAlign w:val="bottom"/>
          </w:tcPr>
          <w:p>
            <w:pPr>
              <w:jc w:val="right"/>
              <w:ind w:right="210"/>
              <w:spacing w:after="0"/>
              <w:rPr>
                <w:sz w:val="20"/>
                <w:szCs w:val="20"/>
                <w:color w:val="auto"/>
              </w:rPr>
            </w:pPr>
            <w:r>
              <w:rPr>
                <w:rFonts w:ascii="Arial" w:cs="Arial" w:eastAsia="Arial" w:hAnsi="Arial"/>
                <w:sz w:val="14"/>
                <w:szCs w:val="14"/>
                <w:b w:val="1"/>
                <w:bCs w:val="1"/>
                <w:color w:val="auto"/>
              </w:rPr>
              <w:t>2022</w:t>
            </w:r>
          </w:p>
        </w:tc>
        <w:tc>
          <w:tcPr>
            <w:tcW w:w="16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166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2022</w:t>
            </w:r>
          </w:p>
        </w:tc>
        <w:tc>
          <w:tcPr>
            <w:tcW w:w="1600" w:type="dxa"/>
            <w:vAlign w:val="bottom"/>
            <w:gridSpan w:val="3"/>
          </w:tcPr>
          <w:p>
            <w:pPr>
              <w:jc w:val="right"/>
              <w:ind w:right="210"/>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Stock options</w:t>
            </w:r>
          </w:p>
        </w:tc>
        <w:tc>
          <w:tcPr>
            <w:tcW w:w="1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220</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123</w:t>
            </w:r>
          </w:p>
        </w:tc>
        <w:tc>
          <w:tcPr>
            <w:tcW w:w="100" w:type="dxa"/>
            <w:vAlign w:val="bottom"/>
            <w:tcBorders>
              <w:top w:val="single" w:sz="8" w:color="CCEEFF"/>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190</w:t>
            </w:r>
          </w:p>
        </w:tc>
        <w:tc>
          <w:tcPr>
            <w:tcW w:w="100" w:type="dxa"/>
            <w:vAlign w:val="bottom"/>
            <w:tcBorders>
              <w:top w:val="single" w:sz="8" w:color="CCEEFF"/>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w:t>
            </w:r>
          </w:p>
        </w:tc>
        <w:tc>
          <w:tcPr>
            <w:tcW w:w="0" w:type="dxa"/>
            <w:vAlign w:val="bottom"/>
          </w:tcPr>
          <w:p>
            <w:pPr>
              <w:spacing w:after="0"/>
              <w:rPr>
                <w:sz w:val="1"/>
                <w:szCs w:val="1"/>
                <w:color w:val="auto"/>
              </w:rPr>
            </w:pPr>
          </w:p>
        </w:tc>
      </w:tr>
      <w:tr>
        <w:trPr>
          <w:trHeight w:val="222"/>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stock units and performance stock units</w:t>
            </w: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54</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71</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40"/>
        </w:trPr>
        <w:tc>
          <w:tcPr>
            <w:tcW w:w="4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7"/>
                <w:szCs w:val="17"/>
                <w:color w:val="auto"/>
              </w:rPr>
              <w:t>Total shares of common stock excluded</w:t>
            </w:r>
          </w:p>
        </w:tc>
        <w:tc>
          <w:tcPr>
            <w:tcW w:w="12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258</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177</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1"/>
              </w:rPr>
              <w:t>261</w:t>
            </w:r>
          </w:p>
        </w:tc>
        <w:tc>
          <w:tcPr>
            <w:tcW w:w="10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0" w:type="dxa"/>
            <w:vAlign w:val="bottom"/>
          </w:tcPr>
          <w:p>
            <w:pPr>
              <w:spacing w:after="0"/>
              <w:rPr>
                <w:sz w:val="1"/>
                <w:szCs w:val="1"/>
                <w:color w:val="auto"/>
              </w:rPr>
            </w:pPr>
          </w:p>
        </w:tc>
      </w:tr>
      <w:tr>
        <w:trPr>
          <w:trHeight w:val="20"/>
        </w:trPr>
        <w:tc>
          <w:tcPr>
            <w:tcW w:w="484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13. Commitments and Contingencies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Purchase Orders and Other Commitments</w:t>
      </w:r>
    </w:p>
    <w:p>
      <w:pPr>
        <w:spacing w:after="0" w:line="170" w:lineRule="exact"/>
        <w:rPr>
          <w:sz w:val="20"/>
          <w:szCs w:val="20"/>
          <w:color w:val="auto"/>
        </w:rPr>
      </w:pPr>
    </w:p>
    <w:p>
      <w:pPr>
        <w:jc w:val="both"/>
        <w:ind w:firstLine="470"/>
        <w:spacing w:after="0" w:line="302" w:lineRule="auto"/>
        <w:rPr>
          <w:sz w:val="20"/>
          <w:szCs w:val="20"/>
          <w:color w:val="auto"/>
        </w:rPr>
      </w:pPr>
      <w:r>
        <w:rPr>
          <w:rFonts w:ascii="Arial" w:cs="Arial" w:eastAsia="Arial" w:hAnsi="Arial"/>
          <w:sz w:val="15"/>
          <w:szCs w:val="15"/>
          <w:color w:val="auto"/>
        </w:rPr>
        <w:t>From time to time in the normal course of business, we may enter into purchasing agreements with our suppliers that require us to accept delivery of, and remit full payment for, finished products that we have ordered, finished products that we requested be held as safety stock, and work in process started on our behalf, in the event we cancel or terminate the purchasing agreement. Because these agreements do not specify fixed or minimum quantities, do not specify minimum or variable price provisions, and do not specify the approximate timing of the transaction, and we have no present intention to cancel or terminate any of these agreements, we currently do not believe that we have any future liability under these agreements. We currently rely on a few vendors for substantially all of our inventory purchases. As of December 30, 2022, we had outstanding purchase obligations with our suppliers or contract manufacturers of $63.8 million. In addition, we had contractual obligations of approximately $3.8 million associated with software licenses as of December 30, 2022.</w:t>
      </w:r>
    </w:p>
    <w:p>
      <w:pPr>
        <w:spacing w:after="0" w:line="1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Financial Guarantees and Commercial Commitments</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Guarantees issued by banks, insurance companies, or other financial institutions are contingent commitments issued to guarantee our performance under borrowing arrangements, such as bank overdraft facilities, tax and customs obligations, and similar transactions, or to ensure our performance under customer or vendor contracts. The terms of the guarantees are generally equal to the remaining term of the related debt or other obligations and are generally limited to two years or less. As of December 30, 2022, we had no guarantees applicable to our debt arrangements.</w:t>
      </w:r>
    </w:p>
    <w:p>
      <w:pPr>
        <w:spacing w:after="0" w:line="123"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have entered into commercial commitments in the normal course of business including surety bonds, standby letters of credit agreements, and other arrangements with financial institutions primarily relating to the guarantee of future performance on certain contracts to provide products and services to customers. As of December 30, 2022, we had commercial commitments of $68.3 million outstanding that were not recorded on our unaudited condensed consolidated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19" w:right="339" w:bottom="1440" w:gutter="0" w:footer="0" w:header="0"/>
          <w:type w:val="continuous"/>
        </w:sectPr>
      </w:pPr>
    </w:p>
    <w:bookmarkStart w:id="23" w:name="page24"/>
    <w:bookmarkEnd w:id="23"/>
    <w:p>
      <w:pPr>
        <w:jc w:val="both"/>
        <w:spacing w:after="0" w:line="288" w:lineRule="auto"/>
        <w:rPr>
          <w:sz w:val="20"/>
          <w:szCs w:val="20"/>
          <w:color w:val="auto"/>
        </w:rPr>
      </w:pPr>
      <w:r>
        <w:rPr>
          <w:rFonts w:ascii="Arial" w:cs="Arial" w:eastAsia="Arial" w:hAnsi="Arial"/>
          <w:sz w:val="17"/>
          <w:szCs w:val="17"/>
          <w:color w:val="auto"/>
        </w:rPr>
        <w:t>balance sheets. We do not believe, based on historical experience and information currently available, that it is probable that any significant amounts will be required to be paid on these performance guarantees in the future.</w:t>
      </w:r>
    </w:p>
    <w:p>
      <w:pPr>
        <w:spacing w:after="0" w:line="10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table presents details of our commercial commitments:</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60" w:type="dxa"/>
            <w:vAlign w:val="bottom"/>
          </w:tcPr>
          <w:p>
            <w:pPr>
              <w:jc w:val="right"/>
              <w:ind w:right="520"/>
              <w:spacing w:after="0"/>
              <w:rPr>
                <w:sz w:val="20"/>
                <w:szCs w:val="20"/>
                <w:color w:val="auto"/>
              </w:rPr>
            </w:pPr>
            <w:r>
              <w:rPr>
                <w:rFonts w:ascii="Arial" w:cs="Arial" w:eastAsia="Arial" w:hAnsi="Arial"/>
                <w:sz w:val="14"/>
                <w:szCs w:val="14"/>
                <w:b w:val="1"/>
                <w:bCs w:val="1"/>
                <w:color w:val="auto"/>
              </w:rPr>
              <w:t>December 30,</w:t>
            </w:r>
          </w:p>
        </w:tc>
      </w:tr>
      <w:tr>
        <w:trPr>
          <w:trHeight w:val="187"/>
        </w:trPr>
        <w:tc>
          <w:tcPr>
            <w:tcW w:w="92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780"/>
              <w:spacing w:after="0"/>
              <w:rPr>
                <w:sz w:val="20"/>
                <w:szCs w:val="20"/>
                <w:color w:val="auto"/>
              </w:rPr>
            </w:pPr>
            <w:r>
              <w:rPr>
                <w:rFonts w:ascii="Arial" w:cs="Arial" w:eastAsia="Arial" w:hAnsi="Arial"/>
                <w:sz w:val="14"/>
                <w:szCs w:val="14"/>
                <w:b w:val="1"/>
                <w:bCs w:val="1"/>
                <w:color w:val="auto"/>
              </w:rPr>
              <w:t>2022</w:t>
            </w:r>
          </w:p>
        </w:tc>
      </w:tr>
      <w:tr>
        <w:trPr>
          <w:trHeight w:val="220"/>
        </w:trPr>
        <w:tc>
          <w:tcPr>
            <w:tcW w:w="92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Letters of credit</w:t>
            </w:r>
          </w:p>
        </w:tc>
        <w:tc>
          <w:tcPr>
            <w:tcW w:w="340" w:type="dxa"/>
            <w:vAlign w:val="bottom"/>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3,026</w:t>
            </w:r>
          </w:p>
        </w:tc>
      </w:tr>
      <w:tr>
        <w:trPr>
          <w:trHeight w:val="222"/>
        </w:trPr>
        <w:tc>
          <w:tcPr>
            <w:tcW w:w="92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Bonds</w:t>
            </w:r>
          </w:p>
        </w:tc>
        <w:tc>
          <w:tcPr>
            <w:tcW w:w="3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65,229</w:t>
            </w:r>
          </w:p>
        </w:tc>
      </w:tr>
      <w:tr>
        <w:trPr>
          <w:trHeight w:val="240"/>
        </w:trPr>
        <w:tc>
          <w:tcPr>
            <w:tcW w:w="92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68,255</w:t>
            </w:r>
          </w:p>
        </w:tc>
      </w:tr>
      <w:tr>
        <w:trPr>
          <w:trHeight w:val="20"/>
        </w:trPr>
        <w:tc>
          <w:tcPr>
            <w:tcW w:w="92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Indemnifications</w:t>
      </w:r>
    </w:p>
    <w:p>
      <w:pPr>
        <w:spacing w:after="0" w:line="170" w:lineRule="exact"/>
        <w:rPr>
          <w:sz w:val="20"/>
          <w:szCs w:val="20"/>
          <w:color w:val="auto"/>
        </w:rPr>
      </w:pPr>
    </w:p>
    <w:p>
      <w:pPr>
        <w:jc w:val="both"/>
        <w:ind w:firstLine="470"/>
        <w:spacing w:after="0" w:line="280" w:lineRule="auto"/>
        <w:rPr>
          <w:sz w:val="20"/>
          <w:szCs w:val="20"/>
          <w:color w:val="auto"/>
        </w:rPr>
      </w:pPr>
      <w:r>
        <w:rPr>
          <w:rFonts w:ascii="Arial" w:cs="Arial" w:eastAsia="Arial" w:hAnsi="Arial"/>
          <w:sz w:val="16"/>
          <w:szCs w:val="16"/>
          <w:color w:val="auto"/>
        </w:rPr>
        <w:t>Under the terms of substantially all of our license agreements, we have agreed to defend and pay any final judgment against our customers arising from claims against such customers that our products infringe the intellectual property rights of a third party. As of December 30, 2022, we have not received any notice that any customer is subject to an infringement claim arising from the use of our products; we have not received any request to defend any customers from infringement claims arising from the use of our products; and we have not paid any final judgment on behalf of any customer related to an infringement claim arising from the use of our products. Because the outcome of infringement disputes is related to the specific facts of each case and given the lack of previous or current indemnification claims, we cannot estimate the maximum amount of potential future payments, if any, related to our indemnification provisions. As of December 30, 2022, we had not recorded any liabilities related to these indemnifications.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Legal Proceedings</w:t>
      </w:r>
    </w:p>
    <w:p>
      <w:pPr>
        <w:spacing w:after="0" w:line="17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We are subject from time to time to disputes with customers concerning our products and services. From time to time, we may be involved in various other legal claims and litigation that arise in the normal course of our operations. We are aggressively defending all current litigation matters. Although there can be no assurances and the outcome of these matters is currently not determinable, we currently believe that none of these claims or proceedings are likely to have a material adverse effect on our financial position. We expect to defend each of these disputes vigorously. There are many uncertainties associated with any litigation and these actions or other third-party claims against us may cause us to incur costly litigation and/or substantial settlement charges. As a result, our business, financial condition, results of operations, and cash flows could be adversely affected. The actual liability in any such matters may be materially different from our estimates, if any.</w:t>
      </w:r>
    </w:p>
    <w:p>
      <w:pPr>
        <w:spacing w:after="0" w:line="132"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We record accruals for our outstanding legal proceedings, investigations or claims when it is probable that a liability will be incurred and the amount of loss can be reasonably estimated. We evaluate, at least on a quarterly basis, developments in legal proceedings, investigations or claims that could affect the amount of any accrual, as well as any developments that would result in a loss contingency to become both probable and reasonably estimable. We have not recorded any accrual for loss contingencies associated with such legal claims or litigation discussed above.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Contingent Liabilities</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We record a loss contingency as a charge to operations when (i) it is probable that an asset has been impaired or a liability has been incurred at the date of the unaudited condensed consolidated financial statements; and (ii) the amount of the loss can be reasonably estimated. Disclosure in the Notes to the unaudited condensed consolidated financial statements is required for loss contingencies that do not meet both those conditions if there is a reasonable possibility that a loss may have been incurred. Gain contingencies are not recorded until realized. We expense all legal costs incurred to resolve regulatory, legal, and tax matters as incurred.</w:t>
      </w:r>
    </w:p>
    <w:p>
      <w:pPr>
        <w:spacing w:after="0" w:line="127"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In March 2016, an enforcement action by the Indian Department of Revenue, Ministry of Finance was brought against our subsidiary Aviat Networks (India) Private Limited (“Aviat India”) relating to the non-realization of intercompany receivables and non-payment of intercompany payables, which originated from 1999 to 2012, within the time frames dictated by the Indian regulations under the Foreign Exchange Management Act. In November 2017, the Indian Department of Revenue, Ministry of Finance also initiated a similar action against Telsima Communications Private Limited (“Telsima India”), a subsidiary of the Company, relating to the non-realization of intercompany receivables and non-payment of intercompany payables which originated from the period prior to our acquisition of Telsima India in February 2009. In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4" w:name="page25"/>
    <w:bookmarkEnd w:id="24"/>
    <w:p>
      <w:pPr>
        <w:jc w:val="both"/>
        <w:spacing w:after="0" w:line="288" w:lineRule="auto"/>
        <w:rPr>
          <w:sz w:val="20"/>
          <w:szCs w:val="20"/>
          <w:color w:val="auto"/>
        </w:rPr>
      </w:pPr>
      <w:r>
        <w:rPr>
          <w:rFonts w:ascii="Arial" w:cs="Arial" w:eastAsia="Arial" w:hAnsi="Arial"/>
          <w:sz w:val="16"/>
          <w:szCs w:val="16"/>
          <w:color w:val="auto"/>
        </w:rPr>
        <w:t>September 2019, our directors of Aviat India appeared before the Ministry of Finance Enforcement Directorate. No settlement offers were discussed at the meeting and the matter is still ongoing with no subsequent hearing date currently scheduled as of December 30, 2022. We have accrued an immaterial amount representing the estimated probable loss for which we would settle the matter. We currently cannot form an estimate of the range of loss in excess of our amounts already accrued. If the outcome of this matter is greater than the current immaterial amount accrued, we intend to dispute it vigorously.</w:t>
      </w:r>
    </w:p>
    <w:p>
      <w:pPr>
        <w:spacing w:after="0" w:line="110"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Periodically, we review the status of each significant matter to assess the potential financial exposure. If a potential loss is considered probable and the amount can be reasonably estimated, we reflect the estimated loss in our unaudited condensed consolidated statement of operations. Significant judgment is required to determine the probability that a liability has been incurred or an asset impaired and whether such loss is reasonably estimable. Further, estimates of this nature are highly subjective, and the final outcome of these matters could vary significantly from the amounts that have been included in our unaudited condensed consolidated financial statements. As additional information becomes available, we reassess the potential liability related to our pending claims and litigation and may revise estimates accordingly. Such revisions in the estimates of the potential liabilities could have a material impact on our results of operations and financial 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25" w:name="page26"/>
    <w:bookmarkEnd w:id="25"/>
    <w:p>
      <w:pPr>
        <w:spacing w:after="0"/>
        <w:rPr>
          <w:sz w:val="20"/>
          <w:szCs w:val="20"/>
          <w:color w:val="auto"/>
        </w:rPr>
      </w:pPr>
      <w:r>
        <w:rPr>
          <w:rFonts w:ascii="Arial" w:cs="Arial" w:eastAsia="Arial" w:hAnsi="Arial"/>
          <w:sz w:val="17"/>
          <w:szCs w:val="17"/>
          <w:b w:val="1"/>
          <w:bCs w:val="1"/>
          <w:color w:val="auto"/>
        </w:rPr>
        <w:t>Item 2. Management’s Discussion and Analysis of Financial Condition and Results of Operations</w:t>
      </w:r>
    </w:p>
    <w:p>
      <w:pPr>
        <w:spacing w:after="0" w:line="176" w:lineRule="exact"/>
        <w:rPr>
          <w:sz w:val="20"/>
          <w:szCs w:val="20"/>
          <w:color w:val="auto"/>
        </w:rPr>
      </w:pPr>
    </w:p>
    <w:p>
      <w:pPr>
        <w:jc w:val="both"/>
        <w:ind w:firstLine="470"/>
        <w:spacing w:after="0" w:line="259" w:lineRule="auto"/>
        <w:rPr>
          <w:sz w:val="20"/>
          <w:szCs w:val="20"/>
          <w:color w:val="auto"/>
        </w:rPr>
      </w:pPr>
      <w:r>
        <w:rPr>
          <w:rFonts w:ascii="Arial" w:cs="Arial" w:eastAsia="Arial" w:hAnsi="Arial"/>
          <w:sz w:val="17"/>
          <w:szCs w:val="17"/>
          <w:color w:val="auto"/>
        </w:rPr>
        <w:t>This Quarterly Report on Form 10-Q, including “Item 2. Management’s Discussion and Analysis of Financial Condition and Results of Operations,” contains forward-looking statements that involve risks and uncertainties, as well as assumptions that, if they do not materialize or prove correct, could cause our results to differ materially from those expressed or implied by such forward-looking statements. All statements other than statements of historical fact are statements that could be deemed to be forward-looking statements, including without limitation statements of, about, concerning or regarding: our plans, strategies and objectives for future operations, including with respect to growing our business and sustaining profitability; our restructuring efforts; our research and development efforts and new product releases and services; trends in revenue; drivers of our business and the markets in which we operate; future economic conditions, performance or outlook, and changes in our industry and the markets we serve; the outcome of contingencies; the value of our contract awards; beliefs or expectations; the sufficiency of our cash and our capital needs and expenditures; our intellectual property protection; our compliance with regulatory requirements and the associated expenses; expectations regarding litigation; our intention not to pay cash dividends; seasonality of our business; the impact of foreign exchange and inflation; taxes; and assumptions underlying any of the foregoing. Forward-looking statements may be identified by the use of forward-looking terminology, such as “anticipates,” “believes,” “expects,” “may,” “should,” “would,” “will,” “intends,” “plans,” “estimates,” “strategy,” “projects,” “targets,” “goals,” “seeing,” “delivering,” “continues,” “forecasts,” “future,” “predict,” “might,” “could,” “potential,” or the negative of these terms, and similar words or expressions.</w:t>
      </w:r>
    </w:p>
    <w:p>
      <w:pPr>
        <w:spacing w:after="0" w:line="133"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These forward-looking statements are based on estimates reflecting the current beliefs of the senior management of the Company. These forward-looking statements involve a number of risks and uncertainties that could cause actual results to differ materially from those suggested by the forward-looking statements. Forward-looking statements should therefore be considered in light of various important factors, including those set forth in this Quarterly Report on Form 10-Q. Important factors that could cause actual results to differ materially from estimates or projections contained in the forward-looking statements include, but are not limited to, the following:</w:t>
      </w:r>
    </w:p>
    <w:p>
      <w:pPr>
        <w:spacing w:after="0" w:line="75" w:lineRule="exact"/>
        <w:rPr>
          <w:sz w:val="20"/>
          <w:szCs w:val="20"/>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COVID-19 on our business, operations and cash flows;</w:t>
      </w:r>
    </w:p>
    <w:p>
      <w:pPr>
        <w:spacing w:after="0" w:line="118" w:lineRule="exact"/>
        <w:rPr>
          <w:rFonts w:ascii="Arial" w:cs="Arial" w:eastAsia="Arial" w:hAnsi="Arial"/>
          <w:sz w:val="17"/>
          <w:szCs w:val="17"/>
          <w:i w:val="1"/>
          <w:iCs w:val="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continued price and margin erosion as a result of increased competition in the microwave transmission industry;</w:t>
      </w:r>
    </w:p>
    <w:p>
      <w:pPr>
        <w:spacing w:after="0" w:line="52" w:lineRule="exact"/>
        <w:rPr>
          <w:rFonts w:ascii="Arial" w:cs="Arial" w:eastAsia="Arial" w:hAnsi="Arial"/>
          <w:sz w:val="17"/>
          <w:szCs w:val="17"/>
          <w:i w:val="1"/>
          <w:iCs w:val="1"/>
          <w:color w:val="auto"/>
        </w:rPr>
      </w:pPr>
    </w:p>
    <w:p>
      <w:pPr>
        <w:ind w:left="940" w:hanging="308"/>
        <w:spacing w:after="0" w:line="236" w:lineRule="auto"/>
        <w:tabs>
          <w:tab w:leader="none" w:pos="935" w:val="left"/>
        </w:tabs>
        <w:numPr>
          <w:ilvl w:val="0"/>
          <w:numId w:val="4"/>
        </w:numPr>
        <w:rPr>
          <w:rFonts w:ascii="Arial" w:cs="Arial" w:eastAsia="Arial" w:hAnsi="Arial"/>
          <w:sz w:val="21"/>
          <w:szCs w:val="21"/>
          <w:color w:val="auto"/>
        </w:rPr>
      </w:pPr>
      <w:r>
        <w:rPr>
          <w:rFonts w:ascii="Arial" w:cs="Arial" w:eastAsia="Arial" w:hAnsi="Arial"/>
          <w:sz w:val="17"/>
          <w:szCs w:val="17"/>
          <w:i w:val="1"/>
          <w:iCs w:val="1"/>
          <w:color w:val="auto"/>
        </w:rPr>
        <w:t>our ability to realize the anticipated benefits of any proposed or recent acquisitions within the anticipated timeframe or at all, including the risk that proposed or recent acquisitions will not be integrated successfully;</w:t>
      </w:r>
    </w:p>
    <w:p>
      <w:pPr>
        <w:spacing w:after="0" w:line="93" w:lineRule="exact"/>
        <w:rPr>
          <w:rFonts w:ascii="Arial" w:cs="Arial" w:eastAsia="Arial" w:hAnsi="Arial"/>
          <w:sz w:val="21"/>
          <w:szCs w:val="2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the volume, timing, and customer, product, and geographic mix of our product orders;</w:t>
      </w:r>
    </w:p>
    <w:p>
      <w:pPr>
        <w:spacing w:after="0" w:line="118" w:lineRule="exact"/>
        <w:rPr>
          <w:rFonts w:ascii="Arial" w:cs="Arial" w:eastAsia="Arial" w:hAnsi="Arial"/>
          <w:sz w:val="17"/>
          <w:szCs w:val="17"/>
          <w:i w:val="1"/>
          <w:iCs w:val="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meet financial covenant requirements which could impact, among other things, our liquidity;</w:t>
      </w:r>
    </w:p>
    <w:p>
      <w:pPr>
        <w:spacing w:after="0" w:line="118" w:lineRule="exact"/>
        <w:rPr>
          <w:rFonts w:ascii="Arial" w:cs="Arial" w:eastAsia="Arial" w:hAnsi="Arial"/>
          <w:sz w:val="17"/>
          <w:szCs w:val="17"/>
          <w:i w:val="1"/>
          <w:iCs w:val="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timing of our receipt of payment for products or services from our customers;</w:t>
      </w:r>
    </w:p>
    <w:p>
      <w:pPr>
        <w:spacing w:after="0" w:line="118" w:lineRule="exact"/>
        <w:rPr>
          <w:rFonts w:ascii="Arial" w:cs="Arial" w:eastAsia="Arial" w:hAnsi="Arial"/>
          <w:sz w:val="17"/>
          <w:szCs w:val="17"/>
          <w:i w:val="1"/>
          <w:iCs w:val="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meet projected new product development dates or anticipated cost reductions of new products;</w:t>
      </w:r>
    </w:p>
    <w:p>
      <w:pPr>
        <w:spacing w:after="0" w:line="118" w:lineRule="exact"/>
        <w:rPr>
          <w:rFonts w:ascii="Arial" w:cs="Arial" w:eastAsia="Arial" w:hAnsi="Arial"/>
          <w:sz w:val="17"/>
          <w:szCs w:val="17"/>
          <w:i w:val="1"/>
          <w:iCs w:val="1"/>
          <w:color w:val="auto"/>
        </w:rPr>
      </w:pPr>
    </w:p>
    <w:p>
      <w:pPr>
        <w:ind w:left="940" w:hanging="308"/>
        <w:spacing w:after="0" w:line="288" w:lineRule="auto"/>
        <w:tabs>
          <w:tab w:leader="none" w:pos="936"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our suppliers’ inability to perform and deliver on time as a result of their financial condition, component shortages, the effects of COVID-19 or other supply chain constraints;</w:t>
      </w:r>
    </w:p>
    <w:p>
      <w:pPr>
        <w:spacing w:after="0" w:line="53" w:lineRule="exact"/>
        <w:rPr>
          <w:rFonts w:ascii="Arial" w:cs="Arial" w:eastAsia="Arial" w:hAnsi="Arial"/>
          <w:sz w:val="17"/>
          <w:szCs w:val="17"/>
          <w:i w:val="1"/>
          <w:iCs w:val="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customer acceptance of new products;</w:t>
      </w:r>
    </w:p>
    <w:p>
      <w:pPr>
        <w:spacing w:after="0" w:line="118" w:lineRule="exact"/>
        <w:rPr>
          <w:rFonts w:ascii="Arial" w:cs="Arial" w:eastAsia="Arial" w:hAnsi="Arial"/>
          <w:sz w:val="17"/>
          <w:szCs w:val="17"/>
          <w:i w:val="1"/>
          <w:iCs w:val="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ability of our subcontractors to timely perform;</w:t>
      </w:r>
    </w:p>
    <w:p>
      <w:pPr>
        <w:spacing w:after="0" w:line="118" w:lineRule="exact"/>
        <w:rPr>
          <w:rFonts w:ascii="Arial" w:cs="Arial" w:eastAsia="Arial" w:hAnsi="Arial"/>
          <w:sz w:val="17"/>
          <w:szCs w:val="17"/>
          <w:i w:val="1"/>
          <w:iCs w:val="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weakness in the global economy affecting customer spending;</w:t>
      </w:r>
    </w:p>
    <w:p>
      <w:pPr>
        <w:spacing w:after="0" w:line="118" w:lineRule="exact"/>
        <w:rPr>
          <w:rFonts w:ascii="Arial" w:cs="Arial" w:eastAsia="Arial" w:hAnsi="Arial"/>
          <w:sz w:val="17"/>
          <w:szCs w:val="17"/>
          <w:i w:val="1"/>
          <w:iCs w:val="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retention of our key personnel;</w:t>
      </w:r>
    </w:p>
    <w:p>
      <w:pPr>
        <w:spacing w:after="0" w:line="118" w:lineRule="exact"/>
        <w:rPr>
          <w:rFonts w:ascii="Arial" w:cs="Arial" w:eastAsia="Arial" w:hAnsi="Arial"/>
          <w:sz w:val="17"/>
          <w:szCs w:val="17"/>
          <w:i w:val="1"/>
          <w:iCs w:val="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manage and maintain key customer relationships;</w:t>
      </w:r>
    </w:p>
    <w:p>
      <w:pPr>
        <w:spacing w:after="0" w:line="118" w:lineRule="exact"/>
        <w:rPr>
          <w:rFonts w:ascii="Arial" w:cs="Arial" w:eastAsia="Arial" w:hAnsi="Arial"/>
          <w:sz w:val="17"/>
          <w:szCs w:val="17"/>
          <w:i w:val="1"/>
          <w:iCs w:val="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uncertain economic conditions in the telecommunications sector combined with operator and supplier consolidation;</w:t>
      </w:r>
    </w:p>
    <w:p>
      <w:pPr>
        <w:spacing w:after="0" w:line="118" w:lineRule="exact"/>
        <w:rPr>
          <w:rFonts w:ascii="Arial" w:cs="Arial" w:eastAsia="Arial" w:hAnsi="Arial"/>
          <w:sz w:val="17"/>
          <w:szCs w:val="17"/>
          <w:i w:val="1"/>
          <w:iCs w:val="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our failure to protect our intellectual property rights or defend against intellectual property infringement claims by others;</w:t>
      </w:r>
    </w:p>
    <w:p>
      <w:pPr>
        <w:spacing w:after="0" w:line="118" w:lineRule="exact"/>
        <w:rPr>
          <w:rFonts w:ascii="Arial" w:cs="Arial" w:eastAsia="Arial" w:hAnsi="Arial"/>
          <w:sz w:val="17"/>
          <w:szCs w:val="17"/>
          <w:i w:val="1"/>
          <w:iCs w:val="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results of our restructuring efforts;</w:t>
      </w:r>
    </w:p>
    <w:p>
      <w:pPr>
        <w:spacing w:after="0" w:line="118" w:lineRule="exact"/>
        <w:rPr>
          <w:rFonts w:ascii="Arial" w:cs="Arial" w:eastAsia="Arial" w:hAnsi="Arial"/>
          <w:sz w:val="17"/>
          <w:szCs w:val="17"/>
          <w:i w:val="1"/>
          <w:iCs w:val="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ability to preserve and use our net operating loss carryforwards;</w:t>
      </w:r>
    </w:p>
    <w:p>
      <w:pPr>
        <w:spacing w:after="0" w:line="118" w:lineRule="exact"/>
        <w:rPr>
          <w:rFonts w:ascii="Arial" w:cs="Arial" w:eastAsia="Arial" w:hAnsi="Arial"/>
          <w:sz w:val="17"/>
          <w:szCs w:val="17"/>
          <w:i w:val="1"/>
          <w:iCs w:val="1"/>
          <w:color w:val="auto"/>
        </w:rPr>
      </w:pPr>
    </w:p>
    <w:p>
      <w:pPr>
        <w:ind w:left="940" w:hanging="308"/>
        <w:spacing w:after="0"/>
        <w:tabs>
          <w:tab w:leader="none" w:pos="940" w:val="left"/>
        </w:tabs>
        <w:numPr>
          <w:ilvl w:val="0"/>
          <w:numId w:val="4"/>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currency and interest rate risks;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62" w:right="339" w:bottom="1440" w:gutter="0" w:footer="0" w:header="0"/>
        </w:sectPr>
      </w:pPr>
    </w:p>
    <w:bookmarkStart w:id="26" w:name="page27"/>
    <w:bookmarkEnd w:id="26"/>
    <w:p>
      <w:pPr>
        <w:ind w:left="940" w:hanging="308"/>
        <w:spacing w:after="0" w:line="288" w:lineRule="auto"/>
        <w:tabs>
          <w:tab w:leader="none" w:pos="936"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effects of current and future government regulations, including the effects of current restrictions on various commercial and economic activities in response to the COVID-19 pandemic;</w:t>
      </w:r>
    </w:p>
    <w:p>
      <w:pPr>
        <w:spacing w:after="0" w:line="53" w:lineRule="exact"/>
        <w:rPr>
          <w:rFonts w:ascii="Arial" w:cs="Arial" w:eastAsia="Arial" w:hAnsi="Arial"/>
          <w:sz w:val="17"/>
          <w:szCs w:val="17"/>
          <w:i w:val="1"/>
          <w:iCs w:val="1"/>
          <w:color w:val="auto"/>
        </w:rPr>
      </w:pPr>
    </w:p>
    <w:p>
      <w:pPr>
        <w:ind w:left="940" w:hanging="308"/>
        <w:spacing w:after="0" w:line="288" w:lineRule="auto"/>
        <w:tabs>
          <w:tab w:leader="none" w:pos="936"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general economic conditions, including uncertainty regarding the timing, pace and extent of an economic recovery in the United States and other countries where we conduct business;</w:t>
      </w:r>
    </w:p>
    <w:p>
      <w:pPr>
        <w:spacing w:after="0" w:line="53" w:lineRule="exact"/>
        <w:rPr>
          <w:rFonts w:ascii="Arial" w:cs="Arial" w:eastAsia="Arial" w:hAnsi="Arial"/>
          <w:sz w:val="17"/>
          <w:szCs w:val="17"/>
          <w:i w:val="1"/>
          <w:iCs w:val="1"/>
          <w:color w:val="auto"/>
        </w:rPr>
      </w:pPr>
    </w:p>
    <w:p>
      <w:pPr>
        <w:ind w:left="940" w:hanging="308"/>
        <w:spacing w:after="0"/>
        <w:tabs>
          <w:tab w:leader="none" w:pos="94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conduct of unethical business practices in developing countries;</w:t>
      </w:r>
    </w:p>
    <w:p>
      <w:pPr>
        <w:spacing w:after="0" w:line="118" w:lineRule="exact"/>
        <w:rPr>
          <w:rFonts w:ascii="Arial" w:cs="Arial" w:eastAsia="Arial" w:hAnsi="Arial"/>
          <w:sz w:val="17"/>
          <w:szCs w:val="17"/>
          <w:i w:val="1"/>
          <w:iCs w:val="1"/>
          <w:color w:val="auto"/>
        </w:rPr>
      </w:pPr>
    </w:p>
    <w:p>
      <w:pPr>
        <w:ind w:left="940" w:hanging="308"/>
        <w:spacing w:after="0"/>
        <w:tabs>
          <w:tab w:leader="none" w:pos="94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political turmoil in countries where we have significant business;</w:t>
      </w:r>
    </w:p>
    <w:p>
      <w:pPr>
        <w:spacing w:after="0" w:line="118" w:lineRule="exact"/>
        <w:rPr>
          <w:rFonts w:ascii="Arial" w:cs="Arial" w:eastAsia="Arial" w:hAnsi="Arial"/>
          <w:sz w:val="17"/>
          <w:szCs w:val="17"/>
          <w:i w:val="1"/>
          <w:iCs w:val="1"/>
          <w:color w:val="auto"/>
        </w:rPr>
      </w:pPr>
    </w:p>
    <w:p>
      <w:pPr>
        <w:jc w:val="both"/>
        <w:ind w:left="940" w:hanging="308"/>
        <w:spacing w:after="0" w:line="272" w:lineRule="auto"/>
        <w:tabs>
          <w:tab w:leader="none" w:pos="936"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the impact of tariffs, the adoption of trade restrictions affecting our products or suppliers, a United States withdrawal from or significant renegotiation of trade agreements, the occurrence of trade wars, the closing of border crossings, and other changes in trade regulations or relationships; and</w:t>
      </w:r>
    </w:p>
    <w:p>
      <w:pPr>
        <w:spacing w:after="0" w:line="67" w:lineRule="exact"/>
        <w:rPr>
          <w:rFonts w:ascii="Arial" w:cs="Arial" w:eastAsia="Arial" w:hAnsi="Arial"/>
          <w:sz w:val="17"/>
          <w:szCs w:val="17"/>
          <w:i w:val="1"/>
          <w:iCs w:val="1"/>
          <w:color w:val="auto"/>
        </w:rPr>
      </w:pPr>
    </w:p>
    <w:p>
      <w:pPr>
        <w:ind w:left="940" w:hanging="308"/>
        <w:spacing w:after="0"/>
        <w:tabs>
          <w:tab w:leader="none" w:pos="940"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our ability to implement our stock repurchase program or that it will enhance long-term stockholder value.</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Other factors besides those listed here could also adversely affect us. See “Item 1A. Risk Factors” in our fiscal 2022 Annual Report on Form 10-K filed with the SEC on September 14, 2022 for more information regarding factors that may cause our results to differ materially from those expressed or implied by the forward-looking statements contained in this Quarterly Report on Form 10-Q.</w:t>
      </w:r>
    </w:p>
    <w:p>
      <w:pPr>
        <w:spacing w:after="0" w:line="119"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You should not place undue reliance on these forward-looking statements, which reflect our management’s opinions only as of the date of the filing of this Quarterly Report on Form 10-Q. Forward-looking statements are made in reliance upon the safe harbor provisions of Section 27A of the Securities Act of 1933, as amended, and Section 21E of the Securities Exchange Act of 1934, as amended (the “Exchange Act”), along with provisions of the Private Securities Litigation Reform Act of 1995, and we expressly disclaim any obligation, other than as required by law, to update any forward-looking statements to reflect further developments or information obtained after the date of filing of this Quarterly Report on Form 10-Q or, in the case of any document incorporated by reference, the date of that document.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Business; Operating Environment and Key Factors Impacting Fiscal 2023 and 2022 Results</w:t>
      </w:r>
    </w:p>
    <w:p>
      <w:pPr>
        <w:spacing w:after="0" w:line="17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The following Management’s Discussion and Analysis (“MD&amp;A”) is intended to help the reader understand our results of operations and financial condition. MD&amp;A is provided as a supplement to, and should be read in conjunction with, our unaudited condensed consolidated financial statements and the accompanying notes. In the discussion herein, our fiscal year ending June 30, 2023 is referred to as “fiscal 2023” or “2023” and our fiscal year ended July 1, 2022 is referred to as “fiscal 2022” or “2022.”</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1" w:lineRule="exact"/>
        <w:rPr>
          <w:sz w:val="20"/>
          <w:szCs w:val="20"/>
          <w:color w:val="auto"/>
        </w:rPr>
      </w:pPr>
    </w:p>
    <w:p>
      <w:pPr>
        <w:jc w:val="both"/>
        <w:ind w:firstLine="470"/>
        <w:spacing w:after="0" w:line="244" w:lineRule="auto"/>
        <w:rPr>
          <w:sz w:val="20"/>
          <w:szCs w:val="20"/>
          <w:color w:val="auto"/>
        </w:rPr>
      </w:pPr>
      <w:r>
        <w:rPr>
          <w:rFonts w:ascii="Arial" w:cs="Arial" w:eastAsia="Arial" w:hAnsi="Arial"/>
          <w:sz w:val="17"/>
          <w:szCs w:val="17"/>
          <w:color w:val="auto"/>
        </w:rPr>
        <w:t>Aviat sells radios, routers, software and services integral to the functioning of data transport networks. We have more than 3,000 customers and significant relationships with global service providers and private network operators. Our manufacturing base in North America consists of a combination of contract manufacturing and assembly and test operated in Austin, Texas by Aviat. Additionally, we utilize a contract manufacturer based in Asia for much of our international equipment demand. Our technology is underpinned by more than 200 patents. We compete on the basis of total cost of ownership, microwave radio expertise and solutions for mission critical communications. We have a global presence.</w:t>
      </w:r>
    </w:p>
    <w:p>
      <w:pPr>
        <w:spacing w:after="0" w:line="221"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While supply chain lead-times remain extended and difficult to manage, the impact on our ability to fulfill orders for the current quarter was minimal. Depending on the progression of pandemic-related factors such as supply constraints, potential for temporary manufacturing restrictions and our ability to perform field services during shelter in place orders, we could experience constraints and delays in fulfilling customer orders in future periods. We continually monitor, assess and adapt to the situation to mitigate impacts on our business, supply chain and customer demand. We expect the potential for these challenges to continue until business and economic activities return to more normal levels worldwide.</w:t>
      </w:r>
    </w:p>
    <w:p>
      <w:pPr>
        <w:spacing w:after="0" w:line="127"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continue to be impacted by inflationary pressures incurred to overcome supply chain and logistical bottlenecks. We will monitor, assess and adapt to the situation and prepare for implications to our business, supply chain and customer demand. We expect these challenges to continue until business and economic activities return to more normal levels.</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Combination with Redline Communications</w:t>
      </w:r>
    </w:p>
    <w:p>
      <w:pPr>
        <w:spacing w:after="0" w:line="242" w:lineRule="exact"/>
        <w:rPr>
          <w:sz w:val="20"/>
          <w:szCs w:val="20"/>
          <w:color w:val="auto"/>
        </w:rPr>
      </w:pPr>
    </w:p>
    <w:p>
      <w:pPr>
        <w:jc w:val="both"/>
        <w:ind w:firstLine="470"/>
        <w:spacing w:after="0" w:line="248" w:lineRule="auto"/>
        <w:rPr>
          <w:sz w:val="20"/>
          <w:szCs w:val="20"/>
          <w:color w:val="auto"/>
        </w:rPr>
      </w:pPr>
      <w:r>
        <w:rPr>
          <w:rFonts w:ascii="Arial" w:cs="Arial" w:eastAsia="Arial" w:hAnsi="Arial"/>
          <w:sz w:val="17"/>
          <w:szCs w:val="17"/>
          <w:color w:val="auto"/>
        </w:rPr>
        <w:t>On July 5, 2022 Aviat acquired Redline Communications, Inc. (“Redline”), a leading provider of mission-critical data infrastructure. Redline allows Aviat to expand its Private Networks Offering with Private LTE/5G, Unlicensed Wireless Access Solutions, by creating an integrated end-to-end offering for wireless access and transport in the Private Networks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73" w:right="339" w:bottom="1440" w:gutter="0" w:footer="0" w:header="0"/>
        </w:sectPr>
      </w:pPr>
    </w:p>
    <w:bookmarkStart w:id="27" w:name="page28"/>
    <w:bookmarkEnd w:id="27"/>
    <w:p>
      <w:pPr>
        <w:jc w:val="both"/>
        <w:spacing w:after="0" w:line="272" w:lineRule="auto"/>
        <w:rPr>
          <w:sz w:val="20"/>
          <w:szCs w:val="20"/>
          <w:color w:val="auto"/>
        </w:rPr>
      </w:pPr>
      <w:r>
        <w:rPr>
          <w:rFonts w:ascii="Arial" w:cs="Arial" w:eastAsia="Arial" w:hAnsi="Arial"/>
          <w:sz w:val="17"/>
          <w:szCs w:val="17"/>
          <w:color w:val="auto"/>
        </w:rPr>
        <w:t>segment, leveraging Aviat's sales channel to address a large dollar Private LTE/5G addressable market and increasing Aviat’s reach in mission-critical industrial Private Networks.</w:t>
      </w:r>
    </w:p>
    <w:p>
      <w:pPr>
        <w:spacing w:after="0" w:line="3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Operations Review</w:t>
      </w:r>
    </w:p>
    <w:p>
      <w:pPr>
        <w:spacing w:after="0" w:line="176" w:lineRule="exact"/>
        <w:rPr>
          <w:sz w:val="20"/>
          <w:szCs w:val="20"/>
          <w:color w:val="auto"/>
        </w:rPr>
      </w:pPr>
    </w:p>
    <w:p>
      <w:pPr>
        <w:jc w:val="both"/>
        <w:ind w:firstLine="470"/>
        <w:spacing w:after="0" w:line="278" w:lineRule="auto"/>
        <w:rPr>
          <w:sz w:val="20"/>
          <w:szCs w:val="20"/>
          <w:color w:val="auto"/>
        </w:rPr>
      </w:pPr>
      <w:r>
        <w:rPr>
          <w:rFonts w:ascii="Arial" w:cs="Arial" w:eastAsia="Arial" w:hAnsi="Arial"/>
          <w:sz w:val="16"/>
          <w:szCs w:val="16"/>
          <w:color w:val="auto"/>
        </w:rPr>
        <w:t>The market for mobile backhaul continued to be our primary addressable market segment globally in the first six months of fiscal 2023. In North America, we supported 5G and long-term evolution (“LTE”) deployments of our mobile operator customers, public safety network deployments for state and local governments, and private network implementations for utilities and other customers. In international markets, our business continued to rely on a combination of customers increasing their capacity to handle subscriber growth, the ongoing build-out of some large LTE deployments, and 5G deployments. Our position continues to be to support our customers for 5G and LTE readiness and ensure that our technology roadmap is well aligned with evolving market requirements. Our strength in turnkey and after-sale support services is a differentiating factor that wins business for us and enables us to expand our business with existing customers in all markets. Additionally, we operate an e-commerce platform that provides low cost services, a simple experience, and fast delivery to mobile operator and private network customers. However, as disclosed above and in the “Risk Factors” section in Item 1A of our Annual Report on Form 10-K filed with the SEC on September 14, 2022, a number of factors could prevent us from achieving our objectives, including ongoing pricing pressures attributable to competition and macroeconomic conditions in the geographic markets that we serve.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manage our sales activities primarily on a geographic basis in North America and three international geographic regions: (1) Africa and the Middle East, (2) Europe, and (3) Latin America and Asia Pacific. Revenue by region for the three and six months ended December 30, 2022 and December 31, 2021 and the related changes were as follows:</w:t>
      </w:r>
    </w:p>
    <w:p>
      <w:pPr>
        <w:spacing w:after="0" w:line="8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4"/>
          </w:tcPr>
          <w:p>
            <w:pPr>
              <w:jc w:val="right"/>
              <w:ind w:right="443"/>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900" w:type="dxa"/>
            <w:vAlign w:val="bottom"/>
            <w:gridSpan w:val="4"/>
          </w:tcPr>
          <w:p>
            <w:pPr>
              <w:jc w:val="right"/>
              <w:ind w:right="48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w:t>
            </w: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840" w:type="dxa"/>
            <w:vAlign w:val="bottom"/>
            <w:vMerge w:val="continue"/>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December 30, 2022</w:t>
            </w:r>
          </w:p>
        </w:tc>
        <w:tc>
          <w:tcPr>
            <w:tcW w:w="80" w:type="dxa"/>
            <w:vAlign w:val="bottom"/>
            <w:vMerge w:val="restart"/>
          </w:tcPr>
          <w:p>
            <w:pPr>
              <w:spacing w:after="0"/>
              <w:rPr>
                <w:sz w:val="10"/>
                <w:szCs w:val="10"/>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December 31, 2021</w:t>
            </w:r>
          </w:p>
        </w:tc>
        <w:tc>
          <w:tcPr>
            <w:tcW w:w="8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5"/>
              </w:rPr>
              <w:t>$ Change</w:t>
            </w:r>
          </w:p>
        </w:tc>
        <w:tc>
          <w:tcPr>
            <w:tcW w:w="80" w:type="dxa"/>
            <w:vAlign w:val="bottom"/>
          </w:tcPr>
          <w:p>
            <w:pPr>
              <w:spacing w:after="0"/>
              <w:rPr>
                <w:sz w:val="10"/>
                <w:szCs w:val="10"/>
                <w:color w:val="auto"/>
              </w:rPr>
            </w:pPr>
          </w:p>
        </w:tc>
        <w:tc>
          <w:tcPr>
            <w:tcW w:w="110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0"/>
                <w:szCs w:val="10"/>
                <w:color w:val="auto"/>
              </w:rPr>
            </w:pPr>
          </w:p>
        </w:tc>
        <w:tc>
          <w:tcPr>
            <w:tcW w:w="120" w:type="dxa"/>
            <w:vAlign w:val="bottom"/>
          </w:tcPr>
          <w:p>
            <w:pPr>
              <w:spacing w:after="0"/>
              <w:rPr>
                <w:sz w:val="10"/>
                <w:szCs w:val="10"/>
                <w:color w:val="auto"/>
              </w:rPr>
            </w:pPr>
          </w:p>
        </w:tc>
        <w:tc>
          <w:tcPr>
            <w:tcW w:w="1060" w:type="dxa"/>
            <w:vAlign w:val="bottom"/>
            <w:gridSpan w:val="2"/>
          </w:tcPr>
          <w:p>
            <w:pPr>
              <w:ind w:left="20"/>
              <w:spacing w:after="0" w:line="124" w:lineRule="exact"/>
              <w:rPr>
                <w:sz w:val="20"/>
                <w:szCs w:val="20"/>
                <w:color w:val="auto"/>
              </w:rPr>
            </w:pPr>
            <w:r>
              <w:rPr>
                <w:rFonts w:ascii="Arial" w:cs="Arial" w:eastAsia="Arial" w:hAnsi="Arial"/>
                <w:sz w:val="14"/>
                <w:szCs w:val="14"/>
                <w:b w:val="1"/>
                <w:bCs w:val="1"/>
                <w:color w:val="auto"/>
              </w:rPr>
              <w:t>December 30,</w:t>
            </w: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December 31, 2021</w:t>
            </w:r>
          </w:p>
        </w:tc>
        <w:tc>
          <w:tcPr>
            <w:tcW w:w="100" w:type="dxa"/>
            <w:vAlign w:val="bottom"/>
            <w:vMerge w:val="restart"/>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vMerge w:val="restart"/>
          </w:tcPr>
          <w:p>
            <w:pPr>
              <w:jc w:val="right"/>
              <w:ind w:right="123"/>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10"/>
                <w:szCs w:val="10"/>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1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324"/>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North America</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52,049</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51,046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1,003</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100,897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101,983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(1,086)</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(1.1)%</w:t>
            </w:r>
          </w:p>
        </w:tc>
        <w:tc>
          <w:tcPr>
            <w:tcW w:w="0" w:type="dxa"/>
            <w:vAlign w:val="bottom"/>
          </w:tcPr>
          <w:p>
            <w:pPr>
              <w:spacing w:after="0"/>
              <w:rPr>
                <w:sz w:val="1"/>
                <w:szCs w:val="1"/>
                <w:color w:val="auto"/>
              </w:rPr>
            </w:pPr>
          </w:p>
        </w:tc>
      </w:tr>
      <w:tr>
        <w:trPr>
          <w:trHeight w:val="206"/>
        </w:trPr>
        <w:tc>
          <w:tcPr>
            <w:tcW w:w="1840" w:type="dxa"/>
            <w:vAlign w:val="bottom"/>
          </w:tcPr>
          <w:p>
            <w:pPr>
              <w:ind w:left="20"/>
              <w:spacing w:after="0"/>
              <w:rPr>
                <w:sz w:val="20"/>
                <w:szCs w:val="20"/>
                <w:color w:val="auto"/>
              </w:rPr>
            </w:pPr>
            <w:r>
              <w:rPr>
                <w:rFonts w:ascii="Arial" w:cs="Arial" w:eastAsia="Arial" w:hAnsi="Arial"/>
                <w:sz w:val="16"/>
                <w:szCs w:val="16"/>
                <w:color w:val="auto"/>
                <w:w w:val="96"/>
              </w:rPr>
              <w:t>Africa and the Middle East</w:t>
            </w:r>
          </w:p>
        </w:tc>
        <w:tc>
          <w:tcPr>
            <w:tcW w:w="380" w:type="dxa"/>
            <w:vAlign w:val="bottom"/>
          </w:tcPr>
          <w:p>
            <w:pPr>
              <w:spacing w:after="0"/>
              <w:rPr>
                <w:sz w:val="17"/>
                <w:szCs w:val="17"/>
                <w:color w:val="auto"/>
              </w:rPr>
            </w:pP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14,135</w:t>
            </w: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13,535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600</w:t>
            </w:r>
          </w:p>
        </w:tc>
        <w:tc>
          <w:tcPr>
            <w:tcW w:w="1180" w:type="dxa"/>
            <w:vAlign w:val="bottom"/>
            <w:gridSpan w:val="2"/>
          </w:tcPr>
          <w:p>
            <w:pPr>
              <w:jc w:val="right"/>
              <w:spacing w:after="0"/>
              <w:rPr>
                <w:sz w:val="20"/>
                <w:szCs w:val="20"/>
                <w:color w:val="auto"/>
              </w:rPr>
            </w:pPr>
            <w:r>
              <w:rPr>
                <w:rFonts w:ascii="Arial" w:cs="Arial" w:eastAsia="Arial" w:hAnsi="Arial"/>
                <w:sz w:val="16"/>
                <w:szCs w:val="16"/>
                <w:color w:val="auto"/>
              </w:rPr>
              <w:t>4.4 %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25,119</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24,237</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882</w:t>
            </w:r>
          </w:p>
        </w:tc>
        <w:tc>
          <w:tcPr>
            <w:tcW w:w="1200" w:type="dxa"/>
            <w:vAlign w:val="bottom"/>
            <w:gridSpan w:val="2"/>
          </w:tcPr>
          <w:p>
            <w:pPr>
              <w:jc w:val="right"/>
              <w:spacing w:after="0"/>
              <w:rPr>
                <w:sz w:val="20"/>
                <w:szCs w:val="20"/>
                <w:color w:val="auto"/>
              </w:rPr>
            </w:pPr>
            <w:r>
              <w:rPr>
                <w:rFonts w:ascii="Arial" w:cs="Arial" w:eastAsia="Arial" w:hAnsi="Arial"/>
                <w:sz w:val="16"/>
                <w:szCs w:val="16"/>
                <w:color w:val="auto"/>
              </w:rPr>
              <w:t>3.6 %</w:t>
            </w:r>
          </w:p>
        </w:tc>
        <w:tc>
          <w:tcPr>
            <w:tcW w:w="0" w:type="dxa"/>
            <w:vAlign w:val="bottom"/>
          </w:tcPr>
          <w:p>
            <w:pPr>
              <w:spacing w:after="0"/>
              <w:rPr>
                <w:sz w:val="1"/>
                <w:szCs w:val="1"/>
                <w:color w:val="auto"/>
              </w:rPr>
            </w:pPr>
          </w:p>
        </w:tc>
      </w:tr>
      <w:tr>
        <w:trPr>
          <w:trHeight w:val="212"/>
        </w:trPr>
        <w:tc>
          <w:tcPr>
            <w:tcW w:w="1840" w:type="dxa"/>
            <w:vAlign w:val="bottom"/>
            <w:shd w:val="clear" w:color="auto" w:fill="CCEEFF"/>
          </w:tcPr>
          <w:p>
            <w:pPr>
              <w:ind w:left="20"/>
              <w:spacing w:after="0"/>
              <w:rPr>
                <w:sz w:val="20"/>
                <w:szCs w:val="20"/>
                <w:color w:val="auto"/>
              </w:rPr>
            </w:pPr>
            <w:r>
              <w:rPr>
                <w:rFonts w:ascii="Arial" w:cs="Arial" w:eastAsia="Arial" w:hAnsi="Arial"/>
                <w:sz w:val="16"/>
                <w:szCs w:val="16"/>
                <w:color w:val="auto"/>
              </w:rPr>
              <w:t>Europe</w:t>
            </w: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5,334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2,908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2,426</w:t>
            </w:r>
          </w:p>
        </w:tc>
        <w:tc>
          <w:tcPr>
            <w:tcW w:w="1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83.4 %</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9,834</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5,611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4,223</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75.3 %</w:t>
            </w:r>
          </w:p>
        </w:tc>
        <w:tc>
          <w:tcPr>
            <w:tcW w:w="0" w:type="dxa"/>
            <w:vAlign w:val="bottom"/>
          </w:tcPr>
          <w:p>
            <w:pPr>
              <w:spacing w:after="0"/>
              <w:rPr>
                <w:sz w:val="1"/>
                <w:szCs w:val="1"/>
                <w:color w:val="auto"/>
              </w:rPr>
            </w:pPr>
          </w:p>
        </w:tc>
      </w:tr>
      <w:tr>
        <w:trPr>
          <w:trHeight w:val="160"/>
        </w:trPr>
        <w:tc>
          <w:tcPr>
            <w:tcW w:w="1840" w:type="dxa"/>
            <w:vAlign w:val="bottom"/>
          </w:tcPr>
          <w:p>
            <w:pPr>
              <w:ind w:left="20"/>
              <w:spacing w:after="0" w:line="160" w:lineRule="exact"/>
              <w:rPr>
                <w:sz w:val="20"/>
                <w:szCs w:val="20"/>
                <w:color w:val="auto"/>
              </w:rPr>
            </w:pPr>
            <w:r>
              <w:rPr>
                <w:rFonts w:ascii="Arial" w:cs="Arial" w:eastAsia="Arial" w:hAnsi="Arial"/>
                <w:sz w:val="16"/>
                <w:szCs w:val="16"/>
                <w:color w:val="auto"/>
              </w:rPr>
              <w:t>Latin America and Asia</w:t>
            </w:r>
          </w:p>
        </w:tc>
        <w:tc>
          <w:tcPr>
            <w:tcW w:w="380" w:type="dxa"/>
            <w:vAlign w:val="bottom"/>
          </w:tcPr>
          <w:p>
            <w:pPr>
              <w:spacing w:after="0"/>
              <w:rPr>
                <w:sz w:val="13"/>
                <w:szCs w:val="13"/>
                <w:color w:val="auto"/>
              </w:rPr>
            </w:pPr>
          </w:p>
        </w:tc>
        <w:tc>
          <w:tcPr>
            <w:tcW w:w="800" w:type="dxa"/>
            <w:vAlign w:val="bottom"/>
            <w:vMerge w:val="restart"/>
          </w:tcPr>
          <w:p>
            <w:pPr>
              <w:jc w:val="right"/>
              <w:ind w:right="2"/>
              <w:spacing w:after="0"/>
              <w:rPr>
                <w:sz w:val="20"/>
                <w:szCs w:val="20"/>
                <w:color w:val="auto"/>
              </w:rPr>
            </w:pPr>
            <w:r>
              <w:rPr>
                <w:rFonts w:ascii="Arial" w:cs="Arial" w:eastAsia="Arial" w:hAnsi="Arial"/>
                <w:sz w:val="16"/>
                <w:szCs w:val="16"/>
                <w:color w:val="auto"/>
              </w:rPr>
              <w:t>19,165</w:t>
            </w: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00" w:type="dxa"/>
            <w:vAlign w:val="bottom"/>
            <w:vMerge w:val="restart"/>
          </w:tcPr>
          <w:p>
            <w:pPr>
              <w:jc w:val="right"/>
              <w:spacing w:after="0"/>
              <w:rPr>
                <w:sz w:val="20"/>
                <w:szCs w:val="20"/>
                <w:color w:val="auto"/>
              </w:rPr>
            </w:pPr>
            <w:r>
              <w:rPr>
                <w:rFonts w:ascii="Arial" w:cs="Arial" w:eastAsia="Arial" w:hAnsi="Arial"/>
                <w:sz w:val="16"/>
                <w:szCs w:val="16"/>
                <w:color w:val="auto"/>
              </w:rPr>
              <w:t>10,375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8,790</w:t>
            </w:r>
          </w:p>
        </w:tc>
        <w:tc>
          <w:tcPr>
            <w:tcW w:w="1180" w:type="dxa"/>
            <w:vAlign w:val="bottom"/>
            <w:gridSpan w:val="2"/>
            <w:vMerge w:val="restart"/>
          </w:tcPr>
          <w:p>
            <w:pPr>
              <w:jc w:val="right"/>
              <w:spacing w:after="0"/>
              <w:rPr>
                <w:sz w:val="20"/>
                <w:szCs w:val="20"/>
                <w:color w:val="auto"/>
              </w:rPr>
            </w:pPr>
            <w:r>
              <w:rPr>
                <w:rFonts w:ascii="Arial" w:cs="Arial" w:eastAsia="Arial" w:hAnsi="Arial"/>
                <w:sz w:val="16"/>
                <w:szCs w:val="16"/>
                <w:color w:val="auto"/>
              </w:rPr>
              <w:t>84.7 %</w:t>
            </w: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rPr>
              <w:t>36,084</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19,191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20" w:type="dxa"/>
            <w:vAlign w:val="bottom"/>
            <w:vMerge w:val="restart"/>
          </w:tcPr>
          <w:p>
            <w:pPr>
              <w:jc w:val="right"/>
              <w:spacing w:after="0"/>
              <w:rPr>
                <w:sz w:val="20"/>
                <w:szCs w:val="20"/>
                <w:color w:val="auto"/>
              </w:rPr>
            </w:pPr>
            <w:r>
              <w:rPr>
                <w:rFonts w:ascii="Arial" w:cs="Arial" w:eastAsia="Arial" w:hAnsi="Arial"/>
                <w:sz w:val="16"/>
                <w:szCs w:val="16"/>
                <w:color w:val="auto"/>
              </w:rPr>
              <w:t>16,893</w:t>
            </w:r>
          </w:p>
        </w:tc>
        <w:tc>
          <w:tcPr>
            <w:tcW w:w="1200" w:type="dxa"/>
            <w:vAlign w:val="bottom"/>
            <w:gridSpan w:val="2"/>
            <w:vMerge w:val="restart"/>
          </w:tcPr>
          <w:p>
            <w:pPr>
              <w:jc w:val="right"/>
              <w:spacing w:after="0"/>
              <w:rPr>
                <w:sz w:val="20"/>
                <w:szCs w:val="20"/>
                <w:color w:val="auto"/>
              </w:rPr>
            </w:pPr>
            <w:r>
              <w:rPr>
                <w:rFonts w:ascii="Arial" w:cs="Arial" w:eastAsia="Arial" w:hAnsi="Arial"/>
                <w:sz w:val="16"/>
                <w:szCs w:val="16"/>
                <w:color w:val="auto"/>
              </w:rPr>
              <w:t>88.0 %</w:t>
            </w:r>
          </w:p>
        </w:tc>
        <w:tc>
          <w:tcPr>
            <w:tcW w:w="0" w:type="dxa"/>
            <w:vAlign w:val="bottom"/>
          </w:tcPr>
          <w:p>
            <w:pPr>
              <w:spacing w:after="0"/>
              <w:rPr>
                <w:sz w:val="1"/>
                <w:szCs w:val="1"/>
                <w:color w:val="auto"/>
              </w:rPr>
            </w:pPr>
          </w:p>
        </w:tc>
      </w:tr>
      <w:tr>
        <w:trPr>
          <w:trHeight w:val="203"/>
        </w:trPr>
        <w:tc>
          <w:tcPr>
            <w:tcW w:w="1840" w:type="dxa"/>
            <w:vAlign w:val="bottom"/>
            <w:tcBorders>
              <w:bottom w:val="single" w:sz="8" w:color="CCEEFF"/>
            </w:tcBorders>
          </w:tcPr>
          <w:p>
            <w:pPr>
              <w:ind w:left="180"/>
              <w:spacing w:after="0"/>
              <w:rPr>
                <w:sz w:val="20"/>
                <w:szCs w:val="20"/>
                <w:color w:val="auto"/>
              </w:rPr>
            </w:pPr>
            <w:r>
              <w:rPr>
                <w:rFonts w:ascii="Arial" w:cs="Arial" w:eastAsia="Arial" w:hAnsi="Arial"/>
                <w:sz w:val="16"/>
                <w:szCs w:val="16"/>
                <w:color w:val="auto"/>
              </w:rPr>
              <w:t>Pacific</w:t>
            </w:r>
          </w:p>
        </w:tc>
        <w:tc>
          <w:tcPr>
            <w:tcW w:w="38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180" w:type="dxa"/>
            <w:vAlign w:val="bottom"/>
            <w:tcBorders>
              <w:bottom w:val="single" w:sz="8" w:color="CCEEFF"/>
            </w:tcBorders>
            <w:gridSpan w:val="2"/>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vMerge w:val="continue"/>
          </w:tcPr>
          <w:p>
            <w:pPr>
              <w:spacing w:after="0"/>
              <w:rPr>
                <w:sz w:val="17"/>
                <w:szCs w:val="17"/>
                <w:color w:val="auto"/>
              </w:rPr>
            </w:pPr>
          </w:p>
        </w:tc>
        <w:tc>
          <w:tcPr>
            <w:tcW w:w="1200" w:type="dxa"/>
            <w:vAlign w:val="bottom"/>
            <w:tcBorders>
              <w:bottom w:val="single" w:sz="8" w:color="CCEEFF"/>
            </w:tcBorders>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8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6"/>
                <w:szCs w:val="16"/>
                <w:color w:val="auto"/>
              </w:rPr>
              <w:t>90,683</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77,864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12,819</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0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171,934</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20,912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20"/>
        </w:trPr>
        <w:tc>
          <w:tcPr>
            <w:tcW w:w="18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jc w:val="both"/>
        <w:ind w:firstLine="470"/>
        <w:spacing w:after="0" w:line="324" w:lineRule="auto"/>
        <w:rPr>
          <w:sz w:val="20"/>
          <w:szCs w:val="20"/>
          <w:color w:val="auto"/>
        </w:rPr>
      </w:pPr>
      <w:r>
        <w:rPr>
          <w:rFonts w:ascii="Arial" w:cs="Arial" w:eastAsia="Arial" w:hAnsi="Arial"/>
          <w:sz w:val="15"/>
          <w:szCs w:val="15"/>
          <w:color w:val="auto"/>
        </w:rPr>
        <w:t>Our revenue in North America increased by $1.0 million, or 2.0%, during the second quarter of fiscal 2023 compared with the same period of fiscal 2022. Revenue in North America decreased by $(1.1) million, or (1.1)%, during the six months ended fiscal 2023 compared with the same period of fiscal 2022. The respective changes in North America revenue during the three and six months ended fiscal 2023 were primarily due to timing of private network projects.</w:t>
      </w:r>
    </w:p>
    <w:p>
      <w:pPr>
        <w:spacing w:after="0" w:line="8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revenue in Africa and the Middle East increased by $0.6 million or 4.4% during the second quarter of fiscal 2023 compared with the same period of fiscal 2022. Revenue in Africa and the Middle East increased by $0.9 million, or 3.6%, during the six months of fiscal 2023 compared with the same period of fiscal 2022. This increase in revenue during the three and six months ended fiscal 2023 was primarily due to increased sales to mobile and private network operators in the region.</w:t>
      </w:r>
    </w:p>
    <w:p>
      <w:pPr>
        <w:spacing w:after="0" w:line="123"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Revenue in Europe increased by $2.4 million, or 83.4%, for the second quarter of fiscal 2023 compared with the same period of fiscal 2022. Revenue in Europe increased by $4.2 million, or 75.3%, during the six months of fiscal 2023 compared with the same period of fiscal 2022. This increase during the three and six month periods was due to increased sales to mobile operators.</w:t>
      </w:r>
    </w:p>
    <w:p>
      <w:pPr>
        <w:spacing w:after="0" w:line="119" w:lineRule="exact"/>
        <w:rPr>
          <w:sz w:val="20"/>
          <w:szCs w:val="20"/>
          <w:color w:val="auto"/>
        </w:rPr>
      </w:pPr>
    </w:p>
    <w:p>
      <w:pPr>
        <w:jc w:val="both"/>
        <w:ind w:firstLine="470"/>
        <w:spacing w:after="0" w:line="297" w:lineRule="auto"/>
        <w:rPr>
          <w:sz w:val="20"/>
          <w:szCs w:val="20"/>
          <w:color w:val="auto"/>
        </w:rPr>
      </w:pPr>
      <w:r>
        <w:rPr>
          <w:rFonts w:ascii="Arial" w:cs="Arial" w:eastAsia="Arial" w:hAnsi="Arial"/>
          <w:sz w:val="16"/>
          <w:szCs w:val="16"/>
          <w:color w:val="auto"/>
        </w:rPr>
        <w:t>Revenue in Latin America and Asia Pacific increased by $8.8 million, or 84.7%, during the second quarter of fiscal 2023 compared with the same period of fiscal 2022, and increased by $16.9 million, or 88.0%, during the first six months ended fiscal 2023 compared with the same period of fiscal 2022. This increase during the three and six month periods was due to a key customer win in Asia Pacific and increased sales to mobile operators in Latin America.</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094" w:right="3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82"/>
        </w:trPr>
        <w:tc>
          <w:tcPr>
            <w:tcW w:w="17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960" w:type="dxa"/>
            <w:vAlign w:val="bottom"/>
            <w:gridSpan w:val="4"/>
          </w:tcPr>
          <w:p>
            <w:pPr>
              <w:jc w:val="right"/>
              <w:ind w:right="44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920" w:type="dxa"/>
            <w:vAlign w:val="bottom"/>
            <w:gridSpan w:val="4"/>
          </w:tcPr>
          <w:p>
            <w:pPr>
              <w:jc w:val="right"/>
              <w:ind w:right="524"/>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740" w:type="dxa"/>
            <w:vAlign w:val="bottom"/>
            <w:vMerge w:val="restart"/>
          </w:tcPr>
          <w:p>
            <w:pPr>
              <w:ind w:left="20"/>
              <w:spacing w:after="0" w:line="154" w:lineRule="exact"/>
              <w:rPr>
                <w:sz w:val="20"/>
                <w:szCs w:val="20"/>
                <w:color w:val="auto"/>
              </w:rPr>
            </w:pPr>
            <w:r>
              <w:rPr>
                <w:rFonts w:ascii="Arial" w:cs="Arial" w:eastAsia="Arial" w:hAnsi="Arial"/>
                <w:sz w:val="14"/>
                <w:szCs w:val="14"/>
                <w:b w:val="1"/>
                <w:bCs w:val="1"/>
                <w:color w:val="auto"/>
              </w:rPr>
              <w:t>(In thousands, except</w:t>
            </w:r>
          </w:p>
        </w:tc>
        <w:tc>
          <w:tcPr>
            <w:tcW w:w="3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740" w:type="dxa"/>
            <w:vAlign w:val="bottom"/>
            <w:vMerge w:val="continue"/>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December 30, 2022</w:t>
            </w:r>
          </w:p>
        </w:tc>
        <w:tc>
          <w:tcPr>
            <w:tcW w:w="100" w:type="dxa"/>
            <w:vAlign w:val="bottom"/>
            <w:vMerge w:val="restart"/>
          </w:tcPr>
          <w:p>
            <w:pPr>
              <w:spacing w:after="0"/>
              <w:rPr>
                <w:sz w:val="9"/>
                <w:szCs w:val="9"/>
                <w:color w:val="auto"/>
              </w:rPr>
            </w:pP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December 31, 2021</w:t>
            </w:r>
          </w:p>
        </w:tc>
        <w:tc>
          <w:tcPr>
            <w:tcW w:w="8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restart"/>
          </w:tcPr>
          <w:p>
            <w:pPr>
              <w:jc w:val="right"/>
              <w:ind w:right="144"/>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9"/>
                <w:szCs w:val="9"/>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 Change</w:t>
            </w:r>
          </w:p>
        </w:tc>
        <w:tc>
          <w:tcPr>
            <w:tcW w:w="80" w:type="dxa"/>
            <w:vAlign w:val="bottom"/>
            <w:vMerge w:val="restart"/>
          </w:tcPr>
          <w:p>
            <w:pPr>
              <w:spacing w:after="0"/>
              <w:rPr>
                <w:sz w:val="9"/>
                <w:szCs w:val="9"/>
                <w:color w:val="auto"/>
              </w:rPr>
            </w:pPr>
          </w:p>
        </w:tc>
        <w:tc>
          <w:tcPr>
            <w:tcW w:w="11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88"/>
              </w:rPr>
              <w:t>December 30, 2022</w:t>
            </w:r>
          </w:p>
        </w:tc>
        <w:tc>
          <w:tcPr>
            <w:tcW w:w="100" w:type="dxa"/>
            <w:vAlign w:val="bottom"/>
            <w:vMerge w:val="restart"/>
          </w:tcPr>
          <w:p>
            <w:pPr>
              <w:spacing w:after="0"/>
              <w:rPr>
                <w:sz w:val="9"/>
                <w:szCs w:val="9"/>
                <w:color w:val="auto"/>
              </w:rPr>
            </w:pPr>
          </w:p>
        </w:tc>
        <w:tc>
          <w:tcPr>
            <w:tcW w:w="11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December 31, 2021</w:t>
            </w:r>
          </w:p>
        </w:tc>
        <w:tc>
          <w:tcPr>
            <w:tcW w:w="100" w:type="dxa"/>
            <w:vAlign w:val="bottom"/>
            <w:vMerge w:val="restart"/>
          </w:tcPr>
          <w:p>
            <w:pPr>
              <w:spacing w:after="0"/>
              <w:rPr>
                <w:sz w:val="9"/>
                <w:szCs w:val="9"/>
                <w:color w:val="auto"/>
              </w:rPr>
            </w:pPr>
          </w:p>
        </w:tc>
        <w:tc>
          <w:tcPr>
            <w:tcW w:w="160" w:type="dxa"/>
            <w:vAlign w:val="bottom"/>
          </w:tcPr>
          <w:p>
            <w:pPr>
              <w:spacing w:after="0"/>
              <w:rPr>
                <w:sz w:val="9"/>
                <w:szCs w:val="9"/>
                <w:color w:val="auto"/>
              </w:rPr>
            </w:pPr>
          </w:p>
        </w:tc>
        <w:tc>
          <w:tcPr>
            <w:tcW w:w="82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tcPr>
          <w:p>
            <w:pPr>
              <w:spacing w:after="0"/>
              <w:rPr>
                <w:sz w:val="9"/>
                <w:szCs w:val="9"/>
                <w:color w:val="auto"/>
              </w:rPr>
            </w:pPr>
          </w:p>
        </w:tc>
        <w:tc>
          <w:tcPr>
            <w:tcW w:w="1100" w:type="dxa"/>
            <w:vAlign w:val="bottom"/>
            <w:vMerge w:val="restart"/>
          </w:tcPr>
          <w:p>
            <w:pPr>
              <w:jc w:val="right"/>
              <w:ind w:right="17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16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1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740" w:type="dxa"/>
            <w:vAlign w:val="bottom"/>
            <w:shd w:val="clear" w:color="auto" w:fill="CCEEFF"/>
          </w:tcPr>
          <w:p>
            <w:pPr>
              <w:ind w:left="20"/>
              <w:spacing w:after="0"/>
              <w:rPr>
                <w:sz w:val="20"/>
                <w:szCs w:val="20"/>
                <w:color w:val="auto"/>
              </w:rPr>
            </w:pPr>
            <w:r>
              <w:rPr>
                <w:rFonts w:ascii="Arial" w:cs="Arial" w:eastAsia="Arial" w:hAnsi="Arial"/>
                <w:sz w:val="16"/>
                <w:szCs w:val="16"/>
                <w:color w:val="auto"/>
              </w:rPr>
              <w:t>Product sales</w:t>
            </w:r>
          </w:p>
        </w:tc>
        <w:tc>
          <w:tcPr>
            <w:tcW w:w="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65,561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53,467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12,094</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22.6 %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120,662</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104,314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16,348</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15.7 %</w:t>
            </w:r>
          </w:p>
        </w:tc>
        <w:tc>
          <w:tcPr>
            <w:tcW w:w="0" w:type="dxa"/>
            <w:vAlign w:val="bottom"/>
          </w:tcPr>
          <w:p>
            <w:pPr>
              <w:spacing w:after="0"/>
              <w:rPr>
                <w:sz w:val="1"/>
                <w:szCs w:val="1"/>
                <w:color w:val="auto"/>
              </w:rPr>
            </w:pPr>
          </w:p>
        </w:tc>
      </w:tr>
      <w:tr>
        <w:trPr>
          <w:trHeight w:val="206"/>
        </w:trPr>
        <w:tc>
          <w:tcPr>
            <w:tcW w:w="174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Services</w:t>
            </w:r>
          </w:p>
        </w:tc>
        <w:tc>
          <w:tcPr>
            <w:tcW w:w="3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25,122</w:t>
            </w: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24,397</w:t>
            </w:r>
          </w:p>
        </w:tc>
        <w:tc>
          <w:tcPr>
            <w:tcW w:w="8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725</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3.0 %</w:t>
            </w:r>
          </w:p>
        </w:tc>
        <w:tc>
          <w:tcPr>
            <w:tcW w:w="8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51,272</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46,708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4,564</w:t>
            </w:r>
          </w:p>
        </w:tc>
        <w:tc>
          <w:tcPr>
            <w:tcW w:w="120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9.8 %</w:t>
            </w:r>
          </w:p>
        </w:tc>
        <w:tc>
          <w:tcPr>
            <w:tcW w:w="0" w:type="dxa"/>
            <w:vAlign w:val="bottom"/>
          </w:tcPr>
          <w:p>
            <w:pPr>
              <w:spacing w:after="0"/>
              <w:rPr>
                <w:sz w:val="1"/>
                <w:szCs w:val="1"/>
                <w:color w:val="auto"/>
              </w:rPr>
            </w:pPr>
          </w:p>
        </w:tc>
      </w:tr>
      <w:tr>
        <w:trPr>
          <w:trHeight w:val="230"/>
        </w:trPr>
        <w:tc>
          <w:tcPr>
            <w:tcW w:w="174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6"/>
                <w:szCs w:val="16"/>
                <w:color w:val="auto"/>
              </w:rPr>
              <w:t>Total revenue</w:t>
            </w: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90,683</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77,864</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12,819</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8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171,934</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151,022</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20,912</w:t>
            </w:r>
          </w:p>
        </w:tc>
        <w:tc>
          <w:tcPr>
            <w:tcW w:w="12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20"/>
        </w:trPr>
        <w:tc>
          <w:tcPr>
            <w:tcW w:w="17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left="480"/>
        <w:spacing w:after="0"/>
        <w:rPr>
          <w:sz w:val="20"/>
          <w:szCs w:val="20"/>
          <w:color w:val="auto"/>
        </w:rPr>
      </w:pPr>
      <w:r>
        <w:rPr>
          <w:rFonts w:ascii="Arial" w:cs="Arial" w:eastAsia="Arial" w:hAnsi="Arial"/>
          <w:sz w:val="15"/>
          <w:szCs w:val="15"/>
          <w:color w:val="auto"/>
        </w:rPr>
        <w:t>Our revenue from product sales increased by $12.1 million, or 22.6%, for the second quarter of fiscal 2023 compared with the same quarter of fiscal 2022.</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Our services revenue increased by $0.7 million, or 3.0%, during the second quarter of fiscal 2023 compared with the same quarter of fiscal 2022.</w:t>
      </w:r>
    </w:p>
    <w:p>
      <w:pPr>
        <w:spacing w:after="0" w:line="158" w:lineRule="exact"/>
        <w:rPr>
          <w:sz w:val="20"/>
          <w:szCs w:val="20"/>
          <w:color w:val="auto"/>
        </w:rPr>
      </w:pPr>
    </w:p>
    <w:p>
      <w:pPr>
        <w:ind w:left="480"/>
        <w:spacing w:after="0"/>
        <w:rPr>
          <w:sz w:val="20"/>
          <w:szCs w:val="20"/>
          <w:color w:val="auto"/>
        </w:rPr>
      </w:pPr>
      <w:r>
        <w:rPr>
          <w:rFonts w:ascii="Arial" w:cs="Arial" w:eastAsia="Arial" w:hAnsi="Arial"/>
          <w:sz w:val="15"/>
          <w:szCs w:val="15"/>
          <w:color w:val="auto"/>
        </w:rPr>
        <w:t>Our revenue from product sales increased by $16.3 million, or 15.7%, for the six months ended fiscal 2023 compared with the same period of fiscal 2022.</w:t>
      </w:r>
    </w:p>
    <w:p>
      <w:pPr>
        <w:spacing w:after="0" w:line="49" w:lineRule="exact"/>
        <w:rPr>
          <w:sz w:val="20"/>
          <w:szCs w:val="20"/>
          <w:color w:val="auto"/>
        </w:rPr>
      </w:pPr>
    </w:p>
    <w:p>
      <w:pPr>
        <w:spacing w:after="0"/>
        <w:rPr>
          <w:sz w:val="20"/>
          <w:szCs w:val="20"/>
          <w:color w:val="auto"/>
        </w:rPr>
      </w:pPr>
      <w:r>
        <w:rPr>
          <w:rFonts w:ascii="Arial" w:cs="Arial" w:eastAsia="Arial" w:hAnsi="Arial"/>
          <w:sz w:val="17"/>
          <w:szCs w:val="17"/>
          <w:color w:val="auto"/>
        </w:rPr>
        <w:t>Our services revenue increased by $4.6 million, or 9.8%, during the six months ended fiscal 2023 compared with the same period of fiscal 2022.</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Gross Margin</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80" w:type="dxa"/>
            <w:vAlign w:val="bottom"/>
            <w:gridSpan w:val="4"/>
          </w:tcPr>
          <w:p>
            <w:pPr>
              <w:jc w:val="right"/>
              <w:ind w:right="424"/>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0" w:type="dxa"/>
            <w:vAlign w:val="bottom"/>
            <w:gridSpan w:val="4"/>
          </w:tcPr>
          <w:p>
            <w:pPr>
              <w:jc w:val="right"/>
              <w:ind w:right="624"/>
              <w:spacing w:after="0"/>
              <w:rPr>
                <w:sz w:val="20"/>
                <w:szCs w:val="20"/>
                <w:color w:val="auto"/>
              </w:rPr>
            </w:pPr>
            <w:r>
              <w:rPr>
                <w:rFonts w:ascii="Arial" w:cs="Arial" w:eastAsia="Arial" w:hAnsi="Arial"/>
                <w:sz w:val="14"/>
                <w:szCs w:val="14"/>
                <w:b w:val="1"/>
                <w:bCs w:val="1"/>
                <w:color w:val="auto"/>
              </w:rPr>
              <w:t>Six Months Ended</w:t>
            </w:r>
          </w:p>
        </w:tc>
        <w:tc>
          <w:tcPr>
            <w:tcW w:w="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8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7"/>
        </w:trPr>
        <w:tc>
          <w:tcPr>
            <w:tcW w:w="1800" w:type="dxa"/>
            <w:vAlign w:val="bottom"/>
          </w:tcPr>
          <w:p>
            <w:pPr>
              <w:ind w:left="20"/>
              <w:spacing w:after="0" w:line="137" w:lineRule="exact"/>
              <w:rPr>
                <w:sz w:val="20"/>
                <w:szCs w:val="20"/>
                <w:color w:val="auto"/>
              </w:rPr>
            </w:pPr>
            <w:r>
              <w:rPr>
                <w:rFonts w:ascii="Arial" w:cs="Arial" w:eastAsia="Arial" w:hAnsi="Arial"/>
                <w:sz w:val="12"/>
                <w:szCs w:val="12"/>
                <w:b w:val="1"/>
                <w:bCs w:val="1"/>
                <w:color w:val="auto"/>
              </w:rPr>
              <w:t>(In thousands, except</w:t>
            </w: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December 30, 2022</w:t>
            </w:r>
          </w:p>
        </w:tc>
        <w:tc>
          <w:tcPr>
            <w:tcW w:w="80" w:type="dxa"/>
            <w:vAlign w:val="bottom"/>
            <w:vMerge w:val="restart"/>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gridSpan w:val="2"/>
          </w:tcPr>
          <w:p>
            <w:pPr>
              <w:ind w:left="20"/>
              <w:spacing w:after="0" w:line="137" w:lineRule="exact"/>
              <w:rPr>
                <w:sz w:val="20"/>
                <w:szCs w:val="20"/>
                <w:color w:val="auto"/>
              </w:rPr>
            </w:pPr>
            <w:r>
              <w:rPr>
                <w:rFonts w:ascii="Arial" w:cs="Arial" w:eastAsia="Arial" w:hAnsi="Arial"/>
                <w:sz w:val="14"/>
                <w:szCs w:val="14"/>
                <w:b w:val="1"/>
                <w:bCs w:val="1"/>
                <w:color w:val="auto"/>
              </w:rPr>
              <w:t>December 31,</w:t>
            </w:r>
          </w:p>
        </w:tc>
        <w:tc>
          <w:tcPr>
            <w:tcW w:w="140" w:type="dxa"/>
            <w:vAlign w:val="bottom"/>
          </w:tcPr>
          <w:p>
            <w:pPr>
              <w:spacing w:after="0"/>
              <w:rPr>
                <w:sz w:val="11"/>
                <w:szCs w:val="11"/>
                <w:color w:val="auto"/>
              </w:rPr>
            </w:pPr>
          </w:p>
        </w:tc>
        <w:tc>
          <w:tcPr>
            <w:tcW w:w="80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tcPr>
          <w:p>
            <w:pPr>
              <w:spacing w:after="0"/>
              <w:rPr>
                <w:sz w:val="11"/>
                <w:szCs w:val="11"/>
                <w:color w:val="auto"/>
              </w:rPr>
            </w:pPr>
          </w:p>
        </w:tc>
        <w:tc>
          <w:tcPr>
            <w:tcW w:w="1040" w:type="dxa"/>
            <w:vAlign w:val="bottom"/>
            <w:vMerge w:val="restart"/>
          </w:tcPr>
          <w:p>
            <w:pPr>
              <w:jc w:val="right"/>
              <w:ind w:right="130"/>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December 30, 2022</w:t>
            </w:r>
          </w:p>
        </w:tc>
        <w:tc>
          <w:tcPr>
            <w:tcW w:w="80" w:type="dxa"/>
            <w:vAlign w:val="bottom"/>
            <w:vMerge w:val="restart"/>
          </w:tcPr>
          <w:p>
            <w:pPr>
              <w:spacing w:after="0"/>
              <w:rPr>
                <w:sz w:val="11"/>
                <w:szCs w:val="11"/>
                <w:color w:val="auto"/>
              </w:rPr>
            </w:pPr>
          </w:p>
        </w:tc>
        <w:tc>
          <w:tcPr>
            <w:tcW w:w="12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December 31, 2021</w:t>
            </w:r>
          </w:p>
        </w:tc>
        <w:tc>
          <w:tcPr>
            <w:tcW w:w="100" w:type="dxa"/>
            <w:vAlign w:val="bottom"/>
            <w:vMerge w:val="restart"/>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vMerge w:val="restart"/>
          </w:tcPr>
          <w:p>
            <w:pPr>
              <w:jc w:val="right"/>
              <w:ind w:right="124"/>
              <w:spacing w:after="0"/>
              <w:rPr>
                <w:sz w:val="20"/>
                <w:szCs w:val="20"/>
                <w:color w:val="auto"/>
              </w:rPr>
            </w:pPr>
            <w:r>
              <w:rPr>
                <w:rFonts w:ascii="Arial" w:cs="Arial" w:eastAsia="Arial" w:hAnsi="Arial"/>
                <w:sz w:val="14"/>
                <w:szCs w:val="14"/>
                <w:b w:val="1"/>
                <w:bCs w:val="1"/>
                <w:color w:val="auto"/>
                <w:w w:val="91"/>
              </w:rPr>
              <w:t>$ Change</w:t>
            </w:r>
          </w:p>
        </w:tc>
        <w:tc>
          <w:tcPr>
            <w:tcW w:w="80" w:type="dxa"/>
            <w:vAlign w:val="bottom"/>
          </w:tcPr>
          <w:p>
            <w:pPr>
              <w:spacing w:after="0"/>
              <w:rPr>
                <w:sz w:val="11"/>
                <w:szCs w:val="11"/>
                <w:color w:val="auto"/>
              </w:rPr>
            </w:pPr>
          </w:p>
        </w:tc>
        <w:tc>
          <w:tcPr>
            <w:tcW w:w="1060" w:type="dxa"/>
            <w:vAlign w:val="bottom"/>
            <w:vMerge w:val="restart"/>
          </w:tcPr>
          <w:p>
            <w:pPr>
              <w:jc w:val="right"/>
              <w:ind w:right="15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3"/>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percentages)</w:t>
            </w:r>
          </w:p>
        </w:tc>
        <w:tc>
          <w:tcPr>
            <w:tcW w:w="124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104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260" w:type="dxa"/>
            <w:vAlign w:val="bottom"/>
            <w:tcBorders>
              <w:bottom w:val="single" w:sz="8" w:color="auto"/>
            </w:tcBorders>
            <w:gridSpan w:val="2"/>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06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80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Revenue</w:t>
            </w:r>
          </w:p>
        </w:tc>
        <w:tc>
          <w:tcPr>
            <w:tcW w:w="360" w:type="dxa"/>
            <w:vAlign w:val="bottom"/>
            <w:shd w:val="clear" w:color="auto" w:fill="CCEEFF"/>
          </w:tcPr>
          <w:p>
            <w:pPr>
              <w:jc w:val="right"/>
              <w:ind w:right="185"/>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90,683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06"/>
              <w:spacing w:after="0"/>
              <w:rPr>
                <w:sz w:val="20"/>
                <w:szCs w:val="20"/>
                <w:color w:val="auto"/>
              </w:rPr>
            </w:pPr>
            <w:r>
              <w:rPr>
                <w:rFonts w:ascii="Arial" w:cs="Arial" w:eastAsia="Arial" w:hAnsi="Arial"/>
                <w:sz w:val="16"/>
                <w:szCs w:val="16"/>
                <w:color w:val="auto"/>
              </w:rPr>
              <w:t>77,864</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12,819</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16.5 %</w:t>
            </w: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45"/>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171,934</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w w:val="89"/>
              </w:rPr>
              <w:t>$</w:t>
            </w:r>
          </w:p>
        </w:tc>
        <w:tc>
          <w:tcPr>
            <w:tcW w:w="960" w:type="dxa"/>
            <w:vAlign w:val="bottom"/>
            <w:shd w:val="clear" w:color="auto" w:fill="CCEEFF"/>
          </w:tcPr>
          <w:p>
            <w:pPr>
              <w:jc w:val="right"/>
              <w:ind w:right="124"/>
              <w:spacing w:after="0"/>
              <w:rPr>
                <w:sz w:val="20"/>
                <w:szCs w:val="20"/>
                <w:color w:val="auto"/>
              </w:rPr>
            </w:pPr>
            <w:r>
              <w:rPr>
                <w:rFonts w:ascii="Arial" w:cs="Arial" w:eastAsia="Arial" w:hAnsi="Arial"/>
                <w:sz w:val="16"/>
                <w:szCs w:val="16"/>
                <w:color w:val="auto"/>
              </w:rPr>
              <w:t>151,022</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ind w:right="4"/>
              <w:spacing w:after="0"/>
              <w:rPr>
                <w:sz w:val="20"/>
                <w:szCs w:val="20"/>
                <w:color w:val="auto"/>
              </w:rPr>
            </w:pPr>
            <w:r>
              <w:rPr>
                <w:rFonts w:ascii="Arial" w:cs="Arial" w:eastAsia="Arial" w:hAnsi="Arial"/>
                <w:sz w:val="16"/>
                <w:szCs w:val="16"/>
                <w:color w:val="auto"/>
              </w:rPr>
              <w:t>20,912</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13.8 %</w:t>
            </w:r>
          </w:p>
        </w:tc>
        <w:tc>
          <w:tcPr>
            <w:tcW w:w="0" w:type="dxa"/>
            <w:vAlign w:val="bottom"/>
          </w:tcPr>
          <w:p>
            <w:pPr>
              <w:spacing w:after="0"/>
              <w:rPr>
                <w:sz w:val="1"/>
                <w:szCs w:val="1"/>
                <w:color w:val="auto"/>
              </w:rPr>
            </w:pPr>
          </w:p>
        </w:tc>
      </w:tr>
      <w:tr>
        <w:trPr>
          <w:trHeight w:val="206"/>
        </w:trPr>
        <w:tc>
          <w:tcPr>
            <w:tcW w:w="180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Cost of revenue</w:t>
            </w:r>
          </w:p>
        </w:tc>
        <w:tc>
          <w:tcPr>
            <w:tcW w:w="3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58,463</w:t>
            </w:r>
          </w:p>
        </w:tc>
        <w:tc>
          <w:tcPr>
            <w:tcW w:w="8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06"/>
              <w:spacing w:after="0"/>
              <w:rPr>
                <w:sz w:val="20"/>
                <w:szCs w:val="20"/>
                <w:color w:val="auto"/>
              </w:rPr>
            </w:pPr>
            <w:r>
              <w:rPr>
                <w:rFonts w:ascii="Arial" w:cs="Arial" w:eastAsia="Arial" w:hAnsi="Arial"/>
                <w:sz w:val="16"/>
                <w:szCs w:val="16"/>
                <w:color w:val="auto"/>
              </w:rPr>
              <w:t>49,708</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8,755</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Borders>
              <w:bottom w:val="single" w:sz="8" w:color="CCEEFF"/>
            </w:tcBorders>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122"/>
              <w:spacing w:after="0"/>
              <w:rPr>
                <w:sz w:val="20"/>
                <w:szCs w:val="20"/>
                <w:color w:val="auto"/>
              </w:rPr>
            </w:pPr>
            <w:r>
              <w:rPr>
                <w:rFonts w:ascii="Arial" w:cs="Arial" w:eastAsia="Arial" w:hAnsi="Arial"/>
                <w:sz w:val="16"/>
                <w:szCs w:val="16"/>
                <w:color w:val="auto"/>
              </w:rPr>
              <w:t>110,260</w:t>
            </w: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24"/>
              <w:spacing w:after="0"/>
              <w:rPr>
                <w:sz w:val="20"/>
                <w:szCs w:val="20"/>
                <w:color w:val="auto"/>
              </w:rPr>
            </w:pPr>
            <w:r>
              <w:rPr>
                <w:rFonts w:ascii="Arial" w:cs="Arial" w:eastAsia="Arial" w:hAnsi="Arial"/>
                <w:sz w:val="16"/>
                <w:szCs w:val="16"/>
                <w:color w:val="auto"/>
              </w:rPr>
              <w:t>96,785</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4"/>
              <w:spacing w:after="0"/>
              <w:rPr>
                <w:sz w:val="20"/>
                <w:szCs w:val="20"/>
                <w:color w:val="auto"/>
              </w:rPr>
            </w:pPr>
            <w:r>
              <w:rPr>
                <w:rFonts w:ascii="Arial" w:cs="Arial" w:eastAsia="Arial" w:hAnsi="Arial"/>
                <w:sz w:val="16"/>
                <w:szCs w:val="16"/>
                <w:color w:val="auto"/>
              </w:rPr>
              <w:t>13,475</w:t>
            </w:r>
          </w:p>
        </w:tc>
        <w:tc>
          <w:tcPr>
            <w:tcW w:w="1140" w:type="dxa"/>
            <w:vAlign w:val="bottom"/>
            <w:tcBorders>
              <w:bottom w:val="single" w:sz="8" w:color="CCEEFF"/>
            </w:tcBorders>
            <w:gridSpan w:val="2"/>
          </w:tcPr>
          <w:p>
            <w:pPr>
              <w:jc w:val="right"/>
              <w:spacing w:after="0"/>
              <w:rPr>
                <w:sz w:val="20"/>
                <w:szCs w:val="20"/>
                <w:color w:val="auto"/>
              </w:rPr>
            </w:pPr>
            <w:r>
              <w:rPr>
                <w:rFonts w:ascii="Arial" w:cs="Arial" w:eastAsia="Arial" w:hAnsi="Arial"/>
                <w:sz w:val="16"/>
                <w:szCs w:val="16"/>
                <w:color w:val="auto"/>
              </w:rPr>
              <w:t>13.9 %</w:t>
            </w:r>
          </w:p>
        </w:tc>
        <w:tc>
          <w:tcPr>
            <w:tcW w:w="0" w:type="dxa"/>
            <w:vAlign w:val="bottom"/>
          </w:tcPr>
          <w:p>
            <w:pPr>
              <w:spacing w:after="0"/>
              <w:rPr>
                <w:sz w:val="1"/>
                <w:szCs w:val="1"/>
                <w:color w:val="auto"/>
              </w:rPr>
            </w:pPr>
          </w:p>
        </w:tc>
      </w:tr>
      <w:tr>
        <w:trPr>
          <w:trHeight w:val="230"/>
        </w:trPr>
        <w:tc>
          <w:tcPr>
            <w:tcW w:w="18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Gross margin</w:t>
            </w:r>
          </w:p>
        </w:tc>
        <w:tc>
          <w:tcPr>
            <w:tcW w:w="360" w:type="dxa"/>
            <w:vAlign w:val="bottom"/>
            <w:tcBorders>
              <w:bottom w:val="single" w:sz="8" w:color="auto"/>
            </w:tcBorders>
            <w:shd w:val="clear" w:color="auto" w:fill="CCEEFF"/>
          </w:tcPr>
          <w:p>
            <w:pPr>
              <w:jc w:val="right"/>
              <w:ind w:right="185"/>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32,220</w:t>
            </w: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06"/>
              <w:spacing w:after="0"/>
              <w:rPr>
                <w:sz w:val="20"/>
                <w:szCs w:val="20"/>
                <w:color w:val="auto"/>
              </w:rPr>
            </w:pPr>
            <w:r>
              <w:rPr>
                <w:rFonts w:ascii="Arial" w:cs="Arial" w:eastAsia="Arial" w:hAnsi="Arial"/>
                <w:sz w:val="16"/>
                <w:szCs w:val="16"/>
                <w:color w:val="auto"/>
              </w:rPr>
              <w:t>28,156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4,064</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14.4 %</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45"/>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CEEFF"/>
          </w:tcPr>
          <w:p>
            <w:pPr>
              <w:jc w:val="right"/>
              <w:ind w:right="122"/>
              <w:spacing w:after="0"/>
              <w:rPr>
                <w:sz w:val="20"/>
                <w:szCs w:val="20"/>
                <w:color w:val="auto"/>
              </w:rPr>
            </w:pPr>
            <w:r>
              <w:rPr>
                <w:rFonts w:ascii="Arial" w:cs="Arial" w:eastAsia="Arial" w:hAnsi="Arial"/>
                <w:sz w:val="16"/>
                <w:szCs w:val="16"/>
                <w:color w:val="auto"/>
              </w:rPr>
              <w:t>61,674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auto"/>
            </w:tcBorders>
            <w:shd w:val="clear" w:color="auto" w:fill="CCEEFF"/>
          </w:tcPr>
          <w:p>
            <w:pPr>
              <w:jc w:val="right"/>
              <w:ind w:right="124"/>
              <w:spacing w:after="0"/>
              <w:rPr>
                <w:sz w:val="20"/>
                <w:szCs w:val="20"/>
                <w:color w:val="auto"/>
              </w:rPr>
            </w:pPr>
            <w:r>
              <w:rPr>
                <w:rFonts w:ascii="Arial" w:cs="Arial" w:eastAsia="Arial" w:hAnsi="Arial"/>
                <w:sz w:val="16"/>
                <w:szCs w:val="16"/>
                <w:color w:val="auto"/>
              </w:rPr>
              <w:t>54,237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ind w:right="4"/>
              <w:spacing w:after="0"/>
              <w:rPr>
                <w:sz w:val="20"/>
                <w:szCs w:val="20"/>
                <w:color w:val="auto"/>
              </w:rPr>
            </w:pPr>
            <w:r>
              <w:rPr>
                <w:rFonts w:ascii="Arial" w:cs="Arial" w:eastAsia="Arial" w:hAnsi="Arial"/>
                <w:sz w:val="16"/>
                <w:szCs w:val="16"/>
                <w:color w:val="auto"/>
              </w:rPr>
              <w:t>7,437</w:t>
            </w: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13.7 %</w:t>
            </w:r>
          </w:p>
        </w:tc>
        <w:tc>
          <w:tcPr>
            <w:tcW w:w="0" w:type="dxa"/>
            <w:vAlign w:val="bottom"/>
          </w:tcPr>
          <w:p>
            <w:pPr>
              <w:spacing w:after="0"/>
              <w:rPr>
                <w:sz w:val="1"/>
                <w:szCs w:val="1"/>
                <w:color w:val="auto"/>
              </w:rPr>
            </w:pPr>
          </w:p>
        </w:tc>
      </w:tr>
      <w:tr>
        <w:trPr>
          <w:trHeight w:val="20"/>
        </w:trPr>
        <w:tc>
          <w:tcPr>
            <w:tcW w:w="18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4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1420" w:type="dxa"/>
            <w:vAlign w:val="bottom"/>
          </w:tcPr>
          <w:p>
            <w:pPr>
              <w:jc w:val="right"/>
              <w:ind w:right="262"/>
              <w:spacing w:after="0"/>
              <w:rPr>
                <w:sz w:val="20"/>
                <w:szCs w:val="20"/>
                <w:color w:val="auto"/>
              </w:rPr>
            </w:pPr>
            <w:r>
              <w:rPr>
                <w:rFonts w:ascii="Arial" w:cs="Arial" w:eastAsia="Arial" w:hAnsi="Arial"/>
                <w:sz w:val="16"/>
                <w:szCs w:val="16"/>
                <w:color w:val="auto"/>
              </w:rPr>
              <w:t>35.5 %</w:t>
            </w:r>
          </w:p>
        </w:tc>
        <w:tc>
          <w:tcPr>
            <w:tcW w:w="2340" w:type="dxa"/>
            <w:vAlign w:val="bottom"/>
          </w:tcPr>
          <w:p>
            <w:pPr>
              <w:jc w:val="right"/>
              <w:ind w:right="1462"/>
              <w:spacing w:after="0"/>
              <w:rPr>
                <w:sz w:val="20"/>
                <w:szCs w:val="20"/>
                <w:color w:val="auto"/>
              </w:rPr>
            </w:pPr>
            <w:r>
              <w:rPr>
                <w:rFonts w:ascii="Arial" w:cs="Arial" w:eastAsia="Arial" w:hAnsi="Arial"/>
                <w:sz w:val="16"/>
                <w:szCs w:val="16"/>
                <w:color w:val="auto"/>
              </w:rPr>
              <w:t>36.2 %</w:t>
            </w:r>
          </w:p>
        </w:tc>
        <w:tc>
          <w:tcPr>
            <w:tcW w:w="2440" w:type="dxa"/>
            <w:vAlign w:val="bottom"/>
          </w:tcPr>
          <w:p>
            <w:pPr>
              <w:jc w:val="right"/>
              <w:ind w:right="362"/>
              <w:spacing w:after="0"/>
              <w:rPr>
                <w:sz w:val="20"/>
                <w:szCs w:val="20"/>
                <w:color w:val="auto"/>
              </w:rPr>
            </w:pPr>
            <w:r>
              <w:rPr>
                <w:rFonts w:ascii="Arial" w:cs="Arial" w:eastAsia="Arial" w:hAnsi="Arial"/>
                <w:sz w:val="16"/>
                <w:szCs w:val="16"/>
                <w:color w:val="auto"/>
              </w:rPr>
              <w:t>35.9 %</w:t>
            </w:r>
          </w:p>
        </w:tc>
        <w:tc>
          <w:tcPr>
            <w:tcW w:w="3100" w:type="dxa"/>
            <w:vAlign w:val="bottom"/>
          </w:tcPr>
          <w:p>
            <w:pPr>
              <w:jc w:val="right"/>
              <w:ind w:right="2122"/>
              <w:spacing w:after="0"/>
              <w:rPr>
                <w:sz w:val="20"/>
                <w:szCs w:val="20"/>
                <w:color w:val="auto"/>
              </w:rPr>
            </w:pPr>
            <w:r>
              <w:rPr>
                <w:rFonts w:ascii="Arial" w:cs="Arial" w:eastAsia="Arial" w:hAnsi="Arial"/>
                <w:sz w:val="16"/>
                <w:szCs w:val="16"/>
                <w:color w:val="auto"/>
              </w:rPr>
              <w:t>35.9 %</w:t>
            </w:r>
          </w:p>
        </w:tc>
      </w:tr>
      <w:tr>
        <w:trPr>
          <w:trHeight w:val="212"/>
        </w:trPr>
        <w:tc>
          <w:tcPr>
            <w:tcW w:w="1940" w:type="dxa"/>
            <w:vAlign w:val="bottom"/>
            <w:shd w:val="clear" w:color="auto" w:fill="CCEEFF"/>
          </w:tcPr>
          <w:p>
            <w:pPr>
              <w:ind w:left="180"/>
              <w:spacing w:after="0"/>
              <w:rPr>
                <w:sz w:val="20"/>
                <w:szCs w:val="20"/>
                <w:color w:val="auto"/>
              </w:rPr>
            </w:pPr>
            <w:r>
              <w:rPr>
                <w:rFonts w:ascii="Arial" w:cs="Arial" w:eastAsia="Arial" w:hAnsi="Arial"/>
                <w:sz w:val="16"/>
                <w:szCs w:val="16"/>
                <w:color w:val="auto"/>
              </w:rPr>
              <w:t>Product margin %</w:t>
            </w:r>
          </w:p>
        </w:tc>
        <w:tc>
          <w:tcPr>
            <w:tcW w:w="1420" w:type="dxa"/>
            <w:vAlign w:val="bottom"/>
            <w:shd w:val="clear" w:color="auto" w:fill="CCEEFF"/>
          </w:tcPr>
          <w:p>
            <w:pPr>
              <w:jc w:val="right"/>
              <w:ind w:right="262"/>
              <w:spacing w:after="0"/>
              <w:rPr>
                <w:sz w:val="20"/>
                <w:szCs w:val="20"/>
                <w:color w:val="auto"/>
              </w:rPr>
            </w:pPr>
            <w:r>
              <w:rPr>
                <w:rFonts w:ascii="Arial" w:cs="Arial" w:eastAsia="Arial" w:hAnsi="Arial"/>
                <w:sz w:val="16"/>
                <w:szCs w:val="16"/>
                <w:color w:val="auto"/>
              </w:rPr>
              <w:t>38.1 %</w:t>
            </w:r>
          </w:p>
        </w:tc>
        <w:tc>
          <w:tcPr>
            <w:tcW w:w="2340" w:type="dxa"/>
            <w:vAlign w:val="bottom"/>
            <w:shd w:val="clear" w:color="auto" w:fill="CCEEFF"/>
          </w:tcPr>
          <w:p>
            <w:pPr>
              <w:jc w:val="right"/>
              <w:ind w:right="1462"/>
              <w:spacing w:after="0"/>
              <w:rPr>
                <w:sz w:val="20"/>
                <w:szCs w:val="20"/>
                <w:color w:val="auto"/>
              </w:rPr>
            </w:pPr>
            <w:r>
              <w:rPr>
                <w:rFonts w:ascii="Arial" w:cs="Arial" w:eastAsia="Arial" w:hAnsi="Arial"/>
                <w:sz w:val="16"/>
                <w:szCs w:val="16"/>
                <w:color w:val="auto"/>
              </w:rPr>
              <w:t>36.4 %</w:t>
            </w:r>
          </w:p>
        </w:tc>
        <w:tc>
          <w:tcPr>
            <w:tcW w:w="2440" w:type="dxa"/>
            <w:vAlign w:val="bottom"/>
            <w:shd w:val="clear" w:color="auto" w:fill="CCEEFF"/>
          </w:tcPr>
          <w:p>
            <w:pPr>
              <w:jc w:val="right"/>
              <w:ind w:right="362"/>
              <w:spacing w:after="0"/>
              <w:rPr>
                <w:sz w:val="20"/>
                <w:szCs w:val="20"/>
                <w:color w:val="auto"/>
              </w:rPr>
            </w:pPr>
            <w:r>
              <w:rPr>
                <w:rFonts w:ascii="Arial" w:cs="Arial" w:eastAsia="Arial" w:hAnsi="Arial"/>
                <w:sz w:val="16"/>
                <w:szCs w:val="16"/>
                <w:color w:val="auto"/>
              </w:rPr>
              <w:t>37.2 %</w:t>
            </w:r>
          </w:p>
        </w:tc>
        <w:tc>
          <w:tcPr>
            <w:tcW w:w="3100" w:type="dxa"/>
            <w:vAlign w:val="bottom"/>
            <w:shd w:val="clear" w:color="auto" w:fill="CCEEFF"/>
          </w:tcPr>
          <w:p>
            <w:pPr>
              <w:jc w:val="right"/>
              <w:ind w:right="2122"/>
              <w:spacing w:after="0"/>
              <w:rPr>
                <w:sz w:val="20"/>
                <w:szCs w:val="20"/>
                <w:color w:val="auto"/>
              </w:rPr>
            </w:pPr>
            <w:r>
              <w:rPr>
                <w:rFonts w:ascii="Arial" w:cs="Arial" w:eastAsia="Arial" w:hAnsi="Arial"/>
                <w:sz w:val="16"/>
                <w:szCs w:val="16"/>
                <w:color w:val="auto"/>
              </w:rPr>
              <w:t>36.8 %</w:t>
            </w:r>
          </w:p>
        </w:tc>
      </w:tr>
      <w:tr>
        <w:trPr>
          <w:trHeight w:val="203"/>
        </w:trPr>
        <w:tc>
          <w:tcPr>
            <w:tcW w:w="1940" w:type="dxa"/>
            <w:vAlign w:val="bottom"/>
          </w:tcPr>
          <w:p>
            <w:pPr>
              <w:ind w:left="180"/>
              <w:spacing w:after="0"/>
              <w:rPr>
                <w:sz w:val="20"/>
                <w:szCs w:val="20"/>
                <w:color w:val="auto"/>
              </w:rPr>
            </w:pPr>
            <w:r>
              <w:rPr>
                <w:rFonts w:ascii="Arial" w:cs="Arial" w:eastAsia="Arial" w:hAnsi="Arial"/>
                <w:sz w:val="16"/>
                <w:szCs w:val="16"/>
                <w:color w:val="auto"/>
              </w:rPr>
              <w:t>Service margin %</w:t>
            </w:r>
          </w:p>
        </w:tc>
        <w:tc>
          <w:tcPr>
            <w:tcW w:w="1420" w:type="dxa"/>
            <w:vAlign w:val="bottom"/>
          </w:tcPr>
          <w:p>
            <w:pPr>
              <w:jc w:val="right"/>
              <w:ind w:right="262"/>
              <w:spacing w:after="0"/>
              <w:rPr>
                <w:sz w:val="20"/>
                <w:szCs w:val="20"/>
                <w:color w:val="auto"/>
              </w:rPr>
            </w:pPr>
            <w:r>
              <w:rPr>
                <w:rFonts w:ascii="Arial" w:cs="Arial" w:eastAsia="Arial" w:hAnsi="Arial"/>
                <w:sz w:val="16"/>
                <w:szCs w:val="16"/>
                <w:color w:val="auto"/>
              </w:rPr>
              <w:t>28.8 %</w:t>
            </w:r>
          </w:p>
        </w:tc>
        <w:tc>
          <w:tcPr>
            <w:tcW w:w="2340" w:type="dxa"/>
            <w:vAlign w:val="bottom"/>
          </w:tcPr>
          <w:p>
            <w:pPr>
              <w:jc w:val="right"/>
              <w:ind w:right="1462"/>
              <w:spacing w:after="0"/>
              <w:rPr>
                <w:sz w:val="20"/>
                <w:szCs w:val="20"/>
                <w:color w:val="auto"/>
              </w:rPr>
            </w:pPr>
            <w:r>
              <w:rPr>
                <w:rFonts w:ascii="Arial" w:cs="Arial" w:eastAsia="Arial" w:hAnsi="Arial"/>
                <w:sz w:val="16"/>
                <w:szCs w:val="16"/>
                <w:color w:val="auto"/>
              </w:rPr>
              <w:t>35.7 %</w:t>
            </w:r>
          </w:p>
        </w:tc>
        <w:tc>
          <w:tcPr>
            <w:tcW w:w="2440" w:type="dxa"/>
            <w:vAlign w:val="bottom"/>
          </w:tcPr>
          <w:p>
            <w:pPr>
              <w:jc w:val="right"/>
              <w:ind w:right="362"/>
              <w:spacing w:after="0"/>
              <w:rPr>
                <w:sz w:val="20"/>
                <w:szCs w:val="20"/>
                <w:color w:val="auto"/>
              </w:rPr>
            </w:pPr>
            <w:r>
              <w:rPr>
                <w:rFonts w:ascii="Arial" w:cs="Arial" w:eastAsia="Arial" w:hAnsi="Arial"/>
                <w:sz w:val="16"/>
                <w:szCs w:val="16"/>
                <w:color w:val="auto"/>
              </w:rPr>
              <w:t>32.8 %</w:t>
            </w:r>
          </w:p>
        </w:tc>
        <w:tc>
          <w:tcPr>
            <w:tcW w:w="3100" w:type="dxa"/>
            <w:vAlign w:val="bottom"/>
          </w:tcPr>
          <w:p>
            <w:pPr>
              <w:jc w:val="right"/>
              <w:ind w:right="2122"/>
              <w:spacing w:after="0"/>
              <w:rPr>
                <w:sz w:val="20"/>
                <w:szCs w:val="20"/>
                <w:color w:val="auto"/>
              </w:rPr>
            </w:pPr>
            <w:r>
              <w:rPr>
                <w:rFonts w:ascii="Arial" w:cs="Arial" w:eastAsia="Arial" w:hAnsi="Arial"/>
                <w:sz w:val="16"/>
                <w:szCs w:val="16"/>
                <w:color w:val="auto"/>
              </w:rPr>
              <w:t>34.0 %</w:t>
            </w:r>
          </w:p>
        </w:tc>
      </w:tr>
    </w:tbl>
    <w:p>
      <w:pPr>
        <w:spacing w:after="0" w:line="242"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Gross margin for the second quarter of fiscal 2023 increased by $4.1 million, or 14.4% compared with the same quarter of fiscal 2022. Gross margin for the first six months of fiscal 2023 increased by $7.4 million, or 13.7%. The gross margin improvement was primarily due to higher volume of Private Network and mobile operator business as well as the contribution from the Redline acquisition.</w:t>
      </w:r>
    </w:p>
    <w:p>
      <w:pPr>
        <w:spacing w:after="0" w:line="15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Gross margin as a percentage of product revenue increased in the second quarter and in the first six months of fiscal 2023 compared with the prior year</w:t>
      </w:r>
    </w:p>
    <w:p>
      <w:pPr>
        <w:spacing w:after="0" w:line="6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periods primarily due to pricing actions effectively offsetting cost inflation and the accretive contribution of the Redline acquisition. Service margin as a percentage of service revenue in the second quarter and in first six months of fiscal 2023 declined compared to the same periods in fiscal 2022 due to changes in the stand-alone prices for products and services and the resulting impact on the allocation of the overall transaction price to services.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6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8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80" w:type="dxa"/>
            <w:vAlign w:val="bottom"/>
            <w:vMerge w:val="restart"/>
          </w:tcPr>
          <w:p>
            <w:pPr>
              <w:ind w:left="20"/>
              <w:spacing w:after="0" w:line="154" w:lineRule="exact"/>
              <w:rPr>
                <w:sz w:val="20"/>
                <w:szCs w:val="20"/>
                <w:color w:val="auto"/>
              </w:rPr>
            </w:pPr>
            <w:r>
              <w:rPr>
                <w:rFonts w:ascii="Arial" w:cs="Arial" w:eastAsia="Arial" w:hAnsi="Arial"/>
                <w:sz w:val="14"/>
                <w:szCs w:val="14"/>
                <w:b w:val="1"/>
                <w:bCs w:val="1"/>
                <w:color w:val="auto"/>
              </w:rPr>
              <w:t>(In thousands, except</w:t>
            </w:r>
          </w:p>
        </w:tc>
        <w:tc>
          <w:tcPr>
            <w:tcW w:w="3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680" w:type="dxa"/>
            <w:vAlign w:val="bottom"/>
            <w:vMerge w:val="continue"/>
          </w:tcPr>
          <w:p>
            <w:pPr>
              <w:spacing w:after="0"/>
              <w:rPr>
                <w:sz w:val="9"/>
                <w:szCs w:val="9"/>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December 30, 2022</w:t>
            </w: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8"/>
              </w:rPr>
              <w:t>December 31, 2021</w:t>
            </w:r>
          </w:p>
        </w:tc>
        <w:tc>
          <w:tcPr>
            <w:tcW w:w="140" w:type="dxa"/>
            <w:vAlign w:val="bottom"/>
          </w:tcPr>
          <w:p>
            <w:pPr>
              <w:spacing w:after="0"/>
              <w:rPr>
                <w:sz w:val="9"/>
                <w:szCs w:val="9"/>
                <w:color w:val="auto"/>
              </w:rPr>
            </w:pP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16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 Change</w:t>
            </w:r>
          </w:p>
        </w:tc>
        <w:tc>
          <w:tcPr>
            <w:tcW w:w="132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8"/>
              </w:rPr>
              <w:t>December 30, 2022</w:t>
            </w:r>
          </w:p>
        </w:tc>
        <w:tc>
          <w:tcPr>
            <w:tcW w:w="134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w w:val="99"/>
              </w:rPr>
              <w:t>December 31, 2021</w:t>
            </w:r>
          </w:p>
        </w:tc>
        <w:tc>
          <w:tcPr>
            <w:tcW w:w="140" w:type="dxa"/>
            <w:vAlign w:val="bottom"/>
          </w:tcPr>
          <w:p>
            <w:pPr>
              <w:spacing w:after="0"/>
              <w:rPr>
                <w:sz w:val="9"/>
                <w:szCs w:val="9"/>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06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680" w:type="dxa"/>
            <w:vAlign w:val="bottom"/>
          </w:tcPr>
          <w:p>
            <w:pPr>
              <w:ind w:left="20"/>
              <w:spacing w:after="0"/>
              <w:rPr>
                <w:sz w:val="20"/>
                <w:szCs w:val="20"/>
                <w:color w:val="auto"/>
              </w:rPr>
            </w:pPr>
            <w:r>
              <w:rPr>
                <w:rFonts w:ascii="Arial" w:cs="Arial" w:eastAsia="Arial" w:hAnsi="Arial"/>
                <w:sz w:val="14"/>
                <w:szCs w:val="14"/>
                <w:b w:val="1"/>
                <w:bCs w:val="1"/>
                <w:color w:val="auto"/>
              </w:rPr>
              <w:t>percentages)</w:t>
            </w:r>
          </w:p>
        </w:tc>
        <w:tc>
          <w:tcPr>
            <w:tcW w:w="1300" w:type="dxa"/>
            <w:vAlign w:val="bottom"/>
            <w:gridSpan w:val="3"/>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320" w:type="dxa"/>
            <w:vAlign w:val="bottom"/>
            <w:gridSpan w:val="3"/>
            <w:vMerge w:val="continue"/>
          </w:tcPr>
          <w:p>
            <w:pPr>
              <w:spacing w:after="0"/>
              <w:rPr>
                <w:sz w:val="16"/>
                <w:szCs w:val="16"/>
                <w:color w:val="auto"/>
              </w:rPr>
            </w:pPr>
          </w:p>
        </w:tc>
        <w:tc>
          <w:tcPr>
            <w:tcW w:w="134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68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6"/>
                <w:szCs w:val="16"/>
                <w:color w:val="auto"/>
              </w:rPr>
              <w:t>Research and</w:t>
            </w:r>
          </w:p>
        </w:tc>
        <w:tc>
          <w:tcPr>
            <w:tcW w:w="380" w:type="dxa"/>
            <w:vAlign w:val="bottom"/>
            <w:tcBorders>
              <w:top w:val="single" w:sz="8" w:color="auto"/>
            </w:tcBorders>
            <w:vMerge w:val="restart"/>
            <w:shd w:val="clear" w:color="auto" w:fill="CCEEFF"/>
          </w:tcPr>
          <w:p>
            <w:pPr>
              <w:jc w:val="right"/>
              <w:ind w:right="206"/>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6,047</w:t>
            </w:r>
          </w:p>
        </w:tc>
        <w:tc>
          <w:tcPr>
            <w:tcW w:w="8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vMerge w:val="restart"/>
            <w:shd w:val="clear" w:color="auto" w:fill="CCEEFF"/>
          </w:tcPr>
          <w:p>
            <w:pPr>
              <w:jc w:val="right"/>
              <w:ind w:right="86"/>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shd w:val="clear" w:color="auto" w:fill="CCEEFF"/>
          </w:tcPr>
          <w:p>
            <w:pPr>
              <w:jc w:val="right"/>
              <w:ind w:right="125"/>
              <w:spacing w:after="0"/>
              <w:rPr>
                <w:sz w:val="20"/>
                <w:szCs w:val="20"/>
                <w:color w:val="auto"/>
              </w:rPr>
            </w:pPr>
            <w:r>
              <w:rPr>
                <w:rFonts w:ascii="Arial" w:cs="Arial" w:eastAsia="Arial" w:hAnsi="Arial"/>
                <w:sz w:val="16"/>
                <w:szCs w:val="16"/>
                <w:color w:val="auto"/>
              </w:rPr>
              <w:t>6,169</w:t>
            </w:r>
          </w:p>
        </w:tc>
        <w:tc>
          <w:tcPr>
            <w:tcW w:w="8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8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(2.0)%</w:t>
            </w:r>
          </w:p>
        </w:tc>
        <w:tc>
          <w:tcPr>
            <w:tcW w:w="10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vMerge w:val="restart"/>
            <w:shd w:val="clear" w:color="auto" w:fill="CCEEFF"/>
          </w:tcPr>
          <w:p>
            <w:pPr>
              <w:jc w:val="right"/>
              <w:ind w:right="189"/>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vMerge w:val="restart"/>
            <w:shd w:val="clear" w:color="auto" w:fill="CCEEFF"/>
          </w:tcPr>
          <w:p>
            <w:pPr>
              <w:jc w:val="right"/>
              <w:ind w:right="122"/>
              <w:spacing w:after="0"/>
              <w:rPr>
                <w:sz w:val="20"/>
                <w:szCs w:val="20"/>
                <w:color w:val="auto"/>
              </w:rPr>
            </w:pPr>
            <w:r>
              <w:rPr>
                <w:rFonts w:ascii="Arial" w:cs="Arial" w:eastAsia="Arial" w:hAnsi="Arial"/>
                <w:sz w:val="16"/>
                <w:szCs w:val="16"/>
                <w:color w:val="auto"/>
              </w:rPr>
              <w:t>12,134</w:t>
            </w:r>
          </w:p>
        </w:tc>
        <w:tc>
          <w:tcPr>
            <w:tcW w:w="8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jc w:val="right"/>
              <w:ind w:right="126"/>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tcBorders>
            <w:vMerge w:val="restart"/>
            <w:shd w:val="clear" w:color="auto" w:fill="CCEEFF"/>
          </w:tcPr>
          <w:p>
            <w:pPr>
              <w:jc w:val="right"/>
              <w:ind w:right="105"/>
              <w:spacing w:after="0"/>
              <w:rPr>
                <w:sz w:val="20"/>
                <w:szCs w:val="20"/>
                <w:color w:val="auto"/>
              </w:rPr>
            </w:pPr>
            <w:r>
              <w:rPr>
                <w:rFonts w:ascii="Arial" w:cs="Arial" w:eastAsia="Arial" w:hAnsi="Arial"/>
                <w:sz w:val="16"/>
                <w:szCs w:val="16"/>
                <w:color w:val="auto"/>
              </w:rPr>
              <w:t>12,079</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55</w:t>
            </w:r>
          </w:p>
        </w:tc>
        <w:tc>
          <w:tcPr>
            <w:tcW w:w="100" w:type="dxa"/>
            <w:vAlign w:val="bottom"/>
            <w:tcBorders>
              <w:top w:val="single" w:sz="8" w:color="CCEEFF"/>
            </w:tcBorders>
            <w:shd w:val="clear" w:color="auto" w:fill="CCEEFF"/>
          </w:tcPr>
          <w:p>
            <w:pPr>
              <w:spacing w:after="0"/>
              <w:rPr>
                <w:sz w:val="12"/>
                <w:szCs w:val="12"/>
                <w:color w:val="auto"/>
              </w:rPr>
            </w:pPr>
          </w:p>
        </w:tc>
        <w:tc>
          <w:tcPr>
            <w:tcW w:w="10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0.5 %</w:t>
            </w:r>
          </w:p>
        </w:tc>
        <w:tc>
          <w:tcPr>
            <w:tcW w:w="0" w:type="dxa"/>
            <w:vAlign w:val="bottom"/>
          </w:tcPr>
          <w:p>
            <w:pPr>
              <w:spacing w:after="0"/>
              <w:rPr>
                <w:sz w:val="1"/>
                <w:szCs w:val="1"/>
                <w:color w:val="auto"/>
              </w:rPr>
            </w:pPr>
          </w:p>
        </w:tc>
      </w:tr>
      <w:tr>
        <w:trPr>
          <w:trHeight w:val="206"/>
        </w:trPr>
        <w:tc>
          <w:tcPr>
            <w:tcW w:w="1680" w:type="dxa"/>
            <w:vAlign w:val="bottom"/>
            <w:shd w:val="clear" w:color="auto" w:fill="CCEEFF"/>
          </w:tcPr>
          <w:p>
            <w:pPr>
              <w:ind w:left="20"/>
              <w:spacing w:after="0"/>
              <w:rPr>
                <w:sz w:val="20"/>
                <w:szCs w:val="20"/>
                <w:color w:val="auto"/>
              </w:rPr>
            </w:pPr>
            <w:r>
              <w:rPr>
                <w:rFonts w:ascii="Arial" w:cs="Arial" w:eastAsia="Arial" w:hAnsi="Arial"/>
                <w:sz w:val="16"/>
                <w:szCs w:val="16"/>
                <w:color w:val="auto"/>
              </w:rPr>
              <w:t>development</w:t>
            </w:r>
          </w:p>
        </w:tc>
        <w:tc>
          <w:tcPr>
            <w:tcW w:w="38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9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8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6.7 %</w:t>
            </w: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7.9 %</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7.1 %</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8.0 %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4"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research and development expenses in the second quarter and first six months of fiscal 2023 were relatively flat compared with the same periods of fiscal 2022. Much of our research and development costs are incurred in EUR or NZD currencies. The strength of the USD yielded savings compared to the prior year, which were substantially offset by the addition of the Redline research and development costs.</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189"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i w:val="1"/>
          <w:iCs w:val="1"/>
          <w:color w:val="auto"/>
        </w:rPr>
        <w:t>Selling and Administrative Expenses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8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6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700" w:type="dxa"/>
            <w:vAlign w:val="bottom"/>
            <w:vMerge w:val="restart"/>
          </w:tcPr>
          <w:p>
            <w:pPr>
              <w:ind w:left="20"/>
              <w:spacing w:after="0" w:line="154" w:lineRule="exact"/>
              <w:rPr>
                <w:sz w:val="20"/>
                <w:szCs w:val="20"/>
                <w:color w:val="auto"/>
              </w:rPr>
            </w:pPr>
            <w:r>
              <w:rPr>
                <w:rFonts w:ascii="Arial" w:cs="Arial" w:eastAsia="Arial" w:hAnsi="Arial"/>
                <w:sz w:val="14"/>
                <w:szCs w:val="14"/>
                <w:b w:val="1"/>
                <w:bCs w:val="1"/>
                <w:color w:val="auto"/>
              </w:rPr>
              <w:t>(In thousands, except</w:t>
            </w:r>
          </w:p>
        </w:tc>
        <w:tc>
          <w:tcPr>
            <w:tcW w:w="3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1"/>
        </w:trPr>
        <w:tc>
          <w:tcPr>
            <w:tcW w:w="1700" w:type="dxa"/>
            <w:vAlign w:val="bottom"/>
            <w:vMerge w:val="continue"/>
          </w:tcPr>
          <w:p>
            <w:pPr>
              <w:spacing w:after="0"/>
              <w:rPr>
                <w:sz w:val="9"/>
                <w:szCs w:val="9"/>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December 30, 2022</w:t>
            </w:r>
          </w:p>
        </w:tc>
        <w:tc>
          <w:tcPr>
            <w:tcW w:w="100" w:type="dxa"/>
            <w:vAlign w:val="bottom"/>
            <w:vMerge w:val="restart"/>
          </w:tcPr>
          <w:p>
            <w:pPr>
              <w:spacing w:after="0"/>
              <w:rPr>
                <w:sz w:val="9"/>
                <w:szCs w:val="9"/>
                <w:color w:val="auto"/>
              </w:rPr>
            </w:pPr>
          </w:p>
        </w:tc>
        <w:tc>
          <w:tcPr>
            <w:tcW w:w="122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vMerge w:val="restart"/>
          </w:tcPr>
          <w:p>
            <w:pPr>
              <w:spacing w:after="0"/>
              <w:rPr>
                <w:sz w:val="9"/>
                <w:szCs w:val="9"/>
                <w:color w:val="auto"/>
              </w:rPr>
            </w:pPr>
          </w:p>
        </w:tc>
        <w:tc>
          <w:tcPr>
            <w:tcW w:w="120" w:type="dxa"/>
            <w:vAlign w:val="bottom"/>
          </w:tcPr>
          <w:p>
            <w:pPr>
              <w:spacing w:after="0"/>
              <w:rPr>
                <w:sz w:val="9"/>
                <w:szCs w:val="9"/>
                <w:color w:val="auto"/>
              </w:rPr>
            </w:pPr>
          </w:p>
        </w:tc>
        <w:tc>
          <w:tcPr>
            <w:tcW w:w="78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9"/>
                <w:szCs w:val="9"/>
                <w:color w:val="auto"/>
              </w:rPr>
            </w:pPr>
          </w:p>
        </w:tc>
        <w:tc>
          <w:tcPr>
            <w:tcW w:w="106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rPr>
              <w:t>% Change</w:t>
            </w:r>
          </w:p>
        </w:tc>
        <w:tc>
          <w:tcPr>
            <w:tcW w:w="80" w:type="dxa"/>
            <w:vAlign w:val="bottom"/>
            <w:vMerge w:val="restart"/>
          </w:tcPr>
          <w:p>
            <w:pPr>
              <w:spacing w:after="0"/>
              <w:rPr>
                <w:sz w:val="9"/>
                <w:szCs w:val="9"/>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3"/>
              </w:rPr>
              <w:t>December 30, 2022</w:t>
            </w:r>
          </w:p>
        </w:tc>
        <w:tc>
          <w:tcPr>
            <w:tcW w:w="100" w:type="dxa"/>
            <w:vAlign w:val="bottom"/>
            <w:vMerge w:val="restart"/>
          </w:tcPr>
          <w:p>
            <w:pPr>
              <w:spacing w:after="0"/>
              <w:rPr>
                <w:sz w:val="9"/>
                <w:szCs w:val="9"/>
                <w:color w:val="auto"/>
              </w:rPr>
            </w:pPr>
          </w:p>
        </w:tc>
        <w:tc>
          <w:tcPr>
            <w:tcW w:w="124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December 31, 2021</w:t>
            </w:r>
          </w:p>
        </w:tc>
        <w:tc>
          <w:tcPr>
            <w:tcW w:w="100" w:type="dxa"/>
            <w:vAlign w:val="bottom"/>
            <w:vMerge w:val="restart"/>
          </w:tcPr>
          <w:p>
            <w:pPr>
              <w:spacing w:after="0"/>
              <w:rPr>
                <w:sz w:val="9"/>
                <w:szCs w:val="9"/>
                <w:color w:val="auto"/>
              </w:rPr>
            </w:pPr>
          </w:p>
        </w:tc>
        <w:tc>
          <w:tcPr>
            <w:tcW w:w="140" w:type="dxa"/>
            <w:vAlign w:val="bottom"/>
          </w:tcPr>
          <w:p>
            <w:pPr>
              <w:spacing w:after="0"/>
              <w:rPr>
                <w:sz w:val="9"/>
                <w:szCs w:val="9"/>
                <w:color w:val="auto"/>
              </w:rPr>
            </w:pPr>
          </w:p>
        </w:tc>
        <w:tc>
          <w:tcPr>
            <w:tcW w:w="78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w w:val="91"/>
              </w:rPr>
              <w:t>$ Change</w:t>
            </w:r>
          </w:p>
        </w:tc>
        <w:tc>
          <w:tcPr>
            <w:tcW w:w="100" w:type="dxa"/>
            <w:vAlign w:val="bottom"/>
            <w:vMerge w:val="restart"/>
          </w:tcPr>
          <w:p>
            <w:pPr>
              <w:spacing w:after="0"/>
              <w:rPr>
                <w:sz w:val="9"/>
                <w:szCs w:val="9"/>
                <w:color w:val="auto"/>
              </w:rPr>
            </w:pPr>
          </w:p>
        </w:tc>
        <w:tc>
          <w:tcPr>
            <w:tcW w:w="106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7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2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4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Selling and administrative $</w:t>
            </w:r>
          </w:p>
        </w:tc>
        <w:tc>
          <w:tcPr>
            <w:tcW w:w="880" w:type="dxa"/>
            <w:vAlign w:val="bottom"/>
            <w:shd w:val="clear" w:color="auto" w:fill="CCEEFF"/>
          </w:tcPr>
          <w:p>
            <w:pPr>
              <w:jc w:val="right"/>
              <w:ind w:right="122"/>
              <w:spacing w:after="0"/>
              <w:rPr>
                <w:sz w:val="20"/>
                <w:szCs w:val="20"/>
                <w:color w:val="auto"/>
              </w:rPr>
            </w:pPr>
            <w:r>
              <w:rPr>
                <w:rFonts w:ascii="Arial" w:cs="Arial" w:eastAsia="Arial" w:hAnsi="Arial"/>
                <w:sz w:val="16"/>
                <w:szCs w:val="16"/>
                <w:color w:val="auto"/>
              </w:rPr>
              <w:t>16,567</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13,739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2,828</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20.6 %</w:t>
            </w:r>
          </w:p>
        </w:tc>
        <w:tc>
          <w:tcPr>
            <w:tcW w:w="8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86"/>
              <w:spacing w:after="0"/>
              <w:rPr>
                <w:sz w:val="20"/>
                <w:szCs w:val="20"/>
                <w:color w:val="auto"/>
              </w:rPr>
            </w:pPr>
            <w:r>
              <w:rPr>
                <w:rFonts w:ascii="Arial" w:cs="Arial" w:eastAsia="Arial" w:hAnsi="Arial"/>
                <w:sz w:val="16"/>
                <w:szCs w:val="16"/>
                <w:color w:val="auto"/>
                <w:w w:val="89"/>
              </w:rPr>
              <w:t>$</w:t>
            </w: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6"/>
                <w:szCs w:val="16"/>
                <w:color w:val="auto"/>
              </w:rPr>
              <w:t>34,071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6"/>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ind w:right="125"/>
              <w:spacing w:after="0"/>
              <w:rPr>
                <w:sz w:val="20"/>
                <w:szCs w:val="20"/>
                <w:color w:val="auto"/>
              </w:rPr>
            </w:pPr>
            <w:r>
              <w:rPr>
                <w:rFonts w:ascii="Arial" w:cs="Arial" w:eastAsia="Arial" w:hAnsi="Arial"/>
                <w:sz w:val="16"/>
                <w:szCs w:val="16"/>
                <w:color w:val="auto"/>
              </w:rPr>
              <w:t>26,437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7,634</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28.9 %</w:t>
            </w:r>
          </w:p>
        </w:tc>
        <w:tc>
          <w:tcPr>
            <w:tcW w:w="0" w:type="dxa"/>
            <w:vAlign w:val="bottom"/>
          </w:tcPr>
          <w:p>
            <w:pPr>
              <w:spacing w:after="0"/>
              <w:rPr>
                <w:sz w:val="1"/>
                <w:szCs w:val="1"/>
                <w:color w:val="auto"/>
              </w:rPr>
            </w:pPr>
          </w:p>
        </w:tc>
      </w:tr>
      <w:tr>
        <w:trPr>
          <w:trHeight w:val="203"/>
        </w:trPr>
        <w:tc>
          <w:tcPr>
            <w:tcW w:w="1700" w:type="dxa"/>
            <w:vAlign w:val="bottom"/>
          </w:tcPr>
          <w:p>
            <w:pPr>
              <w:ind w:left="180"/>
              <w:spacing w:after="0"/>
              <w:rPr>
                <w:sz w:val="20"/>
                <w:szCs w:val="20"/>
                <w:color w:val="auto"/>
              </w:rPr>
            </w:pPr>
            <w:r>
              <w:rPr>
                <w:rFonts w:ascii="Arial" w:cs="Arial" w:eastAsia="Arial" w:hAnsi="Arial"/>
                <w:sz w:val="16"/>
                <w:szCs w:val="16"/>
                <w:color w:val="auto"/>
              </w:rPr>
              <w:t>% of revenue</w:t>
            </w:r>
          </w:p>
        </w:tc>
        <w:tc>
          <w:tcPr>
            <w:tcW w:w="34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18.3 %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17.6 %</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19.8 %</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17.5 %</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 $2.8 million selling and administrative expense increase in the second quarter of fiscal 2023 was driven by the addition of Redline and variable compensation expenses. The $7.6 million selling and administrative expense increase for the first six months of fiscal 2023 was also driven by Redline and variable compensation, as well as merger and acquisition related expenses.</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Charges</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140" w:type="dxa"/>
            <w:vAlign w:val="bottom"/>
            <w:gridSpan w:val="5"/>
          </w:tcPr>
          <w:p>
            <w:pPr>
              <w:ind w:left="160"/>
              <w:spacing w:after="0"/>
              <w:rPr>
                <w:sz w:val="20"/>
                <w:szCs w:val="20"/>
                <w:color w:val="auto"/>
              </w:rPr>
            </w:pPr>
            <w:r>
              <w:rPr>
                <w:rFonts w:ascii="Arial" w:cs="Arial" w:eastAsia="Arial" w:hAnsi="Arial"/>
                <w:sz w:val="14"/>
                <w:szCs w:val="14"/>
                <w:b w:val="1"/>
                <w:bCs w:val="1"/>
                <w:color w:val="auto"/>
              </w:rPr>
              <w:t>Three Months Ended</w:t>
            </w: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100" w:type="dxa"/>
            <w:vAlign w:val="bottom"/>
            <w:gridSpan w:val="5"/>
          </w:tcPr>
          <w:p>
            <w:pPr>
              <w:ind w:left="20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820" w:type="dxa"/>
            <w:vAlign w:val="bottom"/>
            <w:vMerge w:val="restart"/>
          </w:tcPr>
          <w:p>
            <w:pPr>
              <w:ind w:left="20"/>
              <w:spacing w:after="0" w:line="158" w:lineRule="exact"/>
              <w:rPr>
                <w:sz w:val="20"/>
                <w:szCs w:val="20"/>
                <w:color w:val="auto"/>
              </w:rPr>
            </w:pPr>
            <w:r>
              <w:rPr>
                <w:rFonts w:ascii="Arial" w:cs="Arial" w:eastAsia="Arial" w:hAnsi="Arial"/>
                <w:sz w:val="14"/>
                <w:szCs w:val="14"/>
                <w:b w:val="1"/>
                <w:bCs w:val="1"/>
                <w:color w:val="auto"/>
              </w:rPr>
              <w:t>(In thousands, except</w:t>
            </w:r>
          </w:p>
        </w:tc>
        <w:tc>
          <w:tcPr>
            <w:tcW w:w="5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14"/>
        </w:trPr>
        <w:tc>
          <w:tcPr>
            <w:tcW w:w="1820" w:type="dxa"/>
            <w:vAlign w:val="bottom"/>
            <w:vMerge w:val="continue"/>
          </w:tcPr>
          <w:p>
            <w:pPr>
              <w:spacing w:after="0"/>
              <w:rPr>
                <w:sz w:val="9"/>
                <w:szCs w:val="9"/>
                <w:color w:val="auto"/>
              </w:rPr>
            </w:pP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December 30, 2022</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December 31, 2021</w:t>
            </w:r>
          </w:p>
        </w:tc>
        <w:tc>
          <w:tcPr>
            <w:tcW w:w="16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 Change</w:t>
            </w:r>
          </w:p>
        </w:tc>
        <w:tc>
          <w:tcPr>
            <w:tcW w:w="13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8"/>
              </w:rPr>
              <w:t>December 30, 2022</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December 31, 2021</w:t>
            </w:r>
          </w:p>
        </w:tc>
        <w:tc>
          <w:tcPr>
            <w:tcW w:w="160" w:type="dxa"/>
            <w:vAlign w:val="bottom"/>
          </w:tcPr>
          <w:p>
            <w:pPr>
              <w:spacing w:after="0"/>
              <w:rPr>
                <w:sz w:val="9"/>
                <w:szCs w:val="9"/>
                <w:color w:val="auto"/>
              </w:rPr>
            </w:pPr>
          </w:p>
        </w:tc>
        <w:tc>
          <w:tcPr>
            <w:tcW w:w="94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98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1820" w:type="dxa"/>
            <w:vAlign w:val="bottom"/>
          </w:tcPr>
          <w:p>
            <w:pPr>
              <w:ind w:left="20"/>
              <w:spacing w:after="0"/>
              <w:rPr>
                <w:sz w:val="20"/>
                <w:szCs w:val="20"/>
                <w:color w:val="auto"/>
              </w:rPr>
            </w:pPr>
            <w:r>
              <w:rPr>
                <w:rFonts w:ascii="Arial" w:cs="Arial" w:eastAsia="Arial" w:hAnsi="Arial"/>
                <w:sz w:val="14"/>
                <w:szCs w:val="14"/>
                <w:b w:val="1"/>
                <w:bCs w:val="1"/>
                <w:color w:val="auto"/>
              </w:rPr>
              <w:t>percentages)</w:t>
            </w:r>
          </w:p>
        </w:tc>
        <w:tc>
          <w:tcPr>
            <w:tcW w:w="1300" w:type="dxa"/>
            <w:vAlign w:val="bottom"/>
            <w:gridSpan w:val="3"/>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300" w:type="dxa"/>
            <w:vAlign w:val="bottom"/>
            <w:gridSpan w:val="3"/>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1820" w:type="dxa"/>
            <w:vAlign w:val="bottom"/>
            <w:tcBorders>
              <w:top w:val="single" w:sz="8" w:color="CCEEFF"/>
            </w:tcBorders>
            <w:shd w:val="clear" w:color="auto" w:fill="CCEEFF"/>
          </w:tcPr>
          <w:p>
            <w:pPr>
              <w:ind w:left="20"/>
              <w:spacing w:after="0" w:line="145" w:lineRule="exact"/>
              <w:rPr>
                <w:sz w:val="20"/>
                <w:szCs w:val="20"/>
                <w:color w:val="auto"/>
              </w:rPr>
            </w:pPr>
            <w:r>
              <w:rPr>
                <w:rFonts w:ascii="Arial" w:cs="Arial" w:eastAsia="Arial" w:hAnsi="Arial"/>
                <w:sz w:val="16"/>
                <w:szCs w:val="16"/>
                <w:color w:val="auto"/>
              </w:rPr>
              <w:t>Restructuring charges</w:t>
            </w:r>
          </w:p>
        </w:tc>
        <w:tc>
          <w:tcPr>
            <w:tcW w:w="500" w:type="dxa"/>
            <w:vAlign w:val="bottom"/>
            <w:tcBorders>
              <w:top w:val="single" w:sz="8" w:color="auto"/>
            </w:tcBorders>
            <w:vMerge w:val="restart"/>
            <w:shd w:val="clear" w:color="auto" w:fill="CCEEFF"/>
          </w:tcPr>
          <w:p>
            <w:pPr>
              <w:jc w:val="right"/>
              <w:ind w:right="326"/>
              <w:spacing w:after="0"/>
              <w:rPr>
                <w:sz w:val="20"/>
                <w:szCs w:val="20"/>
                <w:color w:val="auto"/>
              </w:rPr>
            </w:pPr>
            <w:r>
              <w:rPr>
                <w:rFonts w:ascii="Arial" w:cs="Arial" w:eastAsia="Arial" w:hAnsi="Arial"/>
                <w:sz w:val="16"/>
                <w:szCs w:val="16"/>
                <w:color w:val="auto"/>
                <w:w w:val="89"/>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928</w:t>
            </w:r>
          </w:p>
        </w:tc>
        <w:tc>
          <w:tcPr>
            <w:tcW w:w="100" w:type="dxa"/>
            <w:vAlign w:val="bottom"/>
            <w:tcBorders>
              <w:top w:val="single" w:sz="8" w:color="CCEEFF"/>
            </w:tcBorders>
            <w:shd w:val="clear" w:color="auto" w:fill="CCEEFF"/>
          </w:tcPr>
          <w:p>
            <w:pPr>
              <w:spacing w:after="0"/>
              <w:rPr>
                <w:sz w:val="12"/>
                <w:szCs w:val="12"/>
                <w:color w:val="auto"/>
              </w:rPr>
            </w:pPr>
          </w:p>
        </w:tc>
        <w:tc>
          <w:tcPr>
            <w:tcW w:w="240" w:type="dxa"/>
            <w:vAlign w:val="bottom"/>
            <w:tcBorders>
              <w:top w:val="single" w:sz="8" w:color="auto"/>
            </w:tcBorders>
            <w:vMerge w:val="restart"/>
            <w:shd w:val="clear" w:color="auto" w:fill="CCEEFF"/>
          </w:tcPr>
          <w:p>
            <w:pPr>
              <w:jc w:val="right"/>
              <w:ind w:right="66"/>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(960)</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1,888</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tcBorders>
              <w:top w:val="single" w:sz="8" w:color="CCEEFF"/>
            </w:tcBorders>
            <w:shd w:val="clear" w:color="auto" w:fill="CCEEFF"/>
          </w:tcPr>
          <w:p>
            <w:pPr>
              <w:spacing w:after="0"/>
              <w:rPr>
                <w:sz w:val="12"/>
                <w:szCs w:val="12"/>
                <w:color w:val="auto"/>
              </w:rPr>
            </w:pPr>
          </w:p>
        </w:tc>
        <w:tc>
          <w:tcPr>
            <w:tcW w:w="440" w:type="dxa"/>
            <w:vAlign w:val="bottom"/>
            <w:tcBorders>
              <w:top w:val="single" w:sz="8" w:color="auto"/>
            </w:tcBorders>
            <w:vMerge w:val="restart"/>
            <w:shd w:val="clear" w:color="auto" w:fill="CCEEFF"/>
          </w:tcPr>
          <w:p>
            <w:pPr>
              <w:jc w:val="right"/>
              <w:ind w:right="266"/>
              <w:spacing w:after="0"/>
              <w:rPr>
                <w:sz w:val="20"/>
                <w:szCs w:val="20"/>
                <w:color w:val="auto"/>
              </w:rPr>
            </w:pPr>
            <w:r>
              <w:rPr>
                <w:rFonts w:ascii="Arial" w:cs="Arial" w:eastAsia="Arial" w:hAnsi="Arial"/>
                <w:sz w:val="16"/>
                <w:szCs w:val="16"/>
                <w:color w:val="auto"/>
                <w:w w:val="89"/>
              </w:rPr>
              <w:t>$</w:t>
            </w:r>
          </w:p>
        </w:tc>
        <w:tc>
          <w:tcPr>
            <w:tcW w:w="7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2,878</w:t>
            </w:r>
          </w:p>
        </w:tc>
        <w:tc>
          <w:tcPr>
            <w:tcW w:w="10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vMerge w:val="restart"/>
            <w:shd w:val="clear" w:color="auto" w:fill="CCEEFF"/>
          </w:tcPr>
          <w:p>
            <w:pPr>
              <w:jc w:val="right"/>
              <w:ind w:right="129"/>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(301)</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3,179</w:t>
            </w:r>
          </w:p>
        </w:tc>
        <w:tc>
          <w:tcPr>
            <w:tcW w:w="100" w:type="dxa"/>
            <w:vAlign w:val="bottom"/>
            <w:tcBorders>
              <w:top w:val="single" w:sz="8" w:color="CCEEFF"/>
            </w:tcBorders>
            <w:shd w:val="clear" w:color="auto" w:fill="CCEEFF"/>
          </w:tcPr>
          <w:p>
            <w:pPr>
              <w:spacing w:after="0"/>
              <w:rPr>
                <w:sz w:val="12"/>
                <w:szCs w:val="12"/>
                <w:color w:val="auto"/>
              </w:rPr>
            </w:pP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1820" w:type="dxa"/>
            <w:vAlign w:val="bottom"/>
            <w:shd w:val="clear" w:color="auto" w:fill="CCEEFF"/>
          </w:tcPr>
          <w:p>
            <w:pPr>
              <w:ind w:left="20"/>
              <w:spacing w:after="0"/>
              <w:rPr>
                <w:sz w:val="20"/>
                <w:szCs w:val="20"/>
                <w:color w:val="auto"/>
              </w:rPr>
            </w:pPr>
            <w:r>
              <w:rPr>
                <w:rFonts w:ascii="Arial" w:cs="Arial" w:eastAsia="Arial" w:hAnsi="Arial"/>
                <w:sz w:val="16"/>
                <w:szCs w:val="16"/>
                <w:color w:val="auto"/>
              </w:rPr>
              <w:t>(recovery)</w:t>
            </w:r>
          </w:p>
        </w:tc>
        <w:tc>
          <w:tcPr>
            <w:tcW w:w="50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vMerge w:val="continue"/>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bl>
    <w:p>
      <w:pPr>
        <w:spacing w:after="0" w:line="3" w:lineRule="exact"/>
        <w:rPr>
          <w:sz w:val="20"/>
          <w:szCs w:val="20"/>
          <w:color w:val="auto"/>
        </w:rPr>
      </w:pPr>
    </w:p>
    <w:p>
      <w:pPr>
        <w:ind w:left="320" w:hanging="298"/>
        <w:spacing w:after="0"/>
        <w:tabs>
          <w:tab w:leader="none" w:pos="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Percentage not meaningful</w:t>
      </w:r>
    </w:p>
    <w:p>
      <w:pPr>
        <w:spacing w:after="0" w:line="245" w:lineRule="exact"/>
        <w:rPr>
          <w:sz w:val="20"/>
          <w:szCs w:val="20"/>
          <w:color w:val="auto"/>
        </w:rPr>
      </w:pPr>
    </w:p>
    <w:p>
      <w:pPr>
        <w:ind w:firstLine="470"/>
        <w:spacing w:after="0" w:line="256" w:lineRule="auto"/>
        <w:rPr>
          <w:sz w:val="20"/>
          <w:szCs w:val="20"/>
          <w:color w:val="auto"/>
        </w:rPr>
      </w:pPr>
      <w:r>
        <w:rPr>
          <w:rFonts w:ascii="Arial" w:cs="Arial" w:eastAsia="Arial" w:hAnsi="Arial"/>
          <w:sz w:val="17"/>
          <w:szCs w:val="17"/>
          <w:color w:val="auto"/>
        </w:rPr>
        <w:t>In the second quarter of fiscal 2023, we recorded restructuring charges of $0.9 million primarily related to the Q2 2023 Plan. For the six months ended fiscal 2023 we recorded restructuring charges related to the Q1 2023 Plan and Q2 2023 Plan.</w:t>
      </w:r>
    </w:p>
    <w:p>
      <w:pPr>
        <w:spacing w:after="0" w:line="1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Expense/Income, net</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8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80" w:type="dxa"/>
            <w:vAlign w:val="bottom"/>
            <w:gridSpan w:val="5"/>
          </w:tcPr>
          <w:p>
            <w:pPr>
              <w:ind w:left="180"/>
              <w:spacing w:after="0"/>
              <w:rPr>
                <w:sz w:val="20"/>
                <w:szCs w:val="20"/>
                <w:color w:val="auto"/>
              </w:rPr>
            </w:pPr>
            <w:r>
              <w:rPr>
                <w:rFonts w:ascii="Arial" w:cs="Arial" w:eastAsia="Arial" w:hAnsi="Arial"/>
                <w:sz w:val="14"/>
                <w:szCs w:val="14"/>
                <w:b w:val="1"/>
                <w:bCs w:val="1"/>
                <w:color w:val="auto"/>
              </w:rPr>
              <w:t>Three Months Ended</w:t>
            </w: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80" w:type="dxa"/>
            <w:vAlign w:val="bottom"/>
            <w:gridSpan w:val="5"/>
          </w:tcPr>
          <w:p>
            <w:pPr>
              <w:ind w:left="180"/>
              <w:spacing w:after="0"/>
              <w:rPr>
                <w:sz w:val="20"/>
                <w:szCs w:val="20"/>
                <w:color w:val="auto"/>
              </w:rPr>
            </w:pPr>
            <w:r>
              <w:rPr>
                <w:rFonts w:ascii="Arial" w:cs="Arial" w:eastAsia="Arial" w:hAnsi="Arial"/>
                <w:sz w:val="14"/>
                <w:szCs w:val="14"/>
                <w:b w:val="1"/>
                <w:bCs w:val="1"/>
                <w:color w:val="auto"/>
              </w:rPr>
              <w:t>Six Months Ended</w:t>
            </w: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8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1840" w:type="dxa"/>
            <w:vAlign w:val="bottom"/>
          </w:tcPr>
          <w:p>
            <w:pPr>
              <w:ind w:left="20"/>
              <w:spacing w:after="0" w:line="127" w:lineRule="exact"/>
              <w:rPr>
                <w:sz w:val="20"/>
                <w:szCs w:val="20"/>
                <w:color w:val="auto"/>
              </w:rPr>
            </w:pPr>
            <w:r>
              <w:rPr>
                <w:rFonts w:ascii="Arial" w:cs="Arial" w:eastAsia="Arial" w:hAnsi="Arial"/>
                <w:sz w:val="14"/>
                <w:szCs w:val="14"/>
                <w:b w:val="1"/>
                <w:bCs w:val="1"/>
                <w:color w:val="auto"/>
              </w:rPr>
              <w:t>(In thousands, except</w:t>
            </w:r>
          </w:p>
        </w:tc>
        <w:tc>
          <w:tcPr>
            <w:tcW w:w="140" w:type="dxa"/>
            <w:vAlign w:val="bottom"/>
          </w:tcPr>
          <w:p>
            <w:pPr>
              <w:spacing w:after="0"/>
              <w:rPr>
                <w:sz w:val="11"/>
                <w:szCs w:val="11"/>
                <w:color w:val="auto"/>
              </w:rPr>
            </w:pPr>
          </w:p>
        </w:tc>
        <w:tc>
          <w:tcPr>
            <w:tcW w:w="1100" w:type="dxa"/>
            <w:vAlign w:val="bottom"/>
            <w:gridSpan w:val="2"/>
          </w:tcPr>
          <w:p>
            <w:pPr>
              <w:jc w:val="center"/>
              <w:ind w:right="240"/>
              <w:spacing w:after="0" w:line="127" w:lineRule="exact"/>
              <w:rPr>
                <w:sz w:val="20"/>
                <w:szCs w:val="20"/>
                <w:color w:val="auto"/>
              </w:rPr>
            </w:pPr>
            <w:r>
              <w:rPr>
                <w:rFonts w:ascii="Arial" w:cs="Arial" w:eastAsia="Arial" w:hAnsi="Arial"/>
                <w:sz w:val="14"/>
                <w:szCs w:val="14"/>
                <w:b w:val="1"/>
                <w:bCs w:val="1"/>
                <w:color w:val="auto"/>
                <w:w w:val="90"/>
              </w:rPr>
              <w:t>December 30,</w:t>
            </w:r>
          </w:p>
        </w:tc>
        <w:tc>
          <w:tcPr>
            <w:tcW w:w="11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0"/>
              </w:rPr>
              <w:t>December 31, 2021</w:t>
            </w:r>
          </w:p>
        </w:tc>
        <w:tc>
          <w:tcPr>
            <w:tcW w:w="10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vMerge w:val="restart"/>
          </w:tcPr>
          <w:p>
            <w:pPr>
              <w:jc w:val="right"/>
              <w:ind w:right="126"/>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1"/>
                <w:szCs w:val="11"/>
                <w:color w:val="auto"/>
              </w:rPr>
            </w:pPr>
          </w:p>
        </w:tc>
        <w:tc>
          <w:tcPr>
            <w:tcW w:w="106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rPr>
              <w:t>% Change</w:t>
            </w:r>
          </w:p>
        </w:tc>
        <w:tc>
          <w:tcPr>
            <w:tcW w:w="100" w:type="dxa"/>
            <w:vAlign w:val="bottom"/>
            <w:vMerge w:val="restart"/>
          </w:tcPr>
          <w:p>
            <w:pPr>
              <w:spacing w:after="0"/>
              <w:rPr>
                <w:sz w:val="11"/>
                <w:szCs w:val="11"/>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0"/>
              </w:rPr>
              <w:t>December 30, 2022</w:t>
            </w:r>
          </w:p>
        </w:tc>
        <w:tc>
          <w:tcPr>
            <w:tcW w:w="80" w:type="dxa"/>
            <w:vAlign w:val="bottom"/>
            <w:vMerge w:val="restart"/>
          </w:tcPr>
          <w:p>
            <w:pPr>
              <w:spacing w:after="0"/>
              <w:rPr>
                <w:sz w:val="11"/>
                <w:szCs w:val="11"/>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0"/>
              </w:rPr>
              <w:t>December 31, 2021</w:t>
            </w:r>
          </w:p>
        </w:tc>
        <w:tc>
          <w:tcPr>
            <w:tcW w:w="80" w:type="dxa"/>
            <w:vAlign w:val="bottom"/>
            <w:vMerge w:val="restart"/>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vMerge w:val="restart"/>
          </w:tcPr>
          <w:p>
            <w:pPr>
              <w:jc w:val="right"/>
              <w:ind w:right="146"/>
              <w:spacing w:after="0"/>
              <w:rPr>
                <w:sz w:val="20"/>
                <w:szCs w:val="20"/>
                <w:color w:val="auto"/>
              </w:rPr>
            </w:pPr>
            <w:r>
              <w:rPr>
                <w:rFonts w:ascii="Arial" w:cs="Arial" w:eastAsia="Arial" w:hAnsi="Arial"/>
                <w:sz w:val="14"/>
                <w:szCs w:val="14"/>
                <w:b w:val="1"/>
                <w:bCs w:val="1"/>
                <w:color w:val="auto"/>
                <w:w w:val="95"/>
              </w:rPr>
              <w:t>$ Change</w:t>
            </w:r>
          </w:p>
        </w:tc>
        <w:tc>
          <w:tcPr>
            <w:tcW w:w="100" w:type="dxa"/>
            <w:vAlign w:val="bottom"/>
            <w:vMerge w:val="restart"/>
          </w:tcPr>
          <w:p>
            <w:pPr>
              <w:spacing w:after="0"/>
              <w:rPr>
                <w:sz w:val="11"/>
                <w:szCs w:val="11"/>
                <w:color w:val="auto"/>
              </w:rPr>
            </w:pPr>
          </w:p>
        </w:tc>
        <w:tc>
          <w:tcPr>
            <w:tcW w:w="980" w:type="dxa"/>
            <w:vAlign w:val="bottom"/>
            <w:vMerge w:val="restart"/>
          </w:tcPr>
          <w:p>
            <w:pPr>
              <w:jc w:val="right"/>
              <w:ind w:right="106"/>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7"/>
        </w:trPr>
        <w:tc>
          <w:tcPr>
            <w:tcW w:w="184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percentages)</w:t>
            </w: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47"/>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0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8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19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89"/>
              </w:rPr>
              <w:t>Other (income)/expense, net $</w:t>
            </w:r>
          </w:p>
        </w:tc>
        <w:tc>
          <w:tcPr>
            <w:tcW w:w="10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8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ind w:right="2"/>
              <w:spacing w:after="0"/>
              <w:rPr>
                <w:sz w:val="20"/>
                <w:szCs w:val="20"/>
                <w:color w:val="auto"/>
              </w:rPr>
            </w:pPr>
            <w:r>
              <w:rPr>
                <w:rFonts w:ascii="Arial" w:cs="Arial" w:eastAsia="Arial" w:hAnsi="Arial"/>
                <w:sz w:val="16"/>
                <w:szCs w:val="16"/>
                <w:color w:val="auto"/>
              </w:rPr>
              <w:t>2,322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900" w:type="dxa"/>
            <w:vAlign w:val="bottom"/>
            <w:shd w:val="clear" w:color="auto" w:fill="CCEEFF"/>
          </w:tcPr>
          <w:p>
            <w:pPr>
              <w:jc w:val="right"/>
              <w:ind w:right="6"/>
              <w:spacing w:after="0"/>
              <w:rPr>
                <w:sz w:val="20"/>
                <w:szCs w:val="20"/>
                <w:color w:val="auto"/>
              </w:rPr>
            </w:pPr>
            <w:r>
              <w:rPr>
                <w:rFonts w:ascii="Arial" w:cs="Arial" w:eastAsia="Arial" w:hAnsi="Arial"/>
                <w:sz w:val="16"/>
                <w:szCs w:val="16"/>
                <w:color w:val="auto"/>
              </w:rPr>
              <w:t>212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2,110</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3" w:lineRule="exact"/>
        <w:rPr>
          <w:sz w:val="20"/>
          <w:szCs w:val="20"/>
          <w:color w:val="auto"/>
        </w:rPr>
      </w:pPr>
    </w:p>
    <w:p>
      <w:pPr>
        <w:ind w:left="320" w:hanging="298"/>
        <w:spacing w:after="0"/>
        <w:tabs>
          <w:tab w:leader="none" w:pos="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Percentage not meaningful</w:t>
      </w:r>
    </w:p>
    <w:p>
      <w:pPr>
        <w:spacing w:after="0" w:line="258"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Our other (income)/expense, net decreased by $(0.7) million and $2.1 million, in the three and six months ended fiscal 2023, respectively, compared with the same periods of fiscal 2022 primarily due to the movement in foreign exchange rates.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2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w:t>
            </w: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20" w:type="dxa"/>
            <w:vAlign w:val="bottom"/>
            <w:gridSpan w:val="5"/>
          </w:tcPr>
          <w:p>
            <w:pPr>
              <w:ind w:left="220"/>
              <w:spacing w:after="0"/>
              <w:rPr>
                <w:sz w:val="20"/>
                <w:szCs w:val="20"/>
                <w:color w:val="auto"/>
              </w:rPr>
            </w:pPr>
            <w:r>
              <w:rPr>
                <w:rFonts w:ascii="Arial" w:cs="Arial" w:eastAsia="Arial" w:hAnsi="Arial"/>
                <w:sz w:val="14"/>
                <w:szCs w:val="14"/>
                <w:b w:val="1"/>
                <w:bCs w:val="1"/>
                <w:color w:val="auto"/>
              </w:rPr>
              <w:t>Six Months Ended</w:t>
            </w:r>
          </w:p>
        </w:tc>
        <w:tc>
          <w:tcPr>
            <w:tcW w:w="1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7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(In thousands, except</w:t>
            </w: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4"/>
        </w:trPr>
        <w:tc>
          <w:tcPr>
            <w:tcW w:w="176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gridSpan w:val="2"/>
          </w:tcPr>
          <w:p>
            <w:pPr>
              <w:ind w:left="20"/>
              <w:spacing w:after="0" w:line="124" w:lineRule="exact"/>
              <w:rPr>
                <w:sz w:val="20"/>
                <w:szCs w:val="20"/>
                <w:color w:val="auto"/>
              </w:rPr>
            </w:pPr>
            <w:r>
              <w:rPr>
                <w:rFonts w:ascii="Arial" w:cs="Arial" w:eastAsia="Arial" w:hAnsi="Arial"/>
                <w:sz w:val="14"/>
                <w:szCs w:val="14"/>
                <w:b w:val="1"/>
                <w:bCs w:val="1"/>
                <w:color w:val="auto"/>
              </w:rPr>
              <w:t>December 30,</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December 31, 2021</w:t>
            </w:r>
          </w:p>
        </w:tc>
        <w:tc>
          <w:tcPr>
            <w:tcW w:w="160" w:type="dxa"/>
            <w:vAlign w:val="bottom"/>
          </w:tcPr>
          <w:p>
            <w:pPr>
              <w:spacing w:after="0"/>
              <w:rPr>
                <w:sz w:val="10"/>
                <w:szCs w:val="10"/>
                <w:color w:val="auto"/>
              </w:rPr>
            </w:pPr>
          </w:p>
        </w:tc>
        <w:tc>
          <w:tcPr>
            <w:tcW w:w="9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2"/>
            <w:vMerge w:val="restart"/>
          </w:tcPr>
          <w:p>
            <w:pPr>
              <w:ind w:left="280"/>
              <w:spacing w:after="0"/>
              <w:rPr>
                <w:sz w:val="20"/>
                <w:szCs w:val="20"/>
                <w:color w:val="auto"/>
              </w:rPr>
            </w:pPr>
            <w:r>
              <w:rPr>
                <w:rFonts w:ascii="Arial" w:cs="Arial" w:eastAsia="Arial" w:hAnsi="Arial"/>
                <w:sz w:val="14"/>
                <w:szCs w:val="14"/>
                <w:b w:val="1"/>
                <w:bCs w:val="1"/>
                <w:color w:val="auto"/>
              </w:rPr>
              <w:t>% Change</w:t>
            </w:r>
          </w:p>
        </w:tc>
        <w:tc>
          <w:tcPr>
            <w:tcW w:w="126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6"/>
              </w:rPr>
              <w:t>December 30, 2022</w:t>
            </w:r>
          </w:p>
        </w:tc>
        <w:tc>
          <w:tcPr>
            <w:tcW w:w="12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w w:val="96"/>
              </w:rPr>
              <w:t>December 31, 2021</w:t>
            </w:r>
          </w:p>
        </w:tc>
        <w:tc>
          <w:tcPr>
            <w:tcW w:w="140" w:type="dxa"/>
            <w:vAlign w:val="bottom"/>
          </w:tcPr>
          <w:p>
            <w:pPr>
              <w:spacing w:after="0"/>
              <w:rPr>
                <w:sz w:val="10"/>
                <w:szCs w:val="10"/>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 Change</w:t>
            </w:r>
          </w:p>
        </w:tc>
        <w:tc>
          <w:tcPr>
            <w:tcW w:w="1100" w:type="dxa"/>
            <w:vAlign w:val="bottom"/>
            <w:vMerge w:val="restart"/>
          </w:tcPr>
          <w:p>
            <w:pPr>
              <w:jc w:val="right"/>
              <w:ind w:right="145"/>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89"/>
        </w:trPr>
        <w:tc>
          <w:tcPr>
            <w:tcW w:w="1760" w:type="dxa"/>
            <w:vAlign w:val="bottom"/>
          </w:tcPr>
          <w:p>
            <w:pPr>
              <w:ind w:left="20"/>
              <w:spacing w:after="0"/>
              <w:rPr>
                <w:sz w:val="20"/>
                <w:szCs w:val="20"/>
                <w:color w:val="auto"/>
              </w:rPr>
            </w:pPr>
            <w:r>
              <w:rPr>
                <w:rFonts w:ascii="Arial" w:cs="Arial" w:eastAsia="Arial" w:hAnsi="Arial"/>
                <w:sz w:val="14"/>
                <w:szCs w:val="14"/>
                <w:b w:val="1"/>
                <w:bCs w:val="1"/>
                <w:color w:val="auto"/>
              </w:rPr>
              <w:t>percentages)</w:t>
            </w:r>
          </w:p>
        </w:tc>
        <w:tc>
          <w:tcPr>
            <w:tcW w:w="120" w:type="dxa"/>
            <w:vAlign w:val="bottom"/>
          </w:tcPr>
          <w:p>
            <w:pPr>
              <w:spacing w:after="0"/>
              <w:rPr>
                <w:sz w:val="16"/>
                <w:szCs w:val="16"/>
                <w:color w:val="auto"/>
              </w:rPr>
            </w:pPr>
          </w:p>
        </w:tc>
        <w:tc>
          <w:tcPr>
            <w:tcW w:w="980" w:type="dxa"/>
            <w:vAlign w:val="bottom"/>
          </w:tcPr>
          <w:p>
            <w:pPr>
              <w:jc w:val="right"/>
              <w:ind w:right="326"/>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6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1260" w:type="dxa"/>
            <w:vAlign w:val="bottom"/>
            <w:gridSpan w:val="3"/>
            <w:vMerge w:val="continue"/>
          </w:tcPr>
          <w:p>
            <w:pPr>
              <w:spacing w:after="0"/>
              <w:rPr>
                <w:sz w:val="16"/>
                <w:szCs w:val="16"/>
                <w:color w:val="auto"/>
              </w:rPr>
            </w:pPr>
          </w:p>
        </w:tc>
        <w:tc>
          <w:tcPr>
            <w:tcW w:w="12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1760" w:type="dxa"/>
            <w:vAlign w:val="bottom"/>
            <w:tcBorders>
              <w:top w:val="single" w:sz="8" w:color="CCEEFF"/>
            </w:tcBorders>
            <w:shd w:val="clear" w:color="auto" w:fill="CCEEFF"/>
          </w:tcPr>
          <w:p>
            <w:pPr>
              <w:ind w:left="20"/>
              <w:spacing w:after="0" w:line="147" w:lineRule="exact"/>
              <w:rPr>
                <w:sz w:val="20"/>
                <w:szCs w:val="20"/>
                <w:color w:val="auto"/>
              </w:rPr>
            </w:pPr>
            <w:r>
              <w:rPr>
                <w:rFonts w:ascii="Arial" w:cs="Arial" w:eastAsia="Arial" w:hAnsi="Arial"/>
                <w:sz w:val="16"/>
                <w:szCs w:val="16"/>
                <w:color w:val="auto"/>
              </w:rPr>
              <w:t>Income before income</w:t>
            </w: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9,138</w:t>
            </w:r>
          </w:p>
        </w:tc>
        <w:tc>
          <w:tcPr>
            <w:tcW w:w="100" w:type="dxa"/>
            <w:vAlign w:val="bottom"/>
            <w:tcBorders>
              <w:top w:val="single" w:sz="8" w:color="CCEEFF"/>
            </w:tcBorders>
            <w:shd w:val="clear" w:color="auto" w:fill="CCEEFF"/>
          </w:tcPr>
          <w:p>
            <w:pPr>
              <w:spacing w:after="0"/>
              <w:rPr>
                <w:sz w:val="12"/>
                <w:szCs w:val="12"/>
                <w:color w:val="auto"/>
              </w:rPr>
            </w:pPr>
          </w:p>
        </w:tc>
        <w:tc>
          <w:tcPr>
            <w:tcW w:w="30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8,968</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vMerge w:val="restart"/>
            <w:shd w:val="clear" w:color="auto" w:fill="CCEEFF"/>
          </w:tcPr>
          <w:p>
            <w:pPr>
              <w:jc w:val="right"/>
              <w:ind w:right="5"/>
              <w:spacing w:after="0"/>
              <w:rPr>
                <w:sz w:val="20"/>
                <w:szCs w:val="20"/>
                <w:color w:val="auto"/>
              </w:rPr>
            </w:pPr>
            <w:r>
              <w:rPr>
                <w:rFonts w:ascii="Arial" w:cs="Arial" w:eastAsia="Arial" w:hAnsi="Arial"/>
                <w:sz w:val="16"/>
                <w:szCs w:val="16"/>
                <w:color w:val="auto"/>
              </w:rPr>
              <w:t>170</w:t>
            </w:r>
          </w:p>
        </w:tc>
        <w:tc>
          <w:tcPr>
            <w:tcW w:w="80" w:type="dxa"/>
            <w:vAlign w:val="bottom"/>
            <w:tcBorders>
              <w:top w:val="single" w:sz="8" w:color="CCEEFF"/>
            </w:tcBorders>
            <w:shd w:val="clear" w:color="auto" w:fill="CCEEFF"/>
          </w:tcPr>
          <w:p>
            <w:pPr>
              <w:spacing w:after="0"/>
              <w:rPr>
                <w:sz w:val="12"/>
                <w:szCs w:val="12"/>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1.9 %</w:t>
            </w:r>
          </w:p>
        </w:tc>
        <w:tc>
          <w:tcPr>
            <w:tcW w:w="100" w:type="dxa"/>
            <w:vAlign w:val="bottom"/>
            <w:tcBorders>
              <w:top w:val="single" w:sz="8" w:color="CCEEFF"/>
            </w:tcBorders>
            <w:shd w:val="clear" w:color="auto" w:fill="CCEEFF"/>
          </w:tcPr>
          <w:p>
            <w:pPr>
              <w:spacing w:after="0"/>
              <w:rPr>
                <w:sz w:val="12"/>
                <w:szCs w:val="12"/>
                <w:color w:val="auto"/>
              </w:rPr>
            </w:pPr>
          </w:p>
        </w:tc>
        <w:tc>
          <w:tcPr>
            <w:tcW w:w="38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shd w:val="clear" w:color="auto" w:fill="CCEEFF"/>
          </w:tcPr>
          <w:p>
            <w:pPr>
              <w:jc w:val="right"/>
              <w:ind w:right="2"/>
              <w:spacing w:after="0"/>
              <w:rPr>
                <w:sz w:val="20"/>
                <w:szCs w:val="20"/>
                <w:color w:val="auto"/>
              </w:rPr>
            </w:pPr>
            <w:r>
              <w:rPr>
                <w:rFonts w:ascii="Arial" w:cs="Arial" w:eastAsia="Arial" w:hAnsi="Arial"/>
                <w:sz w:val="16"/>
                <w:szCs w:val="16"/>
                <w:color w:val="auto"/>
              </w:rPr>
              <w:t>10,269</w:t>
            </w:r>
          </w:p>
        </w:tc>
        <w:tc>
          <w:tcPr>
            <w:tcW w:w="8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15,810</w:t>
            </w:r>
          </w:p>
        </w:tc>
        <w:tc>
          <w:tcPr>
            <w:tcW w:w="1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(5,541)</w:t>
            </w:r>
          </w:p>
        </w:tc>
        <w:tc>
          <w:tcPr>
            <w:tcW w:w="80" w:type="dxa"/>
            <w:vAlign w:val="bottom"/>
            <w:tcBorders>
              <w:top w:val="single" w:sz="8" w:color="CCEEFF"/>
            </w:tcBorders>
            <w:shd w:val="clear" w:color="auto" w:fill="CCEEFF"/>
          </w:tcPr>
          <w:p>
            <w:pPr>
              <w:spacing w:after="0"/>
              <w:rPr>
                <w:sz w:val="12"/>
                <w:szCs w:val="12"/>
                <w:color w:val="auto"/>
              </w:rPr>
            </w:pP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06"/>
        </w:trPr>
        <w:tc>
          <w:tcPr>
            <w:tcW w:w="1760" w:type="dxa"/>
            <w:vAlign w:val="bottom"/>
            <w:shd w:val="clear" w:color="auto" w:fill="CCEEFF"/>
          </w:tcPr>
          <w:p>
            <w:pPr>
              <w:ind w:left="20"/>
              <w:spacing w:after="0"/>
              <w:rPr>
                <w:sz w:val="20"/>
                <w:szCs w:val="20"/>
                <w:color w:val="auto"/>
              </w:rPr>
            </w:pPr>
            <w:r>
              <w:rPr>
                <w:rFonts w:ascii="Arial" w:cs="Arial" w:eastAsia="Arial" w:hAnsi="Arial"/>
                <w:sz w:val="16"/>
                <w:szCs w:val="16"/>
                <w:color w:val="auto"/>
              </w:rPr>
              <w:t>taxes</w:t>
            </w:r>
          </w:p>
        </w:tc>
        <w:tc>
          <w:tcPr>
            <w:tcW w:w="120" w:type="dxa"/>
            <w:vAlign w:val="bottom"/>
            <w:vMerge w:val="continue"/>
            <w:shd w:val="clear" w:color="auto" w:fill="CCEEFF"/>
          </w:tcPr>
          <w:p>
            <w:pPr>
              <w:spacing w:after="0"/>
              <w:rPr>
                <w:sz w:val="17"/>
                <w:szCs w:val="17"/>
                <w:color w:val="auto"/>
              </w:rPr>
            </w:pPr>
          </w:p>
        </w:tc>
        <w:tc>
          <w:tcPr>
            <w:tcW w:w="98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vMerge w:val="continue"/>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vMerge w:val="continue"/>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8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20" w:type="dxa"/>
            <w:vAlign w:val="bottom"/>
            <w:vMerge w:val="continue"/>
            <w:shd w:val="clear" w:color="auto" w:fill="CCEEFF"/>
          </w:tcPr>
          <w:p>
            <w:pPr>
              <w:spacing w:after="0"/>
              <w:rPr>
                <w:sz w:val="17"/>
                <w:szCs w:val="17"/>
                <w:color w:val="auto"/>
              </w:rPr>
            </w:pPr>
          </w:p>
        </w:tc>
        <w:tc>
          <w:tcPr>
            <w:tcW w:w="8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880" w:type="dxa"/>
            <w:vAlign w:val="bottom"/>
            <w:gridSpan w:val="2"/>
          </w:tcPr>
          <w:p>
            <w:pPr>
              <w:ind w:left="20"/>
              <w:spacing w:after="0"/>
              <w:rPr>
                <w:sz w:val="20"/>
                <w:szCs w:val="20"/>
                <w:color w:val="auto"/>
              </w:rPr>
            </w:pPr>
            <w:r>
              <w:rPr>
                <w:rFonts w:ascii="Arial" w:cs="Arial" w:eastAsia="Arial" w:hAnsi="Arial"/>
                <w:sz w:val="16"/>
                <w:szCs w:val="16"/>
                <w:color w:val="auto"/>
                <w:w w:val="91"/>
              </w:rPr>
              <w:t>Provision for income taxes $</w:t>
            </w:r>
          </w:p>
        </w:tc>
        <w:tc>
          <w:tcPr>
            <w:tcW w:w="980" w:type="dxa"/>
            <w:vAlign w:val="bottom"/>
          </w:tcPr>
          <w:p>
            <w:pPr>
              <w:jc w:val="right"/>
              <w:spacing w:after="0"/>
              <w:rPr>
                <w:sz w:val="20"/>
                <w:szCs w:val="20"/>
                <w:color w:val="auto"/>
              </w:rPr>
            </w:pPr>
            <w:r>
              <w:rPr>
                <w:rFonts w:ascii="Arial" w:cs="Arial" w:eastAsia="Arial" w:hAnsi="Arial"/>
                <w:sz w:val="16"/>
                <w:szCs w:val="16"/>
                <w:color w:val="auto"/>
              </w:rPr>
              <w:t>3,092</w:t>
            </w:r>
          </w:p>
        </w:tc>
        <w:tc>
          <w:tcPr>
            <w:tcW w:w="100" w:type="dxa"/>
            <w:vAlign w:val="bottom"/>
          </w:tcPr>
          <w:p>
            <w:pPr>
              <w:spacing w:after="0"/>
              <w:rPr>
                <w:sz w:val="17"/>
                <w:szCs w:val="17"/>
                <w:color w:val="auto"/>
              </w:rPr>
            </w:pPr>
          </w:p>
        </w:tc>
        <w:tc>
          <w:tcPr>
            <w:tcW w:w="300" w:type="dxa"/>
            <w:vAlign w:val="bottom"/>
          </w:tcPr>
          <w:p>
            <w:pPr>
              <w:ind w:left="20"/>
              <w:spacing w:after="0"/>
              <w:rPr>
                <w:sz w:val="20"/>
                <w:szCs w:val="20"/>
                <w:color w:val="auto"/>
              </w:rPr>
            </w:pPr>
            <w:r>
              <w:rPr>
                <w:rFonts w:ascii="Arial" w:cs="Arial" w:eastAsia="Arial" w:hAnsi="Arial"/>
                <w:sz w:val="16"/>
                <w:szCs w:val="16"/>
                <w:color w:val="auto"/>
              </w:rPr>
              <w:t>$</w:t>
            </w:r>
          </w:p>
        </w:tc>
        <w:tc>
          <w:tcPr>
            <w:tcW w:w="880" w:type="dxa"/>
            <w:vAlign w:val="bottom"/>
          </w:tcPr>
          <w:p>
            <w:pPr>
              <w:jc w:val="right"/>
              <w:ind w:right="5"/>
              <w:spacing w:after="0"/>
              <w:rPr>
                <w:sz w:val="20"/>
                <w:szCs w:val="20"/>
                <w:color w:val="auto"/>
              </w:rPr>
            </w:pPr>
            <w:r>
              <w:rPr>
                <w:rFonts w:ascii="Arial" w:cs="Arial" w:eastAsia="Arial" w:hAnsi="Arial"/>
                <w:sz w:val="16"/>
                <w:szCs w:val="16"/>
                <w:color w:val="auto"/>
              </w:rPr>
              <w:t>3,052</w:t>
            </w:r>
          </w:p>
        </w:tc>
        <w:tc>
          <w:tcPr>
            <w:tcW w:w="8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5"/>
              <w:spacing w:after="0"/>
              <w:rPr>
                <w:sz w:val="20"/>
                <w:szCs w:val="20"/>
                <w:color w:val="auto"/>
              </w:rPr>
            </w:pPr>
            <w:r>
              <w:rPr>
                <w:rFonts w:ascii="Arial" w:cs="Arial" w:eastAsia="Arial" w:hAnsi="Arial"/>
                <w:sz w:val="16"/>
                <w:szCs w:val="16"/>
                <w:color w:val="auto"/>
              </w:rPr>
              <w:t>40</w:t>
            </w: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1.3 %</w:t>
            </w:r>
          </w:p>
        </w:tc>
        <w:tc>
          <w:tcPr>
            <w:tcW w:w="100" w:type="dxa"/>
            <w:vAlign w:val="bottom"/>
          </w:tcPr>
          <w:p>
            <w:pPr>
              <w:spacing w:after="0"/>
              <w:rPr>
                <w:sz w:val="17"/>
                <w:szCs w:val="17"/>
                <w:color w:val="auto"/>
              </w:rPr>
            </w:pPr>
          </w:p>
        </w:tc>
        <w:tc>
          <w:tcPr>
            <w:tcW w:w="380" w:type="dxa"/>
            <w:vAlign w:val="bottom"/>
          </w:tcPr>
          <w:p>
            <w:pPr>
              <w:ind w:left="20"/>
              <w:spacing w:after="0"/>
              <w:rPr>
                <w:sz w:val="20"/>
                <w:szCs w:val="20"/>
                <w:color w:val="auto"/>
              </w:rPr>
            </w:pPr>
            <w:r>
              <w:rPr>
                <w:rFonts w:ascii="Arial" w:cs="Arial" w:eastAsia="Arial" w:hAnsi="Arial"/>
                <w:sz w:val="16"/>
                <w:szCs w:val="16"/>
                <w:color w:val="auto"/>
              </w:rPr>
              <w:t>$</w:t>
            </w:r>
          </w:p>
        </w:tc>
        <w:tc>
          <w:tcPr>
            <w:tcW w:w="800" w:type="dxa"/>
            <w:vAlign w:val="bottom"/>
          </w:tcPr>
          <w:p>
            <w:pPr>
              <w:jc w:val="right"/>
              <w:ind w:right="2"/>
              <w:spacing w:after="0"/>
              <w:rPr>
                <w:sz w:val="20"/>
                <w:szCs w:val="20"/>
                <w:color w:val="auto"/>
              </w:rPr>
            </w:pPr>
            <w:r>
              <w:rPr>
                <w:rFonts w:ascii="Arial" w:cs="Arial" w:eastAsia="Arial" w:hAnsi="Arial"/>
                <w:sz w:val="16"/>
                <w:szCs w:val="16"/>
                <w:color w:val="auto"/>
              </w:rPr>
              <w:t>6,969</w:t>
            </w:r>
          </w:p>
        </w:tc>
        <w:tc>
          <w:tcPr>
            <w:tcW w:w="80" w:type="dxa"/>
            <w:vAlign w:val="bottom"/>
          </w:tcPr>
          <w:p>
            <w:pPr>
              <w:spacing w:after="0"/>
              <w:rPr>
                <w:sz w:val="17"/>
                <w:szCs w:val="17"/>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5,212</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5"/>
              <w:spacing w:after="0"/>
              <w:rPr>
                <w:sz w:val="20"/>
                <w:szCs w:val="20"/>
                <w:color w:val="auto"/>
              </w:rPr>
            </w:pPr>
            <w:r>
              <w:rPr>
                <w:rFonts w:ascii="Arial" w:cs="Arial" w:eastAsia="Arial" w:hAnsi="Arial"/>
                <w:sz w:val="16"/>
                <w:szCs w:val="16"/>
                <w:color w:val="auto"/>
              </w:rPr>
              <w:t>1,757</w:t>
            </w:r>
          </w:p>
        </w:tc>
        <w:tc>
          <w:tcPr>
            <w:tcW w:w="8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33.7 %</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We estimate our annual effective tax rate at the end of each quarterly period, and we record the tax effect of certain discrete items in the interim period in which they occur, including changes in judgment about uncertain tax positions and deferred tax valuation allowances.</w:t>
      </w:r>
    </w:p>
    <w:p>
      <w:pPr>
        <w:spacing w:after="0" w:line="171" w:lineRule="exact"/>
        <w:rPr>
          <w:sz w:val="20"/>
          <w:szCs w:val="20"/>
          <w:color w:val="auto"/>
        </w:rPr>
      </w:pPr>
    </w:p>
    <w:p>
      <w:pPr>
        <w:jc w:val="both"/>
        <w:ind w:firstLine="470"/>
        <w:spacing w:after="0" w:line="256" w:lineRule="auto"/>
        <w:rPr>
          <w:sz w:val="20"/>
          <w:szCs w:val="20"/>
          <w:color w:val="auto"/>
        </w:rPr>
      </w:pPr>
      <w:r>
        <w:rPr>
          <w:rFonts w:ascii="Arial" w:cs="Arial" w:eastAsia="Arial" w:hAnsi="Arial"/>
          <w:sz w:val="17"/>
          <w:szCs w:val="17"/>
          <w:color w:val="auto"/>
        </w:rPr>
        <w:t>The tax expense for the second quarter of fiscal 2023 was primarily due to the tax expense related to U.S. and profitable foreign subsidiaries. The tax expense for the first six months of fiscal 2023 was primarily due to the tax expense related to U.S. and profitable foreign subsidiaries, including deferred tax expense associated with our acquisition of Redline in July 2022 and subsequent restructuring impact. See Note 10: Acquisition.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30" w:name="page31"/>
    <w:bookmarkEnd w:id="30"/>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Capital Resources, and Financial Strategies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of Cash</w:t>
      </w:r>
    </w:p>
    <w:p>
      <w:pPr>
        <w:spacing w:after="0" w:line="170"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As of December 30, 2022, our total cash and cash equivalents were $21.4 million. Approximately $7.1 million, or 33.4%, was held in the United States. The remaining balance of $14.3 million, or 66.6%, was held by entities outside the United States. Of the amount of cash and cash equivalents held by our foreign subsidiaries on December 30, 2022, $13.3 million was held in jurisdictions where our undistributed earnings are indefinitely reinvested, and if repatriated, would be subject to foreign withholding taxes.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Activities</w:t>
      </w:r>
    </w:p>
    <w:p>
      <w:pPr>
        <w:spacing w:after="0" w:line="170"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Cash provided by or used in operating activities is presented as net income adjusted for non-cash items and changes in operating assets and liabilities. Net cash used in operating activities was $8.4 million for the first six months of fiscal 2023, compared to $2.2 million cash used in operations for the first six months of fiscal 2022; this difference was primarily related to a net change in Other Assets and Liabilities, Accrued Expenses, Inventories, Advance Payments and Unearned Revenue, partially offset by the net change in Accounts Receivable. Net cash provided by noncash items was $15.5 million for the first six months of 2023. The net changes in operating assets and liabilities resulted in a net use of cash of $27.1 million for the first six months of fiscal 2023, compared to net use of cash of $21.1 million for the same period in fiscal 2022.</w:t>
      </w:r>
    </w:p>
    <w:p>
      <w:pPr>
        <w:spacing w:after="0" w:line="126"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Changes in operating assets and liabilities resulted in a net use of cash for the first six months of fiscal 2023 primarily related to Accounts Receivable that fluctuate from period to period, depending on the amount and timing of sales, billing activities and cash collections; and an increase in certain levels of inventories and prepaid deposits to mitigate supply chain constraints. The use of cash from assets and liabilities was partially offset by the timing of payments from Accounts Payable and by customer Advance Payments and Unearned Revenue.</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Investing Activities</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Net cash used in investing activities was $7.3 million and $0.8 million for the first six months of fiscal 2023 and 2022, respectively, which consisted of the Redline acquisition and capital expenditures offset by proceeds from the sale of marketable securities.</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Financing Activities</w:t>
      </w:r>
    </w:p>
    <w:p>
      <w:pPr>
        <w:spacing w:after="0" w:line="170"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Financing cash flows consist primarily of borrowings and repayments of short-term debt, repurchase of stock and proceeds from the sale of shares of common stock through employee equity plans. Net cash provided by financing activities was $0.1 million for the first six months of fiscal 2023, primarily from cash proceeds from the issuance of common stock under employee stock plans of $0.7 million partially offset by payments for taxes related to settlement of equity awards of $0.7 million. Net cash used in financing activities was $2.4 million for the first six months of fiscal 2022, primarily due to the repurchase of common stock of $(2.6) million partially offset by cash proceeds from the issuance of common stock under employee stock plans of $0.6.</w:t>
      </w:r>
    </w:p>
    <w:p>
      <w:pPr>
        <w:spacing w:after="0" w:line="114" w:lineRule="exact"/>
        <w:rPr>
          <w:sz w:val="20"/>
          <w:szCs w:val="20"/>
          <w:color w:val="auto"/>
        </w:rPr>
      </w:pPr>
    </w:p>
    <w:p>
      <w:pPr>
        <w:jc w:val="both"/>
        <w:ind w:firstLine="470"/>
        <w:spacing w:after="0" w:line="261" w:lineRule="auto"/>
        <w:rPr>
          <w:sz w:val="20"/>
          <w:szCs w:val="20"/>
          <w:color w:val="auto"/>
        </w:rPr>
      </w:pPr>
      <w:r>
        <w:rPr>
          <w:rFonts w:ascii="Arial" w:cs="Arial" w:eastAsia="Arial" w:hAnsi="Arial"/>
          <w:sz w:val="17"/>
          <w:szCs w:val="17"/>
          <w:color w:val="auto"/>
        </w:rPr>
        <w:t>As of December 30, 2022, our principal sources of liquidity consisted of $21.4 million in cash and cash equivalents; $22.0 million of available credit under our $25.0 million SVB Credit Facility, which matures on June 28, 2024, and future collections of receivables from customers. We regularly require letters of credit from certain customers, and, from time to time, these letters of credit are discounted without recourse shortly after shipment occurs in order to meet immediate liquidity requirements and to reduce our credit and sovereign risk. Historically, our primary sources of liquidity have been cash flows from operations and credit facilities. Additionally, we have an effective shelf registration statement on Form S-3 allowing us to offer and sell, either individually or in combination, in one or more offerings, up to a total dollar amount of $200 million of any combination of the securities described in the shelf registration statement or a related prospectus supplement.</w:t>
      </w:r>
    </w:p>
    <w:p>
      <w:pPr>
        <w:spacing w:after="0" w:line="132" w:lineRule="exact"/>
        <w:rPr>
          <w:sz w:val="20"/>
          <w:szCs w:val="20"/>
          <w:color w:val="auto"/>
        </w:rPr>
      </w:pPr>
    </w:p>
    <w:p>
      <w:pPr>
        <w:jc w:val="both"/>
        <w:ind w:firstLine="470"/>
        <w:spacing w:after="0" w:line="263" w:lineRule="auto"/>
        <w:rPr>
          <w:sz w:val="20"/>
          <w:szCs w:val="20"/>
          <w:color w:val="auto"/>
        </w:rPr>
      </w:pPr>
      <w:r>
        <w:rPr>
          <w:rFonts w:ascii="Arial" w:cs="Arial" w:eastAsia="Arial" w:hAnsi="Arial"/>
          <w:sz w:val="17"/>
          <w:szCs w:val="17"/>
          <w:color w:val="auto"/>
        </w:rPr>
        <w:t>We believe that our existing cash and cash equivalents, the available line of credit under the SVB Credit Facility and future cash collections from customers will be sufficient to provide for our anticipated requirements for working capital and capital expenditures for at least the next 12 months. On May 17, 2021, we entered into Amendment No. 4 to Third Amended and Restated Loan and Security Agreement to extend the maturity date to June 28, 2024. The SVB Credit Facility provides for a $25.0 million accounts receivable formula-based revolving credit facility that can be borrowed by the U.S. company, with a $25.0 million sub-limit that can be borrowed by our U.S. and Singapore entities. Loans may be advanced under the SVB Credit Facility based on a borrowing base equal to a specified percentage of the value of eligible accounts of all</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1" w:name="page32"/>
    <w:bookmarkEnd w:id="31"/>
    <w:p>
      <w:pPr>
        <w:jc w:val="both"/>
        <w:spacing w:after="0" w:line="288" w:lineRule="auto"/>
        <w:rPr>
          <w:sz w:val="20"/>
          <w:szCs w:val="20"/>
          <w:color w:val="auto"/>
        </w:rPr>
      </w:pPr>
      <w:r>
        <w:rPr>
          <w:rFonts w:ascii="Arial" w:cs="Arial" w:eastAsia="Arial" w:hAnsi="Arial"/>
          <w:sz w:val="16"/>
          <w:szCs w:val="16"/>
          <w:color w:val="auto"/>
        </w:rPr>
        <w:t>borrowers under the SVB Credit Facility. The borrowing base is subject to certain eligibility criteria. Availability under the accounts receivable formula-based revolving credit facility can also be utilized to issue letters of credit with a $12.0 million sub-limit. As of December 30, 2022, available credit under the SVB Credit Facility was $22.0 million, reflecting the available limit of $25.0 million less outstanding letters of credit of $3.0 million. We borrowed and repaid $24.0 million against the SVB Credit Facility during the six months ended December 30, 2022 and there was no borrowing outstanding as of December 30, 2022.</w:t>
      </w:r>
    </w:p>
    <w:p>
      <w:pPr>
        <w:spacing w:after="0" w:line="11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As of December 30, 2022, we were in compliance with the quarterly financial covenants, as amended, contained in the SVB Credit Facility and there was no amount outstanding under the SVB Credit Facility.</w:t>
      </w:r>
    </w:p>
    <w:p>
      <w:pPr>
        <w:spacing w:after="0" w:line="10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Restructuring Payments</w:t>
      </w:r>
    </w:p>
    <w:p>
      <w:pPr>
        <w:spacing w:after="0" w:line="170"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We had liabilities for restructuring activities totaling $1.5 million as of December 30, 2022, which were classified as current liabilities and expected to be paid out in cash over the next 12 months. We expect to fund these future payments with available cash and cash provided by operations.</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For information about our critical accounting estimates, see the “Critical Accounting Estimates” section of “Item 7. Management’s Discussion and Analysis of Financial Condition and Results of Operations” in our fiscal 2022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Quantitative and Qualitative Disclosures about Market Risk</w:t>
      </w:r>
    </w:p>
    <w:p>
      <w:pPr>
        <w:spacing w:after="0" w:line="176"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In the normal course of doing business, we are exposed to the risks associated with foreign currency exchange rates and changes in interest rates. We employ established policies and procedures governing the use of financial instruments to manage our exposure to such risks.</w:t>
      </w:r>
    </w:p>
    <w:p>
      <w:pPr>
        <w:spacing w:after="0" w:line="15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Exchange Rate Risk</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conduct business globally in numerous currencies and are therefore exposed to foreign currency risks. We use derivative instruments to reduce the volatility of earnings and cash flows associated with changes in foreign currency exchange rates. We do not hold or issue derivatives for trading purposes or make speculative investments in foreign currencies.</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We sometimes use foreign exchange forward contracts to hedge forecasted foreign currency transactions relating to sales and purchase transactions. The foreign exchange hedges do not qualify as cash flow hedges. The changes in fair value related to the hedges were recorded in income or expenses line items on our statements of operations.</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From time-to-time, we also enter into foreign exchange forward contracts to mitigate the change in fair value of specific non-functional currency assets and liabilities on the balance sheet. All balance sheet hedges are marked to market through earnings every period. Changes in the fair value of these derivatives are largely offset by re-measurement of the underlying assets and liabilities.</w:t>
      </w:r>
    </w:p>
    <w:p>
      <w:pPr>
        <w:spacing w:after="0" w:line="119" w:lineRule="exact"/>
        <w:rPr>
          <w:sz w:val="20"/>
          <w:szCs w:val="20"/>
          <w:color w:val="auto"/>
        </w:rPr>
      </w:pPr>
    </w:p>
    <w:p>
      <w:pPr>
        <w:ind w:left="480"/>
        <w:spacing w:after="0"/>
        <w:rPr>
          <w:sz w:val="20"/>
          <w:szCs w:val="20"/>
          <w:color w:val="auto"/>
        </w:rPr>
      </w:pPr>
      <w:r>
        <w:rPr>
          <w:rFonts w:ascii="Arial" w:cs="Arial" w:eastAsia="Arial" w:hAnsi="Arial"/>
          <w:sz w:val="17"/>
          <w:szCs w:val="17"/>
          <w:color w:val="auto"/>
        </w:rPr>
        <w:t>As of December 30, 2022, we had no forward contracts outstanding.</w:t>
      </w:r>
    </w:p>
    <w:p>
      <w:pPr>
        <w:spacing w:after="0" w:line="17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6"/>
          <w:szCs w:val="16"/>
          <w:color w:val="auto"/>
        </w:rPr>
        <w:t>Certain of our international business is transacted in non-U.S. dollar currency. As discussed above, from time to time we utilize foreign currency hedging instruments to minimize the currency risk of international transactions. The impact of translating the assets and liabilities of foreign operations to U.S. dollars for the first six months of fiscal 2023 and 2022 was $(0.1) million and $0.3 million, respectively, and was included as a component of stockholders’ equity. As of December 30, 2022 and July 1, 2022, the cumulative translation adjustment decreased our equity by $16.1 million and $16.0 million, respectively.</w:t>
      </w:r>
    </w:p>
    <w:p>
      <w:pPr>
        <w:spacing w:after="0" w:line="1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Rate Risk</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Our exposure to market risk for changes in interest rates relates primarily to our cash equivalents and borrowings under our credit facility.</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32" w:name="page33"/>
    <w:bookmarkEnd w:id="32"/>
    <w:p>
      <w:pPr>
        <w:spacing w:after="0"/>
        <w:rPr>
          <w:sz w:val="20"/>
          <w:szCs w:val="20"/>
          <w:color w:val="auto"/>
        </w:rPr>
      </w:pPr>
      <w:r>
        <w:rPr>
          <w:rFonts w:ascii="Arial" w:cs="Arial" w:eastAsia="Arial" w:hAnsi="Arial"/>
          <w:sz w:val="17"/>
          <w:szCs w:val="17"/>
          <w:b w:val="1"/>
          <w:bCs w:val="1"/>
          <w:i w:val="1"/>
          <w:iCs w:val="1"/>
          <w:color w:val="auto"/>
        </w:rPr>
        <w:t>Exposure on Cash Equivalents</w:t>
      </w:r>
    </w:p>
    <w:p>
      <w:pPr>
        <w:spacing w:after="0" w:line="170" w:lineRule="exact"/>
        <w:rPr>
          <w:sz w:val="20"/>
          <w:szCs w:val="20"/>
          <w:color w:val="auto"/>
        </w:rPr>
      </w:pPr>
    </w:p>
    <w:p>
      <w:pPr>
        <w:jc w:val="both"/>
        <w:ind w:firstLine="470"/>
        <w:spacing w:after="0" w:line="284" w:lineRule="auto"/>
        <w:rPr>
          <w:sz w:val="20"/>
          <w:szCs w:val="20"/>
          <w:color w:val="auto"/>
        </w:rPr>
      </w:pPr>
      <w:r>
        <w:rPr>
          <w:rFonts w:ascii="Arial" w:cs="Arial" w:eastAsia="Arial" w:hAnsi="Arial"/>
          <w:sz w:val="16"/>
          <w:szCs w:val="16"/>
          <w:color w:val="auto"/>
        </w:rPr>
        <w:t>We had $21.4 million in total cash and cash equivalents as of December 30, 2022. Cash equivalents totaled $9.2 million as of December 30, 2022 and were comprised of money market funds and bank certificates of deposit. Cash equivalents investments have been recorded at fair value on our balance sheet. Fair value is measured using inputs that fall into a three-level hierarchy that prioritizes the inputs used to measure fair value based on observability of such inputs. For more information on the fair value measurements of cash equivalents, please refer to “Note 3 Fair Value Measurements of Assets and Liabilities” of the Notes to unaudited condensed consolidated financial statements in this Quarterly Report on Form 10-Q.</w:t>
      </w:r>
    </w:p>
    <w:p>
      <w:pPr>
        <w:spacing w:after="0" w:line="114" w:lineRule="exact"/>
        <w:rPr>
          <w:sz w:val="20"/>
          <w:szCs w:val="20"/>
          <w:color w:val="auto"/>
        </w:rPr>
      </w:pPr>
    </w:p>
    <w:p>
      <w:pPr>
        <w:jc w:val="both"/>
        <w:ind w:firstLine="470"/>
        <w:spacing w:after="0" w:line="267" w:lineRule="auto"/>
        <w:rPr>
          <w:sz w:val="20"/>
          <w:szCs w:val="20"/>
          <w:color w:val="auto"/>
        </w:rPr>
      </w:pPr>
      <w:r>
        <w:rPr>
          <w:rFonts w:ascii="Arial" w:cs="Arial" w:eastAsia="Arial" w:hAnsi="Arial"/>
          <w:sz w:val="17"/>
          <w:szCs w:val="17"/>
          <w:color w:val="auto"/>
        </w:rPr>
        <w:t>Our cash equivalents earn interest at fixed rates; therefore, changes in interest rates will not generate a gain or loss on these investments unless they are sold prior to maturity. The weighted-average days to maturity for cash equivalents held as of December 30, 2022 was 27 days, and these investments had an average yield of approximately 5.23% per annum. A 10% change in interest rates on our cash equivalents is not expected to have a material impact on our financial position, results of operations, or cash flows.</w:t>
      </w:r>
    </w:p>
    <w:p>
      <w:pPr>
        <w:spacing w:after="0" w:line="12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Exposure on Borrowings</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Our borrowings under the SVB Credit Facility incurred interest at the prime rate plus a spread of 0.50% to 1.50% with such spread determined based on our adjusted quick ratio. During the first six months of fiscal 2023, our weighted-average interest rate was 6.07%, and the interest expense on these borrowings was immaterial.</w:t>
      </w:r>
    </w:p>
    <w:p>
      <w:pPr>
        <w:spacing w:after="0" w:line="120" w:lineRule="exact"/>
        <w:rPr>
          <w:sz w:val="20"/>
          <w:szCs w:val="20"/>
          <w:color w:val="auto"/>
        </w:rPr>
      </w:pPr>
    </w:p>
    <w:p>
      <w:pPr>
        <w:jc w:val="both"/>
        <w:ind w:firstLine="470"/>
        <w:spacing w:after="0" w:line="288" w:lineRule="auto"/>
        <w:rPr>
          <w:sz w:val="20"/>
          <w:szCs w:val="20"/>
          <w:color w:val="auto"/>
        </w:rPr>
      </w:pPr>
      <w:r>
        <w:rPr>
          <w:rFonts w:ascii="Arial" w:cs="Arial" w:eastAsia="Arial" w:hAnsi="Arial"/>
          <w:sz w:val="17"/>
          <w:szCs w:val="17"/>
          <w:color w:val="auto"/>
        </w:rPr>
        <w:t>A 10% change in interest rates on the current borrowings or on future borrowings is not expected to have a material impact on our financial position, results of operations, or cash flows since interest on our borrowings is not material to our overall financial position.</w:t>
      </w:r>
    </w:p>
    <w:p>
      <w:pPr>
        <w:spacing w:after="0" w:line="1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Controls and Procedures</w:t>
      </w:r>
    </w:p>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170" w:lineRule="exact"/>
        <w:rPr>
          <w:sz w:val="20"/>
          <w:szCs w:val="20"/>
          <w:color w:val="auto"/>
        </w:rPr>
      </w:pPr>
    </w:p>
    <w:p>
      <w:pPr>
        <w:jc w:val="both"/>
        <w:ind w:firstLine="470"/>
        <w:spacing w:after="0" w:line="264" w:lineRule="auto"/>
        <w:rPr>
          <w:sz w:val="20"/>
          <w:szCs w:val="20"/>
          <w:color w:val="auto"/>
        </w:rPr>
      </w:pPr>
      <w:r>
        <w:rPr>
          <w:rFonts w:ascii="Arial" w:cs="Arial" w:eastAsia="Arial" w:hAnsi="Arial"/>
          <w:sz w:val="17"/>
          <w:szCs w:val="17"/>
          <w:color w:val="auto"/>
        </w:rPr>
        <w:t>Based on management’s evaluation, with the participation of our President and CEO, and Chief Financial Officer (“CFO”), as of December 30, 2022, our CEO and CFO have concluded that our disclosure controls and procedures, as defined in Rules 13a-15(e) and 15d-15(e) under the Exchange Act, are effective to provide reasonable assurance that the information required to be disclosed in reports that we file or submit under the Exchange Act is accumulated and communicated to management, including our CEO and CFO, in a manner that allows for timely decisions regarding required disclosures and is recorded, processed, summarized, and reported within the time periods specified in the SEC’s rules and forms.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Controls over Financial Reporting</w:t>
      </w:r>
    </w:p>
    <w:p>
      <w:pPr>
        <w:spacing w:after="0" w:line="170" w:lineRule="exact"/>
        <w:rPr>
          <w:sz w:val="20"/>
          <w:szCs w:val="20"/>
          <w:color w:val="auto"/>
        </w:rPr>
      </w:pPr>
    </w:p>
    <w:p>
      <w:pPr>
        <w:jc w:val="both"/>
        <w:ind w:firstLine="470"/>
        <w:spacing w:after="0" w:line="321" w:lineRule="auto"/>
        <w:rPr>
          <w:sz w:val="20"/>
          <w:szCs w:val="20"/>
          <w:color w:val="auto"/>
        </w:rPr>
      </w:pPr>
      <w:r>
        <w:rPr>
          <w:rFonts w:ascii="Arial" w:cs="Arial" w:eastAsia="Arial" w:hAnsi="Arial"/>
          <w:sz w:val="16"/>
          <w:szCs w:val="16"/>
          <w:color w:val="auto"/>
        </w:rPr>
        <w:t>There were no changes to our internal controls over financial reporting as defined in Rules 13a-15(f) or 15d-15(f) that occurred during the quarter ended December 30, 2022 that have materially affected, or are reasonably likely to materially affect, our internal controls over financial reporting.</w:t>
      </w:r>
    </w:p>
    <w:p>
      <w:pPr>
        <w:spacing w:after="0" w:line="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Inherent Limitations on Effectiveness of Controls</w:t>
      </w:r>
    </w:p>
    <w:p>
      <w:pPr>
        <w:spacing w:after="0" w:line="170" w:lineRule="exact"/>
        <w:rPr>
          <w:sz w:val="20"/>
          <w:szCs w:val="20"/>
          <w:color w:val="auto"/>
        </w:rPr>
      </w:pPr>
    </w:p>
    <w:p>
      <w:pPr>
        <w:jc w:val="both"/>
        <w:ind w:firstLine="470"/>
        <w:spacing w:after="0" w:line="300" w:lineRule="auto"/>
        <w:rPr>
          <w:sz w:val="20"/>
          <w:szCs w:val="20"/>
          <w:color w:val="auto"/>
        </w:rPr>
      </w:pPr>
      <w:r>
        <w:rPr>
          <w:rFonts w:ascii="Arial" w:cs="Arial" w:eastAsia="Arial" w:hAnsi="Arial"/>
          <w:sz w:val="15"/>
          <w:szCs w:val="15"/>
          <w:color w:val="auto"/>
        </w:rPr>
        <w:t>Our management, including our CEO and CFO, does not expect that our disclosure controls and procedures or our internal control over financial reporting will prevent or detect all errors and all fraud. A control system, no matter how well-designed and operated, can provide only reasonable, not absolute, assurance that the control system’s objectives will be met. The design of a control system must reflect the fact that there are resource constraints, and the benefits of controls must be considered relative to their costs. Further, because of the inherent limitations in all control systems, no evaluation of controls can provide absolute assurance that misstatements due to error or fraud will not occur or that all control issues and instances of fraud, if any, have been detected. The design of any system of controls is based in part on certain assumptions about the likelihood of future events, and there can be no assurance that any design will succeed in achieving its stated goals under all potential future conditions. Projections of any evaluation of the effectiveness of controls to future periods are subject to risks. Over time, controls may become inadequate because of changes in conditions or deterioration in the degree of compliance with policies or procedures.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225" w:right="339" w:bottom="1440" w:gutter="0" w:footer="0" w:header="0"/>
        </w:sectPr>
      </w:pPr>
    </w:p>
    <w:bookmarkStart w:id="33" w:name="page34"/>
    <w:bookmarkEnd w:id="33"/>
    <w:p>
      <w:pPr>
        <w:spacing w:after="0" w:line="200" w:lineRule="exact"/>
        <w:rPr>
          <w:sz w:val="20"/>
          <w:szCs w:val="20"/>
          <w:color w:val="auto"/>
        </w:rPr>
      </w:pPr>
    </w:p>
    <w:p>
      <w:pPr>
        <w:spacing w:after="0" w:line="285" w:lineRule="exact"/>
        <w:rPr>
          <w:sz w:val="20"/>
          <w:szCs w:val="20"/>
          <w:color w:val="auto"/>
        </w:rPr>
      </w:pPr>
    </w:p>
    <w:p>
      <w:pPr>
        <w:spacing w:after="0"/>
        <w:tabs>
          <w:tab w:leader="none" w:pos="880" w:val="left"/>
        </w:tabs>
        <w:rPr>
          <w:sz w:val="20"/>
          <w:szCs w:val="20"/>
          <w:color w:val="auto"/>
        </w:rPr>
      </w:pPr>
      <w:r>
        <w:rPr>
          <w:rFonts w:ascii="Arial" w:cs="Arial" w:eastAsia="Arial" w:hAnsi="Arial"/>
          <w:sz w:val="17"/>
          <w:szCs w:val="17"/>
          <w:b w:val="1"/>
          <w:bCs w:val="1"/>
          <w:color w:val="auto"/>
        </w:rPr>
        <w:t>PART II.</w:t>
        <w:tab/>
        <w:t>OTHER INFORMATION</w:t>
      </w:r>
    </w:p>
    <w:p>
      <w:pPr>
        <w:spacing w:after="0" w:line="24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Legal Proceedings</w:t>
      </w:r>
    </w:p>
    <w:p>
      <w:pPr>
        <w:spacing w:after="0" w:line="176"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For a discussion of legal proceedings as of December 30, 2022, please refer to “Legal Proceedings” and “Contingent Liabilities” under “Note 13 Commitments and Contingencies” of the Notes to unaudited condensed consolidated financial statements in this Quarterly Report on Form 10-Q, which are incorporated into this item by reference.</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176" w:lineRule="exact"/>
        <w:rPr>
          <w:sz w:val="20"/>
          <w:szCs w:val="20"/>
          <w:color w:val="auto"/>
        </w:rPr>
      </w:pPr>
    </w:p>
    <w:p>
      <w:pPr>
        <w:jc w:val="both"/>
        <w:ind w:firstLine="627"/>
        <w:spacing w:after="0" w:line="272" w:lineRule="auto"/>
        <w:rPr>
          <w:sz w:val="20"/>
          <w:szCs w:val="20"/>
          <w:color w:val="auto"/>
        </w:rPr>
      </w:pPr>
      <w:r>
        <w:rPr>
          <w:rFonts w:ascii="Arial" w:cs="Arial" w:eastAsia="Arial" w:hAnsi="Arial"/>
          <w:sz w:val="17"/>
          <w:szCs w:val="17"/>
          <w:color w:val="auto"/>
        </w:rPr>
        <w:t>Investors should carefully review and consider the information regarding certain factors which could materially affect our business, operating results, cash flows, and financial condition set forth under Item 1A, Risk Factors, in our fiscal 2022 Annual Report on Form 10-K filed with the SEC on September 14, 2022.</w:t>
      </w:r>
    </w:p>
    <w:p>
      <w:pPr>
        <w:spacing w:after="0" w:line="119"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There have been no material changes from the risk factors described in our Annual Report, although we may disclose changes to such factors or disclose additional factors from time to time in our future filings with the SEC. Additional risks and uncertainties not presently known to us or that we currently deem immaterial also may impair our business operations.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Unregistered Sales of Equity Securities and Use of Proceeds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During the first six months of fiscal 2023 we did not repurchase any shares of our common stock in the open market.</w:t>
      </w:r>
    </w:p>
    <w:p>
      <w:pPr>
        <w:spacing w:after="0" w:line="170" w:lineRule="exact"/>
        <w:rPr>
          <w:sz w:val="20"/>
          <w:szCs w:val="20"/>
          <w:color w:val="auto"/>
        </w:rPr>
      </w:pPr>
    </w:p>
    <w:p>
      <w:pPr>
        <w:jc w:val="both"/>
        <w:ind w:firstLine="470"/>
        <w:spacing w:after="0" w:line="272" w:lineRule="auto"/>
        <w:rPr>
          <w:sz w:val="20"/>
          <w:szCs w:val="20"/>
          <w:color w:val="auto"/>
        </w:rPr>
      </w:pPr>
      <w:r>
        <w:rPr>
          <w:rFonts w:ascii="Arial" w:cs="Arial" w:eastAsia="Arial" w:hAnsi="Arial"/>
          <w:sz w:val="17"/>
          <w:szCs w:val="17"/>
          <w:color w:val="auto"/>
        </w:rPr>
        <w:t>In November 2021 our Board of Directors approved a stock repurchase program to purchase up to $10.0 million of our common stock. As of December 30, 2022, $8.0 million remains available under the stock repurchase program, and we may choose to suspend or discontinue the repurchase program at any time.</w:t>
      </w:r>
    </w:p>
    <w:p>
      <w:pPr>
        <w:spacing w:after="0" w:line="349" w:lineRule="exact"/>
        <w:rPr>
          <w:sz w:val="20"/>
          <w:szCs w:val="20"/>
          <w:color w:val="auto"/>
        </w:rPr>
      </w:pPr>
    </w:p>
    <w:p>
      <w:pPr>
        <w:jc w:val="center"/>
        <w:ind w:right="8300"/>
        <w:spacing w:after="0"/>
        <w:rPr>
          <w:sz w:val="20"/>
          <w:szCs w:val="20"/>
          <w:color w:val="auto"/>
        </w:rPr>
      </w:pPr>
      <w:r>
        <w:rPr>
          <w:rFonts w:ascii="Arial" w:cs="Arial" w:eastAsia="Arial" w:hAnsi="Arial"/>
          <w:sz w:val="15"/>
          <w:szCs w:val="15"/>
          <w:b w:val="1"/>
          <w:bCs w:val="1"/>
          <w:color w:val="auto"/>
        </w:rPr>
        <w:t>Item 3. Defaults Upon Senior Securities</w:t>
      </w:r>
    </w:p>
    <w:p>
      <w:pPr>
        <w:spacing w:after="0" w:line="199" w:lineRule="exact"/>
        <w:rPr>
          <w:sz w:val="20"/>
          <w:szCs w:val="20"/>
          <w:color w:val="auto"/>
        </w:rPr>
      </w:pPr>
    </w:p>
    <w:p>
      <w:pPr>
        <w:jc w:val="center"/>
        <w:ind w:right="9240"/>
        <w:spacing w:after="0"/>
        <w:rPr>
          <w:sz w:val="20"/>
          <w:szCs w:val="20"/>
          <w:color w:val="auto"/>
        </w:rPr>
      </w:pPr>
      <w:r>
        <w:rPr>
          <w:rFonts w:ascii="Arial" w:cs="Arial" w:eastAsia="Arial" w:hAnsi="Arial"/>
          <w:sz w:val="17"/>
          <w:szCs w:val="17"/>
          <w:color w:val="auto"/>
        </w:rPr>
        <w:t>Not applicable.</w:t>
      </w:r>
    </w:p>
    <w:p>
      <w:pPr>
        <w:spacing w:after="0" w:line="164" w:lineRule="exact"/>
        <w:rPr>
          <w:sz w:val="20"/>
          <w:szCs w:val="20"/>
          <w:color w:val="auto"/>
        </w:rPr>
      </w:pPr>
    </w:p>
    <w:p>
      <w:pPr>
        <w:jc w:val="center"/>
        <w:ind w:right="8900"/>
        <w:spacing w:after="0"/>
        <w:rPr>
          <w:sz w:val="20"/>
          <w:szCs w:val="20"/>
          <w:color w:val="auto"/>
        </w:rPr>
      </w:pPr>
      <w:r>
        <w:rPr>
          <w:rFonts w:ascii="Arial" w:cs="Arial" w:eastAsia="Arial" w:hAnsi="Arial"/>
          <w:sz w:val="15"/>
          <w:szCs w:val="15"/>
          <w:b w:val="1"/>
          <w:bCs w:val="1"/>
          <w:color w:val="auto"/>
        </w:rPr>
        <w:t>Item 4. Mine Safety Disclosures</w:t>
      </w:r>
    </w:p>
    <w:p>
      <w:pPr>
        <w:spacing w:after="0" w:line="199" w:lineRule="exact"/>
        <w:rPr>
          <w:sz w:val="20"/>
          <w:szCs w:val="20"/>
          <w:color w:val="auto"/>
        </w:rPr>
      </w:pPr>
    </w:p>
    <w:p>
      <w:pPr>
        <w:jc w:val="center"/>
        <w:ind w:right="9240"/>
        <w:spacing w:after="0"/>
        <w:rPr>
          <w:sz w:val="20"/>
          <w:szCs w:val="20"/>
          <w:color w:val="auto"/>
        </w:rPr>
      </w:pPr>
      <w:r>
        <w:rPr>
          <w:rFonts w:ascii="Arial" w:cs="Arial" w:eastAsia="Arial" w:hAnsi="Arial"/>
          <w:sz w:val="17"/>
          <w:szCs w:val="17"/>
          <w:color w:val="auto"/>
        </w:rPr>
        <w:t>Not applicable.</w:t>
      </w:r>
    </w:p>
    <w:p>
      <w:pPr>
        <w:spacing w:after="0" w:line="164" w:lineRule="exact"/>
        <w:rPr>
          <w:sz w:val="20"/>
          <w:szCs w:val="20"/>
          <w:color w:val="auto"/>
        </w:rPr>
      </w:pPr>
    </w:p>
    <w:p>
      <w:pPr>
        <w:jc w:val="center"/>
        <w:ind w:right="9280"/>
        <w:spacing w:after="0"/>
        <w:rPr>
          <w:sz w:val="20"/>
          <w:szCs w:val="20"/>
          <w:color w:val="auto"/>
        </w:rPr>
      </w:pPr>
      <w:r>
        <w:rPr>
          <w:rFonts w:ascii="Arial" w:cs="Arial" w:eastAsia="Arial" w:hAnsi="Arial"/>
          <w:sz w:val="16"/>
          <w:szCs w:val="16"/>
          <w:b w:val="1"/>
          <w:bCs w:val="1"/>
          <w:color w:val="auto"/>
        </w:rPr>
        <w:t>Item 5. Other Information</w:t>
      </w:r>
    </w:p>
    <w:p>
      <w:pPr>
        <w:spacing w:after="0" w:line="188" w:lineRule="exact"/>
        <w:rPr>
          <w:sz w:val="20"/>
          <w:szCs w:val="20"/>
          <w:color w:val="auto"/>
        </w:rPr>
      </w:pPr>
    </w:p>
    <w:p>
      <w:pPr>
        <w:jc w:val="center"/>
        <w:ind w:right="92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34" w:name="page35"/>
    <w:bookmarkEnd w:id="34"/>
    <w:p>
      <w:pPr>
        <w:spacing w:after="0"/>
        <w:rPr>
          <w:sz w:val="20"/>
          <w:szCs w:val="20"/>
          <w:color w:val="auto"/>
        </w:rPr>
      </w:pPr>
      <w:r>
        <w:rPr>
          <w:rFonts w:ascii="Arial" w:cs="Arial" w:eastAsia="Arial" w:hAnsi="Arial"/>
          <w:sz w:val="17"/>
          <w:szCs w:val="17"/>
          <w:b w:val="1"/>
          <w:bCs w:val="1"/>
          <w:color w:val="auto"/>
        </w:rPr>
        <w:t>Item 6. Exhibits</w:t>
      </w:r>
    </w:p>
    <w:p>
      <w:pPr>
        <w:spacing w:after="0" w:line="176" w:lineRule="exact"/>
        <w:rPr>
          <w:sz w:val="20"/>
          <w:szCs w:val="20"/>
          <w:color w:val="auto"/>
        </w:rPr>
      </w:pPr>
    </w:p>
    <w:p>
      <w:pPr>
        <w:ind w:left="480"/>
        <w:spacing w:after="0"/>
        <w:rPr>
          <w:sz w:val="20"/>
          <w:szCs w:val="20"/>
          <w:color w:val="auto"/>
        </w:rPr>
      </w:pPr>
      <w:r>
        <w:rPr>
          <w:rFonts w:ascii="Arial" w:cs="Arial" w:eastAsia="Arial" w:hAnsi="Arial"/>
          <w:sz w:val="17"/>
          <w:szCs w:val="17"/>
          <w:color w:val="auto"/>
        </w:rPr>
        <w:t>The following exhibits are filed herewith or incorporated by reference to exhibits previously filed with the SEC:</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 Number</w:t>
            </w:r>
          </w:p>
        </w:tc>
        <w:tc>
          <w:tcPr>
            <w:tcW w:w="20" w:type="dxa"/>
            <w:vAlign w:val="bottom"/>
          </w:tcPr>
          <w:p>
            <w:pPr>
              <w:spacing w:after="0"/>
              <w:rPr>
                <w:sz w:val="15"/>
                <w:szCs w:val="15"/>
                <w:color w:val="auto"/>
              </w:rPr>
            </w:pPr>
          </w:p>
        </w:tc>
        <w:tc>
          <w:tcPr>
            <w:tcW w:w="35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440" w:type="dxa"/>
            <w:vAlign w:val="bottom"/>
            <w:gridSpan w:val="6"/>
          </w:tcPr>
          <w:p>
            <w:pPr>
              <w:ind w:left="40"/>
              <w:spacing w:after="0"/>
              <w:rPr>
                <w:sz w:val="20"/>
                <w:szCs w:val="20"/>
                <w:color w:val="auto"/>
              </w:rPr>
            </w:pPr>
            <w:r>
              <w:rPr>
                <w:rFonts w:ascii="Arial" w:cs="Arial" w:eastAsia="Arial" w:hAnsi="Arial"/>
                <w:sz w:val="14"/>
                <w:szCs w:val="14"/>
                <w:b w:val="1"/>
                <w:bCs w:val="1"/>
                <w:color w:val="auto"/>
              </w:rPr>
              <w:t>Descriptions</w:t>
            </w:r>
          </w:p>
        </w:tc>
      </w:tr>
      <w:tr>
        <w:trPr>
          <w:trHeight w:val="23"/>
        </w:trPr>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176"/>
        </w:trPr>
        <w:tc>
          <w:tcPr>
            <w:tcW w:w="1120" w:type="dxa"/>
            <w:vAlign w:val="bottom"/>
            <w:shd w:val="clear" w:color="auto" w:fill="CCEEFF"/>
          </w:tcPr>
          <w:p>
            <w:pPr>
              <w:ind w:left="20"/>
              <w:spacing w:after="0" w:line="176" w:lineRule="exact"/>
              <w:rPr>
                <w:sz w:val="20"/>
                <w:szCs w:val="20"/>
                <w:color w:val="auto"/>
              </w:rPr>
            </w:pPr>
            <w:r>
              <w:rPr>
                <w:rFonts w:ascii="Arial" w:cs="Arial" w:eastAsia="Arial" w:hAnsi="Arial"/>
                <w:sz w:val="17"/>
                <w:szCs w:val="17"/>
                <w:color w:val="auto"/>
              </w:rPr>
              <w:t>3.1</w:t>
            </w:r>
          </w:p>
        </w:tc>
        <w:tc>
          <w:tcPr>
            <w:tcW w:w="1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00" w:type="dxa"/>
            <w:vAlign w:val="bottom"/>
            <w:gridSpan w:val="8"/>
            <w:shd w:val="clear" w:color="auto" w:fill="CCEEFF"/>
          </w:tcPr>
          <w:p>
            <w:pPr>
              <w:spacing w:after="0" w:line="176" w:lineRule="exact"/>
              <w:rPr>
                <w:rFonts w:ascii="Arial" w:cs="Arial" w:eastAsia="Arial" w:hAnsi="Arial"/>
                <w:sz w:val="17"/>
                <w:szCs w:val="17"/>
                <w:color w:val="0000FF"/>
                <w:w w:val="98"/>
              </w:rPr>
            </w:pPr>
            <w:hyperlink r:id="rId56">
              <w:r>
                <w:rPr>
                  <w:rFonts w:ascii="Arial" w:cs="Arial" w:eastAsia="Arial" w:hAnsi="Arial"/>
                  <w:sz w:val="17"/>
                  <w:szCs w:val="17"/>
                  <w:color w:val="0000FF"/>
                  <w:w w:val="98"/>
                </w:rPr>
                <w:t>Amended and Restated Certificate of Incorporation of Aviat Networks, Inc., as amended (incorporated by reference to Exhibit 3.1 to the</w:t>
              </w:r>
            </w:hyperlink>
          </w:p>
        </w:tc>
      </w:tr>
      <w:tr>
        <w:trPr>
          <w:trHeight w:val="182"/>
        </w:trPr>
        <w:tc>
          <w:tcPr>
            <w:tcW w:w="1120" w:type="dxa"/>
            <w:vAlign w:val="bottom"/>
            <w:tcBorders>
              <w:top w:val="single" w:sz="8" w:color="CCEEFF"/>
              <w:bottom w:val="single" w:sz="8" w:color="CCEEFF"/>
            </w:tcBorders>
            <w:shd w:val="clear" w:color="auto" w:fill="CCEEFF"/>
          </w:tcPr>
          <w:p>
            <w:pPr>
              <w:spacing w:after="0"/>
              <w:rPr>
                <w:sz w:val="15"/>
                <w:szCs w:val="15"/>
                <w:color w:val="auto"/>
              </w:rPr>
            </w:pPr>
          </w:p>
        </w:tc>
        <w:tc>
          <w:tcPr>
            <w:tcW w:w="1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6480" w:type="dxa"/>
            <w:vAlign w:val="bottom"/>
            <w:tcBorders>
              <w:top w:val="single" w:sz="8" w:color="0000FF"/>
              <w:bottom w:val="single" w:sz="8" w:color="0000FF"/>
            </w:tcBorders>
            <w:gridSpan w:val="5"/>
            <w:shd w:val="clear" w:color="auto" w:fill="CCEEFF"/>
          </w:tcPr>
          <w:p>
            <w:pPr>
              <w:spacing w:after="0" w:line="150" w:lineRule="exact"/>
              <w:rPr>
                <w:rFonts w:ascii="Arial" w:cs="Arial" w:eastAsia="Arial" w:hAnsi="Arial"/>
                <w:sz w:val="17"/>
                <w:szCs w:val="17"/>
                <w:color w:val="0000FF"/>
                <w:w w:val="93"/>
              </w:rPr>
            </w:pPr>
            <w:hyperlink r:id="rId56">
              <w:r>
                <w:rPr>
                  <w:rFonts w:ascii="Arial" w:cs="Arial" w:eastAsia="Arial" w:hAnsi="Arial"/>
                  <w:sz w:val="17"/>
                  <w:szCs w:val="17"/>
                  <w:color w:val="0000FF"/>
                  <w:w w:val="93"/>
                </w:rPr>
                <w:t>Current Report on Form 10-Q filed with the SEC on February 10, 2017, File No. 001-33278)</w:t>
              </w:r>
            </w:hyperlink>
          </w:p>
        </w:tc>
        <w:tc>
          <w:tcPr>
            <w:tcW w:w="3480" w:type="dxa"/>
            <w:vAlign w:val="bottom"/>
            <w:tcBorders>
              <w:top w:val="single" w:sz="8" w:color="0000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c>
          <w:tcPr>
            <w:tcW w:w="20" w:type="dxa"/>
            <w:vAlign w:val="bottom"/>
            <w:tcBorders>
              <w:top w:val="single" w:sz="8" w:color="CCEEFF"/>
              <w:bottom w:val="single" w:sz="8" w:color="CCEEFF"/>
            </w:tcBorders>
            <w:shd w:val="clear" w:color="auto" w:fill="CCEEFF"/>
          </w:tcPr>
          <w:p>
            <w:pPr>
              <w:spacing w:after="0"/>
              <w:rPr>
                <w:sz w:val="15"/>
                <w:szCs w:val="15"/>
                <w:color w:val="auto"/>
              </w:rPr>
            </w:pPr>
          </w:p>
        </w:tc>
      </w:tr>
      <w:tr>
        <w:trPr>
          <w:trHeight w:val="183"/>
        </w:trPr>
        <w:tc>
          <w:tcPr>
            <w:tcW w:w="1120" w:type="dxa"/>
            <w:vAlign w:val="bottom"/>
          </w:tcPr>
          <w:p>
            <w:pPr>
              <w:ind w:left="20"/>
              <w:spacing w:after="0" w:line="183" w:lineRule="exact"/>
              <w:rPr>
                <w:sz w:val="20"/>
                <w:szCs w:val="20"/>
                <w:color w:val="auto"/>
              </w:rPr>
            </w:pPr>
            <w:r>
              <w:rPr>
                <w:rFonts w:ascii="Arial" w:cs="Arial" w:eastAsia="Arial" w:hAnsi="Arial"/>
                <w:sz w:val="17"/>
                <w:szCs w:val="17"/>
                <w:color w:val="auto"/>
              </w:rPr>
              <w:t>3.2</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8"/>
          </w:tcPr>
          <w:p>
            <w:pPr>
              <w:spacing w:after="0" w:line="183" w:lineRule="exact"/>
              <w:rPr>
                <w:rFonts w:ascii="Arial" w:cs="Arial" w:eastAsia="Arial" w:hAnsi="Arial"/>
                <w:sz w:val="17"/>
                <w:szCs w:val="17"/>
                <w:color w:val="0000FF"/>
                <w:w w:val="94"/>
              </w:rPr>
            </w:pPr>
            <w:hyperlink r:id="rId57">
              <w:r>
                <w:rPr>
                  <w:rFonts w:ascii="Arial" w:cs="Arial" w:eastAsia="Arial" w:hAnsi="Arial"/>
                  <w:sz w:val="17"/>
                  <w:szCs w:val="17"/>
                  <w:color w:val="0000FF"/>
                  <w:w w:val="94"/>
                </w:rPr>
                <w:t>Amended and Restated Bylaws of Aviat Networks, Inc. (incorporated by reference to Exhibit 3.1 to the Current Report on Form 8-K filed with</w:t>
              </w:r>
            </w:hyperlink>
          </w:p>
        </w:tc>
      </w:tr>
      <w:tr>
        <w:trPr>
          <w:trHeight w:val="150"/>
        </w:trPr>
        <w:tc>
          <w:tcPr>
            <w:tcW w:w="1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980" w:type="dxa"/>
            <w:vAlign w:val="bottom"/>
            <w:tcBorders>
              <w:top w:val="single" w:sz="8" w:color="0000FF"/>
            </w:tcBorders>
            <w:gridSpan w:val="7"/>
          </w:tcPr>
          <w:p>
            <w:pPr>
              <w:spacing w:after="0" w:line="150" w:lineRule="exact"/>
              <w:rPr>
                <w:rFonts w:ascii="Arial" w:cs="Arial" w:eastAsia="Arial" w:hAnsi="Arial"/>
                <w:sz w:val="17"/>
                <w:szCs w:val="17"/>
                <w:color w:val="0000FF"/>
              </w:rPr>
            </w:pPr>
            <w:hyperlink r:id="rId57">
              <w:r>
                <w:rPr>
                  <w:rFonts w:ascii="Arial" w:cs="Arial" w:eastAsia="Arial" w:hAnsi="Arial"/>
                  <w:sz w:val="17"/>
                  <w:szCs w:val="17"/>
                  <w:color w:val="0000FF"/>
                </w:rPr>
                <w:t>the SEC on August 23, 2022, File No. 001-33278)</w:t>
              </w:r>
            </w:hyperlink>
          </w:p>
        </w:tc>
        <w:tc>
          <w:tcPr>
            <w:tcW w:w="20" w:type="dxa"/>
            <w:vAlign w:val="bottom"/>
          </w:tcPr>
          <w:p>
            <w:pPr>
              <w:spacing w:after="0"/>
              <w:rPr>
                <w:sz w:val="13"/>
                <w:szCs w:val="13"/>
                <w:color w:val="auto"/>
              </w:rPr>
            </w:pPr>
          </w:p>
        </w:tc>
      </w:tr>
      <w:tr>
        <w:trPr>
          <w:trHeight w:val="32"/>
        </w:trPr>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500" w:type="dxa"/>
            <w:vAlign w:val="bottom"/>
            <w:tcBorders>
              <w:top w:val="single" w:sz="8" w:color="0000FF"/>
            </w:tcBorders>
          </w:tcPr>
          <w:p>
            <w:pPr>
              <w:spacing w:after="0"/>
              <w:rPr>
                <w:sz w:val="2"/>
                <w:szCs w:val="2"/>
                <w:color w:val="auto"/>
              </w:rPr>
            </w:pPr>
          </w:p>
        </w:tc>
        <w:tc>
          <w:tcPr>
            <w:tcW w:w="10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02"/>
        </w:trPr>
        <w:tc>
          <w:tcPr>
            <w:tcW w:w="1120" w:type="dxa"/>
            <w:vAlign w:val="bottom"/>
            <w:shd w:val="clear" w:color="auto" w:fill="CCEEFF"/>
          </w:tcPr>
          <w:p>
            <w:pPr>
              <w:ind w:left="20"/>
              <w:spacing w:after="0" w:line="183" w:lineRule="exact"/>
              <w:rPr>
                <w:sz w:val="20"/>
                <w:szCs w:val="20"/>
                <w:color w:val="auto"/>
              </w:rPr>
            </w:pPr>
            <w:r>
              <w:rPr>
                <w:rFonts w:ascii="Arial" w:cs="Arial" w:eastAsia="Arial" w:hAnsi="Arial"/>
                <w:sz w:val="17"/>
                <w:szCs w:val="17"/>
                <w:color w:val="auto"/>
              </w:rPr>
              <w:t>31.1*</w:t>
            </w:r>
          </w:p>
        </w:tc>
        <w:tc>
          <w:tcPr>
            <w:tcW w:w="1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00" w:type="dxa"/>
            <w:vAlign w:val="bottom"/>
            <w:gridSpan w:val="8"/>
            <w:shd w:val="clear" w:color="auto" w:fill="CCEEFF"/>
          </w:tcPr>
          <w:p>
            <w:pPr>
              <w:spacing w:after="0" w:line="183" w:lineRule="exact"/>
              <w:rPr>
                <w:sz w:val="20"/>
                <w:szCs w:val="20"/>
                <w:color w:val="auto"/>
              </w:rPr>
            </w:pPr>
            <w:r>
              <w:rPr>
                <w:rFonts w:ascii="Arial" w:cs="Arial" w:eastAsia="Arial" w:hAnsi="Arial"/>
                <w:sz w:val="17"/>
                <w:szCs w:val="17"/>
                <w:color w:val="0000FF"/>
              </w:rPr>
              <w:t>Rule 13a-14(a)/15d-14(a) Certification of President and Chief Executive Officer</w:t>
            </w:r>
          </w:p>
        </w:tc>
      </w:tr>
      <w:tr>
        <w:trPr>
          <w:trHeight w:val="193"/>
        </w:trPr>
        <w:tc>
          <w:tcPr>
            <w:tcW w:w="1120" w:type="dxa"/>
            <w:vAlign w:val="bottom"/>
            <w:tcBorders>
              <w:top w:val="single" w:sz="8" w:color="CCEEFF"/>
            </w:tcBorders>
          </w:tcPr>
          <w:p>
            <w:pPr>
              <w:ind w:left="20"/>
              <w:spacing w:after="0" w:line="183" w:lineRule="exact"/>
              <w:rPr>
                <w:sz w:val="20"/>
                <w:szCs w:val="20"/>
                <w:color w:val="auto"/>
              </w:rPr>
            </w:pPr>
            <w:r>
              <w:rPr>
                <w:rFonts w:ascii="Arial" w:cs="Arial" w:eastAsia="Arial" w:hAnsi="Arial"/>
                <w:sz w:val="17"/>
                <w:szCs w:val="17"/>
                <w:color w:val="auto"/>
              </w:rPr>
              <w:t>31.2*</w:t>
            </w:r>
          </w:p>
        </w:tc>
        <w:tc>
          <w:tcPr>
            <w:tcW w:w="120" w:type="dxa"/>
            <w:vAlign w:val="bottom"/>
            <w:tcBorders>
              <w:top w:val="single" w:sz="8" w:color="CCEEFF"/>
            </w:tcBorders>
          </w:tcPr>
          <w:p>
            <w:pPr>
              <w:spacing w:after="0"/>
              <w:rPr>
                <w:sz w:val="16"/>
                <w:szCs w:val="16"/>
                <w:color w:val="auto"/>
              </w:rPr>
            </w:pPr>
          </w:p>
        </w:tc>
        <w:tc>
          <w:tcPr>
            <w:tcW w:w="20" w:type="dxa"/>
            <w:vAlign w:val="bottom"/>
            <w:tcBorders>
              <w:top w:val="single" w:sz="8" w:color="CCEEFF"/>
            </w:tcBorders>
          </w:tcPr>
          <w:p>
            <w:pPr>
              <w:spacing w:after="0"/>
              <w:rPr>
                <w:sz w:val="16"/>
                <w:szCs w:val="16"/>
                <w:color w:val="auto"/>
              </w:rPr>
            </w:pPr>
          </w:p>
        </w:tc>
        <w:tc>
          <w:tcPr>
            <w:tcW w:w="4560" w:type="dxa"/>
            <w:vAlign w:val="bottom"/>
            <w:tcBorders>
              <w:top w:val="single" w:sz="8" w:color="0000FF"/>
              <w:bottom w:val="single" w:sz="8" w:color="0000FF"/>
            </w:tcBorders>
            <w:gridSpan w:val="2"/>
          </w:tcPr>
          <w:p>
            <w:pPr>
              <w:spacing w:after="0" w:line="183" w:lineRule="exact"/>
              <w:rPr>
                <w:sz w:val="20"/>
                <w:szCs w:val="20"/>
                <w:color w:val="auto"/>
              </w:rPr>
            </w:pPr>
            <w:r>
              <w:rPr>
                <w:rFonts w:ascii="Arial" w:cs="Arial" w:eastAsia="Arial" w:hAnsi="Arial"/>
                <w:sz w:val="17"/>
                <w:szCs w:val="17"/>
                <w:color w:val="0000FF"/>
                <w:w w:val="95"/>
              </w:rPr>
              <w:t>Rule 13a-14(a)/15d-14(a) Certification of Chief Financial Officer</w:t>
            </w:r>
          </w:p>
        </w:tc>
        <w:tc>
          <w:tcPr>
            <w:tcW w:w="1020" w:type="dxa"/>
            <w:vAlign w:val="bottom"/>
            <w:tcBorders>
              <w:top w:val="single" w:sz="8" w:color="0000FF"/>
            </w:tcBorders>
          </w:tcPr>
          <w:p>
            <w:pPr>
              <w:spacing w:after="0"/>
              <w:rPr>
                <w:sz w:val="16"/>
                <w:szCs w:val="16"/>
                <w:color w:val="auto"/>
              </w:rPr>
            </w:pPr>
          </w:p>
        </w:tc>
        <w:tc>
          <w:tcPr>
            <w:tcW w:w="4420" w:type="dxa"/>
            <w:vAlign w:val="bottom"/>
            <w:tcBorders>
              <w:top w:val="single" w:sz="8" w:color="CCEEFF"/>
            </w:tcBorders>
            <w:gridSpan w:val="5"/>
          </w:tcPr>
          <w:p>
            <w:pPr>
              <w:spacing w:after="0"/>
              <w:rPr>
                <w:sz w:val="16"/>
                <w:szCs w:val="16"/>
                <w:color w:val="auto"/>
              </w:rPr>
            </w:pPr>
          </w:p>
        </w:tc>
      </w:tr>
      <w:tr>
        <w:trPr>
          <w:trHeight w:val="212"/>
        </w:trPr>
        <w:tc>
          <w:tcPr>
            <w:tcW w:w="1120" w:type="dxa"/>
            <w:vAlign w:val="bottom"/>
            <w:tcBorders>
              <w:bottom w:val="single" w:sz="8" w:color="CCEEFF"/>
            </w:tcBorders>
            <w:shd w:val="clear" w:color="auto" w:fill="CCEEFF"/>
          </w:tcPr>
          <w:p>
            <w:pPr>
              <w:ind w:left="20"/>
              <w:spacing w:after="0" w:line="193" w:lineRule="exact"/>
              <w:rPr>
                <w:sz w:val="20"/>
                <w:szCs w:val="20"/>
                <w:color w:val="auto"/>
              </w:rPr>
            </w:pPr>
            <w:r>
              <w:rPr>
                <w:rFonts w:ascii="Arial" w:cs="Arial" w:eastAsia="Arial" w:hAnsi="Arial"/>
                <w:sz w:val="17"/>
                <w:szCs w:val="17"/>
                <w:color w:val="auto"/>
              </w:rPr>
              <w:t>32.1**</w:t>
            </w:r>
          </w:p>
        </w:tc>
        <w:tc>
          <w:tcPr>
            <w:tcW w:w="12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5700" w:type="dxa"/>
            <w:vAlign w:val="bottom"/>
            <w:tcBorders>
              <w:bottom w:val="single" w:sz="8" w:color="0000FF"/>
            </w:tcBorders>
            <w:gridSpan w:val="4"/>
            <w:shd w:val="clear" w:color="auto" w:fill="CCEEFF"/>
          </w:tcPr>
          <w:p>
            <w:pPr>
              <w:spacing w:after="0" w:line="193" w:lineRule="exact"/>
              <w:rPr>
                <w:sz w:val="20"/>
                <w:szCs w:val="20"/>
                <w:color w:val="auto"/>
              </w:rPr>
            </w:pPr>
            <w:r>
              <w:rPr>
                <w:rFonts w:ascii="Arial" w:cs="Arial" w:eastAsia="Arial" w:hAnsi="Arial"/>
                <w:sz w:val="17"/>
                <w:szCs w:val="17"/>
                <w:color w:val="0000FF"/>
                <w:w w:val="95"/>
              </w:rPr>
              <w:t>Section 1350 Certification of Chief Executive Officer and Chief Financial Officer</w:t>
            </w:r>
          </w:p>
        </w:tc>
        <w:tc>
          <w:tcPr>
            <w:tcW w:w="4300" w:type="dxa"/>
            <w:vAlign w:val="bottom"/>
            <w:tcBorders>
              <w:bottom w:val="single" w:sz="8" w:color="CCEEFF"/>
            </w:tcBorders>
            <w:gridSpan w:val="4"/>
            <w:shd w:val="clear" w:color="auto" w:fill="CCEEFF"/>
          </w:tcPr>
          <w:p>
            <w:pPr>
              <w:spacing w:after="0"/>
              <w:rPr>
                <w:sz w:val="18"/>
                <w:szCs w:val="18"/>
                <w:color w:val="auto"/>
              </w:rPr>
            </w:pPr>
          </w:p>
        </w:tc>
      </w:tr>
      <w:tr>
        <w:trPr>
          <w:trHeight w:val="222"/>
        </w:trPr>
        <w:tc>
          <w:tcPr>
            <w:tcW w:w="1240" w:type="dxa"/>
            <w:vAlign w:val="bottom"/>
            <w:gridSpan w:val="2"/>
          </w:tcPr>
          <w:p>
            <w:pPr>
              <w:ind w:left="20"/>
              <w:spacing w:after="0"/>
              <w:rPr>
                <w:sz w:val="20"/>
                <w:szCs w:val="20"/>
                <w:color w:val="auto"/>
              </w:rPr>
            </w:pPr>
            <w:r>
              <w:rPr>
                <w:rFonts w:ascii="Arial" w:cs="Arial" w:eastAsia="Arial" w:hAnsi="Arial"/>
                <w:sz w:val="17"/>
                <w:szCs w:val="17"/>
                <w:color w:val="auto"/>
              </w:rPr>
              <w:t>101.INS</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7"/>
                <w:szCs w:val="17"/>
                <w:color w:val="auto"/>
              </w:rPr>
              <w:t>XBRL Instance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101.SCH</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XBRL Taxonomy Extension Schema Document</w:t>
            </w:r>
          </w:p>
        </w:tc>
      </w:tr>
      <w:tr>
        <w:trPr>
          <w:trHeight w:val="222"/>
        </w:trPr>
        <w:tc>
          <w:tcPr>
            <w:tcW w:w="1240" w:type="dxa"/>
            <w:vAlign w:val="bottom"/>
            <w:gridSpan w:val="2"/>
          </w:tcPr>
          <w:p>
            <w:pPr>
              <w:ind w:left="20"/>
              <w:spacing w:after="0"/>
              <w:rPr>
                <w:sz w:val="20"/>
                <w:szCs w:val="20"/>
                <w:color w:val="auto"/>
              </w:rPr>
            </w:pPr>
            <w:r>
              <w:rPr>
                <w:rFonts w:ascii="Arial" w:cs="Arial" w:eastAsia="Arial" w:hAnsi="Arial"/>
                <w:sz w:val="17"/>
                <w:szCs w:val="17"/>
                <w:color w:val="auto"/>
              </w:rPr>
              <w:t>101.CAL</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7"/>
                <w:szCs w:val="17"/>
                <w:color w:val="auto"/>
              </w:rPr>
              <w:t>XBRL Taxonomy Extension Calculation Linkbase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101.DEF</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XBRL Taxonomy Extension Definition Linkbase Document</w:t>
            </w:r>
          </w:p>
        </w:tc>
      </w:tr>
      <w:tr>
        <w:trPr>
          <w:trHeight w:val="222"/>
        </w:trPr>
        <w:tc>
          <w:tcPr>
            <w:tcW w:w="1240" w:type="dxa"/>
            <w:vAlign w:val="bottom"/>
            <w:gridSpan w:val="2"/>
          </w:tcPr>
          <w:p>
            <w:pPr>
              <w:ind w:left="20"/>
              <w:spacing w:after="0"/>
              <w:rPr>
                <w:sz w:val="20"/>
                <w:szCs w:val="20"/>
                <w:color w:val="auto"/>
              </w:rPr>
            </w:pPr>
            <w:r>
              <w:rPr>
                <w:rFonts w:ascii="Arial" w:cs="Arial" w:eastAsia="Arial" w:hAnsi="Arial"/>
                <w:sz w:val="17"/>
                <w:szCs w:val="17"/>
                <w:color w:val="auto"/>
              </w:rPr>
              <w:t>101.LAB</w:t>
            </w: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7"/>
                <w:szCs w:val="17"/>
                <w:color w:val="auto"/>
              </w:rPr>
              <w:t>XBRL Taxonomy Extension Label Linkbase Document</w:t>
            </w:r>
          </w:p>
        </w:tc>
      </w:tr>
      <w:tr>
        <w:trPr>
          <w:trHeight w:val="222"/>
        </w:trPr>
        <w:tc>
          <w:tcPr>
            <w:tcW w:w="124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101.PRE</w:t>
            </w:r>
          </w:p>
        </w:tc>
        <w:tc>
          <w:tcPr>
            <w:tcW w:w="20" w:type="dxa"/>
            <w:vAlign w:val="bottom"/>
            <w:shd w:val="clear" w:color="auto" w:fill="CCEEFF"/>
          </w:tcPr>
          <w:p>
            <w:pPr>
              <w:spacing w:after="0"/>
              <w:rPr>
                <w:sz w:val="19"/>
                <w:szCs w:val="19"/>
                <w:color w:val="auto"/>
              </w:rPr>
            </w:pPr>
          </w:p>
        </w:tc>
        <w:tc>
          <w:tcPr>
            <w:tcW w:w="10000" w:type="dxa"/>
            <w:vAlign w:val="bottom"/>
            <w:gridSpan w:val="8"/>
            <w:shd w:val="clear" w:color="auto" w:fill="CCEEFF"/>
          </w:tcPr>
          <w:p>
            <w:pPr>
              <w:spacing w:after="0"/>
              <w:rPr>
                <w:sz w:val="20"/>
                <w:szCs w:val="20"/>
                <w:color w:val="auto"/>
              </w:rPr>
            </w:pPr>
            <w:r>
              <w:rPr>
                <w:rFonts w:ascii="Arial" w:cs="Arial" w:eastAsia="Arial" w:hAnsi="Arial"/>
                <w:sz w:val="17"/>
                <w:szCs w:val="17"/>
                <w:color w:val="auto"/>
              </w:rPr>
              <w:t>XBRL Taxonomy Extension Presentation Linkbase Document</w:t>
            </w:r>
          </w:p>
        </w:tc>
      </w:tr>
      <w:tr>
        <w:trPr>
          <w:trHeight w:val="222"/>
        </w:trPr>
        <w:tc>
          <w:tcPr>
            <w:tcW w:w="1120" w:type="dxa"/>
            <w:vAlign w:val="bottom"/>
          </w:tcPr>
          <w:p>
            <w:pPr>
              <w:ind w:left="20"/>
              <w:spacing w:after="0"/>
              <w:rPr>
                <w:sz w:val="20"/>
                <w:szCs w:val="20"/>
                <w:color w:val="auto"/>
              </w:rPr>
            </w:pPr>
            <w:r>
              <w:rPr>
                <w:rFonts w:ascii="Arial" w:cs="Arial" w:eastAsia="Arial" w:hAnsi="Arial"/>
                <w:sz w:val="17"/>
                <w:szCs w:val="17"/>
                <w:color w:val="auto"/>
              </w:rPr>
              <w:t>104</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00" w:type="dxa"/>
            <w:vAlign w:val="bottom"/>
            <w:gridSpan w:val="8"/>
          </w:tcPr>
          <w:p>
            <w:pPr>
              <w:spacing w:after="0"/>
              <w:rPr>
                <w:sz w:val="20"/>
                <w:szCs w:val="20"/>
                <w:color w:val="auto"/>
              </w:rPr>
            </w:pPr>
            <w:r>
              <w:rPr>
                <w:rFonts w:ascii="Arial" w:cs="Arial" w:eastAsia="Arial" w:hAnsi="Arial"/>
                <w:sz w:val="17"/>
                <w:szCs w:val="17"/>
                <w:color w:val="auto"/>
              </w:rPr>
              <w:t>Cover Page Interactive Data File (formatted as Inline XBRL and contained in Exhibit 101)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0</wp:posOffset>
            </wp:positionV>
            <wp:extent cx="7136765" cy="14097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36765" cy="140970"/>
                    </a:xfrm>
                    <a:prstGeom prst="rect">
                      <a:avLst/>
                    </a:prstGeom>
                    <a:noFill/>
                  </pic:spPr>
                </pic:pic>
              </a:graphicData>
            </a:graphic>
          </wp:anchor>
        </w:drawing>
      </w:r>
    </w:p>
    <w:p>
      <w:pPr>
        <w:ind w:left="1260" w:hanging="1238"/>
        <w:spacing w:after="0"/>
        <w:tabs>
          <w:tab w:leader="none" w:pos="1260" w:val="left"/>
        </w:tabs>
        <w:numPr>
          <w:ilvl w:val="0"/>
          <w:numId w:val="8"/>
        </w:numPr>
        <w:rPr>
          <w:rFonts w:ascii="Arial" w:cs="Arial" w:eastAsia="Arial" w:hAnsi="Arial"/>
          <w:sz w:val="17"/>
          <w:szCs w:val="17"/>
          <w:color w:val="auto"/>
        </w:rPr>
      </w:pPr>
      <w:r>
        <w:rPr>
          <w:rFonts w:ascii="Arial" w:cs="Arial" w:eastAsia="Arial" w:hAnsi="Arial"/>
          <w:sz w:val="17"/>
          <w:szCs w:val="17"/>
          <w:color w:val="auto"/>
        </w:rPr>
        <w:t>Filed herewith.</w:t>
      </w:r>
    </w:p>
    <w:p>
      <w:pPr>
        <w:spacing w:after="0" w:line="27" w:lineRule="exact"/>
        <w:rPr>
          <w:sz w:val="20"/>
          <w:szCs w:val="20"/>
          <w:color w:val="auto"/>
        </w:rPr>
      </w:pPr>
    </w:p>
    <w:p>
      <w:pPr>
        <w:ind w:left="1260" w:hanging="1238"/>
        <w:spacing w:after="0"/>
        <w:tabs>
          <w:tab w:leader="none" w:pos="1260" w:val="left"/>
        </w:tabs>
        <w:numPr>
          <w:ilvl w:val="0"/>
          <w:numId w:val="9"/>
        </w:numPr>
        <w:rPr>
          <w:rFonts w:ascii="Arial" w:cs="Arial" w:eastAsia="Arial" w:hAnsi="Arial"/>
          <w:sz w:val="17"/>
          <w:szCs w:val="17"/>
          <w:color w:val="auto"/>
        </w:rPr>
      </w:pPr>
      <w:r>
        <w:rPr>
          <w:rFonts w:ascii="Arial" w:cs="Arial" w:eastAsia="Arial" w:hAnsi="Arial"/>
          <w:sz w:val="17"/>
          <w:szCs w:val="17"/>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70485</wp:posOffset>
            </wp:positionV>
            <wp:extent cx="716216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62165" cy="41910"/>
                    </a:xfrm>
                    <a:prstGeom prst="rect">
                      <a:avLst/>
                    </a:prstGeom>
                    <a:noFill/>
                  </pic:spPr>
                </pic:pic>
              </a:graphicData>
            </a:graphic>
          </wp:anchor>
        </w:drawing>
      </w:r>
    </w:p>
    <w:p>
      <w:pPr>
        <w:sectPr>
          <w:pgSz w:w="11900" w:h="16838" w:orient="portrait"/>
          <w:cols w:equalWidth="0" w:num="1">
            <w:col w:w="11240"/>
          </w:cols>
          <w:pgMar w:left="320" w:top="1323"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7"/>
          <w:szCs w:val="17"/>
          <w:b w:val="1"/>
          <w:bCs w:val="1"/>
          <w:color w:val="auto"/>
        </w:rPr>
        <w:t>SIGNATURES</w:t>
      </w:r>
    </w:p>
    <w:p>
      <w:pPr>
        <w:spacing w:after="0" w:line="176" w:lineRule="exact"/>
        <w:rPr>
          <w:sz w:val="20"/>
          <w:szCs w:val="20"/>
          <w:color w:val="auto"/>
        </w:rPr>
      </w:pPr>
    </w:p>
    <w:p>
      <w:pPr>
        <w:ind w:firstLine="470"/>
        <w:spacing w:after="0" w:line="288"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5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AVIAT NETWORKS, INC.</w:t>
      </w:r>
    </w:p>
    <w:p>
      <w:pPr>
        <w:ind w:left="6220"/>
        <w:spacing w:after="0"/>
        <w:rPr>
          <w:sz w:val="20"/>
          <w:szCs w:val="20"/>
          <w:color w:val="auto"/>
        </w:rPr>
      </w:pPr>
      <w:r>
        <w:rPr>
          <w:rFonts w:ascii="Arial" w:cs="Arial" w:eastAsia="Arial" w:hAnsi="Arial"/>
          <w:sz w:val="17"/>
          <w:szCs w:val="17"/>
          <w:color w:val="auto"/>
        </w:rPr>
        <w:t>(Registrant)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Date: February 1, 2023</w:t>
      </w:r>
    </w:p>
    <w:p>
      <w:pPr>
        <w:spacing w:after="0" w:line="314" w:lineRule="exact"/>
        <w:rPr>
          <w:sz w:val="20"/>
          <w:szCs w:val="20"/>
          <w:color w:val="auto"/>
        </w:rPr>
      </w:pPr>
    </w:p>
    <w:p>
      <w:pPr>
        <w:ind w:left="5820"/>
        <w:spacing w:after="0"/>
        <w:tabs>
          <w:tab w:leader="none" w:pos="6260" w:val="left"/>
        </w:tabs>
        <w:rPr>
          <w:sz w:val="20"/>
          <w:szCs w:val="20"/>
          <w:color w:val="auto"/>
        </w:rPr>
      </w:pPr>
      <w:r>
        <w:rPr>
          <w:rFonts w:ascii="Arial" w:cs="Arial" w:eastAsia="Arial" w:hAnsi="Arial"/>
          <w:sz w:val="17"/>
          <w:szCs w:val="17"/>
          <w:color w:val="auto"/>
        </w:rPr>
        <w:t>By:</w:t>
        <w:tab/>
        <w:t>/s/ David M. Gray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3977640</wp:posOffset>
            </wp:positionH>
            <wp:positionV relativeFrom="paragraph">
              <wp:posOffset>33020</wp:posOffset>
            </wp:positionV>
            <wp:extent cx="31616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3161665" cy="8255"/>
                    </a:xfrm>
                    <a:prstGeom prst="rect">
                      <a:avLst/>
                    </a:prstGeom>
                    <a:noFill/>
                  </pic:spPr>
                </pic:pic>
              </a:graphicData>
            </a:graphic>
          </wp:anchor>
        </w:drawing>
      </w:r>
    </w:p>
    <w:p>
      <w:pPr>
        <w:spacing w:after="0" w:line="126"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David M. Gray</w:t>
      </w:r>
    </w:p>
    <w:p>
      <w:pPr>
        <w:ind w:left="6280"/>
        <w:spacing w:after="0" w:line="224" w:lineRule="auto"/>
        <w:rPr>
          <w:sz w:val="20"/>
          <w:szCs w:val="20"/>
          <w:color w:val="auto"/>
        </w:rPr>
      </w:pPr>
      <w:r>
        <w:rPr>
          <w:rFonts w:ascii="Arial" w:cs="Arial" w:eastAsia="Arial" w:hAnsi="Arial"/>
          <w:sz w:val="17"/>
          <w:szCs w:val="17"/>
          <w:color w:val="auto"/>
        </w:rPr>
        <w:t>Senior Vice President and Chief Financial Officer (duly authorized</w:t>
      </w:r>
    </w:p>
    <w:p>
      <w:pPr>
        <w:spacing w:after="0" w:line="1" w:lineRule="exact"/>
        <w:rPr>
          <w:sz w:val="20"/>
          <w:szCs w:val="20"/>
          <w:color w:val="auto"/>
        </w:rPr>
      </w:pPr>
    </w:p>
    <w:p>
      <w:pPr>
        <w:ind w:left="6280"/>
        <w:spacing w:after="0"/>
        <w:rPr>
          <w:sz w:val="20"/>
          <w:szCs w:val="20"/>
          <w:color w:val="auto"/>
        </w:rPr>
      </w:pPr>
      <w:r>
        <w:rPr>
          <w:rFonts w:ascii="Arial" w:cs="Arial" w:eastAsia="Arial" w:hAnsi="Arial"/>
          <w:sz w:val="17"/>
          <w:szCs w:val="17"/>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240"/>
          </w:cols>
          <w:pgMar w:left="320" w:top="1297"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Peter A. Smith, certify that:</w:t>
      </w:r>
    </w:p>
    <w:p>
      <w:pPr>
        <w:spacing w:after="0" w:line="170" w:lineRule="exact"/>
        <w:rPr>
          <w:sz w:val="20"/>
          <w:szCs w:val="20"/>
          <w:color w:val="auto"/>
        </w:rPr>
      </w:pPr>
    </w:p>
    <w:p>
      <w:pPr>
        <w:ind w:left="640" w:hanging="322"/>
        <w:spacing w:after="0"/>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fiscal quarter ended December 30, 2022, of Aviat Networks, Inc.;</w:t>
      </w:r>
    </w:p>
    <w:p>
      <w:pPr>
        <w:spacing w:after="0" w:line="170"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51"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48" w:val="left"/>
        </w:tabs>
        <w:numPr>
          <w:ilvl w:val="1"/>
          <w:numId w:val="10"/>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ind w:left="1260" w:hanging="315"/>
        <w:spacing w:after="0" w:line="321" w:lineRule="auto"/>
        <w:tabs>
          <w:tab w:leader="none" w:pos="1251"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60" w:hanging="315"/>
        <w:spacing w:after="0" w:line="272" w:lineRule="auto"/>
        <w:tabs>
          <w:tab w:leader="none" w:pos="1248" w:val="left"/>
        </w:tabs>
        <w:numPr>
          <w:ilvl w:val="1"/>
          <w:numId w:val="10"/>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260" w:hanging="315"/>
        <w:spacing w:after="0" w:line="288" w:lineRule="auto"/>
        <w:tabs>
          <w:tab w:leader="none" w:pos="1251" w:val="left"/>
        </w:tabs>
        <w:numPr>
          <w:ilvl w:val="1"/>
          <w:numId w:val="1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260" w:hanging="315"/>
        <w:spacing w:after="0" w:line="288" w:lineRule="auto"/>
        <w:tabs>
          <w:tab w:leader="none" w:pos="1248" w:val="left"/>
        </w:tabs>
        <w:numPr>
          <w:ilvl w:val="1"/>
          <w:numId w:val="1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6300" w:type="dxa"/>
            <w:vAlign w:val="bottom"/>
          </w:tcPr>
          <w:p>
            <w:pPr>
              <w:spacing w:after="0"/>
              <w:rPr>
                <w:sz w:val="20"/>
                <w:szCs w:val="20"/>
                <w:color w:val="auto"/>
              </w:rPr>
            </w:pPr>
            <w:r>
              <w:rPr>
                <w:rFonts w:ascii="Arial" w:cs="Arial" w:eastAsia="Arial" w:hAnsi="Arial"/>
                <w:sz w:val="17"/>
                <w:szCs w:val="17"/>
                <w:color w:val="auto"/>
              </w:rPr>
              <w:t>Date: February 1, 2023</w:t>
            </w:r>
          </w:p>
        </w:tc>
        <w:tc>
          <w:tcPr>
            <w:tcW w:w="47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Peter A. Smith</w:t>
            </w:r>
          </w:p>
        </w:tc>
      </w:tr>
      <w:tr>
        <w:trPr>
          <w:trHeight w:val="215"/>
        </w:trPr>
        <w:tc>
          <w:tcPr>
            <w:tcW w:w="6300" w:type="dxa"/>
            <w:vAlign w:val="bottom"/>
          </w:tcPr>
          <w:p>
            <w:pPr>
              <w:spacing w:after="0"/>
              <w:rPr>
                <w:sz w:val="18"/>
                <w:szCs w:val="18"/>
                <w:color w:val="auto"/>
              </w:rPr>
            </w:pPr>
          </w:p>
        </w:tc>
        <w:tc>
          <w:tcPr>
            <w:tcW w:w="760" w:type="dxa"/>
            <w:vAlign w:val="bottom"/>
          </w:tcPr>
          <w:p>
            <w:pPr>
              <w:ind w:left="20"/>
              <w:spacing w:after="0"/>
              <w:rPr>
                <w:sz w:val="20"/>
                <w:szCs w:val="20"/>
                <w:color w:val="auto"/>
              </w:rPr>
            </w:pPr>
            <w:r>
              <w:rPr>
                <w:rFonts w:ascii="Arial" w:cs="Arial" w:eastAsia="Arial" w:hAnsi="Arial"/>
                <w:sz w:val="17"/>
                <w:szCs w:val="17"/>
                <w:color w:val="auto"/>
              </w:rPr>
              <w:t>Name:</w:t>
            </w:r>
          </w:p>
        </w:tc>
        <w:tc>
          <w:tcPr>
            <w:tcW w:w="3960" w:type="dxa"/>
            <w:vAlign w:val="bottom"/>
          </w:tcPr>
          <w:p>
            <w:pPr>
              <w:ind w:left="300"/>
              <w:spacing w:after="0"/>
              <w:rPr>
                <w:sz w:val="20"/>
                <w:szCs w:val="20"/>
                <w:color w:val="auto"/>
              </w:rPr>
            </w:pPr>
            <w:r>
              <w:rPr>
                <w:rFonts w:ascii="Arial" w:cs="Arial" w:eastAsia="Arial" w:hAnsi="Arial"/>
                <w:sz w:val="17"/>
                <w:szCs w:val="17"/>
                <w:color w:val="auto"/>
              </w:rPr>
              <w:t>Peter A. Smith</w:t>
            </w:r>
          </w:p>
        </w:tc>
      </w:tr>
      <w:tr>
        <w:trPr>
          <w:trHeight w:val="222"/>
        </w:trPr>
        <w:tc>
          <w:tcPr>
            <w:tcW w:w="6300" w:type="dxa"/>
            <w:vAlign w:val="bottom"/>
          </w:tcPr>
          <w:p>
            <w:pPr>
              <w:spacing w:after="0"/>
              <w:rPr>
                <w:sz w:val="19"/>
                <w:szCs w:val="19"/>
                <w:color w:val="auto"/>
              </w:rPr>
            </w:pPr>
          </w:p>
        </w:tc>
        <w:tc>
          <w:tcPr>
            <w:tcW w:w="760" w:type="dxa"/>
            <w:vAlign w:val="bottom"/>
          </w:tcPr>
          <w:p>
            <w:pPr>
              <w:ind w:left="20"/>
              <w:spacing w:after="0"/>
              <w:rPr>
                <w:sz w:val="20"/>
                <w:szCs w:val="20"/>
                <w:color w:val="auto"/>
              </w:rPr>
            </w:pPr>
            <w:r>
              <w:rPr>
                <w:rFonts w:ascii="Arial" w:cs="Arial" w:eastAsia="Arial" w:hAnsi="Arial"/>
                <w:sz w:val="17"/>
                <w:szCs w:val="17"/>
                <w:color w:val="auto"/>
              </w:rPr>
              <w:t>Title:</w:t>
            </w:r>
          </w:p>
        </w:tc>
        <w:tc>
          <w:tcPr>
            <w:tcW w:w="3960" w:type="dxa"/>
            <w:vAlign w:val="bottom"/>
          </w:tcPr>
          <w:p>
            <w:pPr>
              <w:ind w:left="300"/>
              <w:spacing w:after="0"/>
              <w:rPr>
                <w:sz w:val="20"/>
                <w:szCs w:val="20"/>
                <w:color w:val="auto"/>
              </w:rPr>
            </w:pPr>
            <w:r>
              <w:rPr>
                <w:rFonts w:ascii="Arial" w:cs="Arial" w:eastAsia="Arial" w:hAnsi="Arial"/>
                <w:sz w:val="17"/>
                <w:szCs w:val="17"/>
                <w:color w:val="auto"/>
              </w:rPr>
              <w:t>President and Chief Executive Officer</w:t>
            </w:r>
          </w:p>
        </w:tc>
      </w:tr>
    </w:tbl>
    <w:p>
      <w:pPr>
        <w:sectPr>
          <w:pgSz w:w="11900" w:h="16838" w:orient="portrait"/>
          <w:cols w:equalWidth="0" w:num="1">
            <w:col w:w="11240"/>
          </w:cols>
          <w:pgMar w:left="320" w:top="866"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7"/>
          <w:szCs w:val="17"/>
          <w:b w:val="1"/>
          <w:bCs w:val="1"/>
          <w:color w:val="auto"/>
        </w:rPr>
        <w:t>Exhibit 31.2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PURSUANT TO SECTION 302(a)</w:t>
      </w:r>
    </w:p>
    <w:p>
      <w:pPr>
        <w:spacing w:after="0" w:line="6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THE SARBANES-OXLEY ACT OF 2002</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7"/>
          <w:szCs w:val="17"/>
          <w:color w:val="auto"/>
        </w:rPr>
        <w:t>I, David M. Gray, certify that:</w:t>
      </w:r>
    </w:p>
    <w:p>
      <w:pPr>
        <w:spacing w:after="0" w:line="170" w:lineRule="exact"/>
        <w:rPr>
          <w:sz w:val="20"/>
          <w:szCs w:val="20"/>
          <w:color w:val="auto"/>
        </w:rPr>
      </w:pPr>
    </w:p>
    <w:p>
      <w:pPr>
        <w:ind w:left="640" w:hanging="322"/>
        <w:spacing w:after="0"/>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for the fiscal quarter ended December 30, 2022, of Aviat Networks, Inc.;</w:t>
      </w:r>
    </w:p>
    <w:p>
      <w:pPr>
        <w:spacing w:after="0" w:line="170"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5" w:lineRule="exact"/>
        <w:rPr>
          <w:rFonts w:ascii="Arial" w:cs="Arial" w:eastAsia="Arial" w:hAnsi="Arial"/>
          <w:sz w:val="17"/>
          <w:szCs w:val="17"/>
          <w:color w:val="auto"/>
        </w:rPr>
      </w:pPr>
    </w:p>
    <w:p>
      <w:pPr>
        <w:jc w:val="both"/>
        <w:ind w:left="640" w:hanging="322"/>
        <w:spacing w:after="0" w:line="272"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51"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19" w:lineRule="exact"/>
        <w:rPr>
          <w:rFonts w:ascii="Arial" w:cs="Arial" w:eastAsia="Arial" w:hAnsi="Arial"/>
          <w:sz w:val="17"/>
          <w:szCs w:val="17"/>
          <w:color w:val="auto"/>
        </w:rPr>
      </w:pPr>
    </w:p>
    <w:p>
      <w:pPr>
        <w:jc w:val="both"/>
        <w:ind w:left="1260" w:hanging="315"/>
        <w:spacing w:after="0" w:line="272" w:lineRule="auto"/>
        <w:tabs>
          <w:tab w:leader="none" w:pos="124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19" w:lineRule="exact"/>
        <w:rPr>
          <w:rFonts w:ascii="Arial" w:cs="Arial" w:eastAsia="Arial" w:hAnsi="Arial"/>
          <w:sz w:val="17"/>
          <w:szCs w:val="17"/>
          <w:color w:val="auto"/>
        </w:rPr>
      </w:pPr>
    </w:p>
    <w:p>
      <w:pPr>
        <w:ind w:left="1260" w:hanging="315"/>
        <w:spacing w:after="0" w:line="321" w:lineRule="auto"/>
        <w:tabs>
          <w:tab w:leader="none" w:pos="1251" w:val="left"/>
        </w:tabs>
        <w:numPr>
          <w:ilvl w:val="1"/>
          <w:numId w:val="1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2" w:lineRule="exact"/>
        <w:rPr>
          <w:rFonts w:ascii="Arial" w:cs="Arial" w:eastAsia="Arial" w:hAnsi="Arial"/>
          <w:sz w:val="16"/>
          <w:szCs w:val="16"/>
          <w:color w:val="auto"/>
        </w:rPr>
      </w:pPr>
    </w:p>
    <w:p>
      <w:pPr>
        <w:jc w:val="both"/>
        <w:ind w:left="1260" w:hanging="315"/>
        <w:spacing w:after="0" w:line="272" w:lineRule="auto"/>
        <w:tabs>
          <w:tab w:leader="none" w:pos="1248" w:val="left"/>
        </w:tabs>
        <w:numPr>
          <w:ilvl w:val="1"/>
          <w:numId w:val="1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19" w:lineRule="exact"/>
        <w:rPr>
          <w:rFonts w:ascii="Arial" w:cs="Arial" w:eastAsia="Arial" w:hAnsi="Arial"/>
          <w:sz w:val="17"/>
          <w:szCs w:val="17"/>
          <w:color w:val="auto"/>
        </w:rPr>
      </w:pPr>
    </w:p>
    <w:p>
      <w:pPr>
        <w:ind w:left="640" w:hanging="322"/>
        <w:spacing w:after="0" w:line="288" w:lineRule="auto"/>
        <w:tabs>
          <w:tab w:leader="none" w:pos="640" w:val="left"/>
        </w:tabs>
        <w:numPr>
          <w:ilvl w:val="0"/>
          <w:numId w:val="1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5" w:lineRule="exact"/>
        <w:rPr>
          <w:rFonts w:ascii="Arial" w:cs="Arial" w:eastAsia="Arial" w:hAnsi="Arial"/>
          <w:sz w:val="17"/>
          <w:szCs w:val="17"/>
          <w:color w:val="auto"/>
        </w:rPr>
      </w:pPr>
    </w:p>
    <w:p>
      <w:pPr>
        <w:ind w:left="1260" w:hanging="315"/>
        <w:spacing w:after="0" w:line="288" w:lineRule="auto"/>
        <w:tabs>
          <w:tab w:leader="none" w:pos="1251" w:val="left"/>
        </w:tabs>
        <w:numPr>
          <w:ilvl w:val="1"/>
          <w:numId w:val="1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5" w:lineRule="exact"/>
        <w:rPr>
          <w:rFonts w:ascii="Arial" w:cs="Arial" w:eastAsia="Arial" w:hAnsi="Arial"/>
          <w:sz w:val="17"/>
          <w:szCs w:val="17"/>
          <w:color w:val="auto"/>
        </w:rPr>
      </w:pPr>
    </w:p>
    <w:p>
      <w:pPr>
        <w:ind w:left="1260" w:hanging="315"/>
        <w:spacing w:after="0" w:line="288" w:lineRule="auto"/>
        <w:tabs>
          <w:tab w:leader="none" w:pos="1248" w:val="left"/>
        </w:tabs>
        <w:numPr>
          <w:ilvl w:val="1"/>
          <w:numId w:val="1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tbl>
      <w:tblPr>
        <w:tblLayout w:type="fixed"/>
        <w:tblInd w:w="220" w:type="dxa"/>
        <w:tblCellMar>
          <w:top w:w="0" w:type="dxa"/>
          <w:left w:w="0" w:type="dxa"/>
          <w:bottom w:w="0" w:type="dxa"/>
          <w:right w:w="0" w:type="dxa"/>
        </w:tblCellMar>
      </w:tblPr>
      <w:tr>
        <w:trPr>
          <w:trHeight w:val="221"/>
        </w:trPr>
        <w:tc>
          <w:tcPr>
            <w:tcW w:w="5500" w:type="dxa"/>
            <w:vAlign w:val="bottom"/>
          </w:tcPr>
          <w:p>
            <w:pPr>
              <w:spacing w:after="0"/>
              <w:rPr>
                <w:sz w:val="20"/>
                <w:szCs w:val="20"/>
                <w:color w:val="auto"/>
              </w:rPr>
            </w:pPr>
            <w:r>
              <w:rPr>
                <w:rFonts w:ascii="Arial" w:cs="Arial" w:eastAsia="Arial" w:hAnsi="Arial"/>
                <w:sz w:val="17"/>
                <w:szCs w:val="17"/>
                <w:color w:val="auto"/>
              </w:rPr>
              <w:t>Date: February 1, 2023</w:t>
            </w:r>
          </w:p>
        </w:tc>
        <w:tc>
          <w:tcPr>
            <w:tcW w:w="55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rPr>
              <w:t>/s/ David M. Gray</w:t>
            </w:r>
          </w:p>
        </w:tc>
      </w:tr>
      <w:tr>
        <w:trPr>
          <w:trHeight w:val="215"/>
        </w:trPr>
        <w:tc>
          <w:tcPr>
            <w:tcW w:w="5500" w:type="dxa"/>
            <w:vAlign w:val="bottom"/>
          </w:tcPr>
          <w:p>
            <w:pPr>
              <w:spacing w:after="0"/>
              <w:rPr>
                <w:sz w:val="18"/>
                <w:szCs w:val="18"/>
                <w:color w:val="auto"/>
              </w:rPr>
            </w:pPr>
          </w:p>
        </w:tc>
        <w:tc>
          <w:tcPr>
            <w:tcW w:w="660" w:type="dxa"/>
            <w:vAlign w:val="bottom"/>
          </w:tcPr>
          <w:p>
            <w:pPr>
              <w:ind w:left="20"/>
              <w:spacing w:after="0"/>
              <w:rPr>
                <w:sz w:val="20"/>
                <w:szCs w:val="20"/>
                <w:color w:val="auto"/>
              </w:rPr>
            </w:pPr>
            <w:r>
              <w:rPr>
                <w:rFonts w:ascii="Arial" w:cs="Arial" w:eastAsia="Arial" w:hAnsi="Arial"/>
                <w:sz w:val="17"/>
                <w:szCs w:val="17"/>
                <w:color w:val="auto"/>
              </w:rPr>
              <w:t>Name:</w:t>
            </w:r>
          </w:p>
        </w:tc>
        <w:tc>
          <w:tcPr>
            <w:tcW w:w="4860" w:type="dxa"/>
            <w:vAlign w:val="bottom"/>
          </w:tcPr>
          <w:p>
            <w:pPr>
              <w:ind w:left="200"/>
              <w:spacing w:after="0"/>
              <w:rPr>
                <w:sz w:val="20"/>
                <w:szCs w:val="20"/>
                <w:color w:val="auto"/>
              </w:rPr>
            </w:pPr>
            <w:r>
              <w:rPr>
                <w:rFonts w:ascii="Arial" w:cs="Arial" w:eastAsia="Arial" w:hAnsi="Arial"/>
                <w:sz w:val="17"/>
                <w:szCs w:val="17"/>
                <w:color w:val="auto"/>
              </w:rPr>
              <w:t>David M. Gray</w:t>
            </w:r>
          </w:p>
        </w:tc>
      </w:tr>
      <w:tr>
        <w:trPr>
          <w:trHeight w:val="222"/>
        </w:trPr>
        <w:tc>
          <w:tcPr>
            <w:tcW w:w="5500" w:type="dxa"/>
            <w:vAlign w:val="bottom"/>
          </w:tcPr>
          <w:p>
            <w:pPr>
              <w:spacing w:after="0"/>
              <w:rPr>
                <w:sz w:val="19"/>
                <w:szCs w:val="19"/>
                <w:color w:val="auto"/>
              </w:rPr>
            </w:pPr>
          </w:p>
        </w:tc>
        <w:tc>
          <w:tcPr>
            <w:tcW w:w="660" w:type="dxa"/>
            <w:vAlign w:val="bottom"/>
          </w:tcPr>
          <w:p>
            <w:pPr>
              <w:ind w:left="20"/>
              <w:spacing w:after="0"/>
              <w:rPr>
                <w:sz w:val="20"/>
                <w:szCs w:val="20"/>
                <w:color w:val="auto"/>
              </w:rPr>
            </w:pPr>
            <w:r>
              <w:rPr>
                <w:rFonts w:ascii="Arial" w:cs="Arial" w:eastAsia="Arial" w:hAnsi="Arial"/>
                <w:sz w:val="17"/>
                <w:szCs w:val="17"/>
                <w:color w:val="auto"/>
              </w:rPr>
              <w:t>Title:</w:t>
            </w:r>
          </w:p>
        </w:tc>
        <w:tc>
          <w:tcPr>
            <w:tcW w:w="4860" w:type="dxa"/>
            <w:vAlign w:val="bottom"/>
          </w:tcPr>
          <w:p>
            <w:pPr>
              <w:ind w:left="200"/>
              <w:spacing w:after="0"/>
              <w:rPr>
                <w:sz w:val="20"/>
                <w:szCs w:val="20"/>
                <w:color w:val="auto"/>
              </w:rPr>
            </w:pPr>
            <w:r>
              <w:rPr>
                <w:rFonts w:ascii="Arial" w:cs="Arial" w:eastAsia="Arial" w:hAnsi="Arial"/>
                <w:sz w:val="17"/>
                <w:szCs w:val="17"/>
                <w:color w:val="auto"/>
              </w:rPr>
              <w:t>Senior Vice President and Chief Financial Officer</w:t>
            </w:r>
          </w:p>
        </w:tc>
      </w:tr>
    </w:tbl>
    <w:p>
      <w:pPr>
        <w:sectPr>
          <w:pgSz w:w="11900" w:h="16838" w:orient="portrait"/>
          <w:cols w:equalWidth="0" w:num="1">
            <w:col w:w="11240"/>
          </w:cols>
          <w:pgMar w:left="320" w:top="866" w:right="339" w:bottom="1440" w:gutter="0" w:footer="0" w:header="0"/>
        </w:sectPr>
      </w:pPr>
    </w:p>
    <w:bookmarkStart w:id="38" w:name="page39"/>
    <w:bookmarkEnd w:id="38"/>
    <w:p>
      <w:pPr>
        <w:jc w:val="right"/>
        <w:spacing w:after="0"/>
        <w:rPr>
          <w:sz w:val="20"/>
          <w:szCs w:val="20"/>
          <w:color w:val="auto"/>
        </w:rPr>
      </w:pPr>
      <w:r>
        <w:rPr>
          <w:rFonts w:ascii="Arial" w:cs="Arial" w:eastAsia="Arial" w:hAnsi="Arial"/>
          <w:sz w:val="17"/>
          <w:szCs w:val="17"/>
          <w:b w:val="1"/>
          <w:bCs w:val="1"/>
          <w:color w:val="auto"/>
        </w:rPr>
        <w:t>Exhibit 32.1</w:t>
      </w:r>
    </w:p>
    <w:p>
      <w:pPr>
        <w:spacing w:after="0" w:line="301" w:lineRule="exact"/>
        <w:rPr>
          <w:sz w:val="20"/>
          <w:szCs w:val="20"/>
          <w:color w:val="auto"/>
        </w:rPr>
      </w:pPr>
    </w:p>
    <w:p>
      <w:pPr>
        <w:jc w:val="center"/>
        <w:spacing w:after="0" w:line="333" w:lineRule="auto"/>
        <w:rPr>
          <w:sz w:val="20"/>
          <w:szCs w:val="20"/>
          <w:color w:val="auto"/>
        </w:rPr>
      </w:pPr>
      <w:r>
        <w:rPr>
          <w:rFonts w:ascii="Arial" w:cs="Arial" w:eastAsia="Arial" w:hAnsi="Arial"/>
          <w:sz w:val="17"/>
          <w:szCs w:val="17"/>
          <w:b w:val="1"/>
          <w:bCs w:val="1"/>
          <w:color w:val="auto"/>
        </w:rPr>
        <w:t>CERTIFICATIONS OF CHIEF EXECUTIVE OFFICER AND PRINCIPAL FINANCIAL OFFICER OF AVIAT NETWORKS, INC. PURSUANT TO TITLE 18 OF THE UNITED STATES CODE SECTION 1350, AS ADOPTED PURSUANT TO SECTION 906 OF THE SARBANES-OXLEY ACT OF 2002</w:t>
      </w:r>
    </w:p>
    <w:p>
      <w:pPr>
        <w:spacing w:after="0" w:line="35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In connection with the filing of the Quarterly Report on Form 10-Q of Aviat Networks, Inc. (“Aviat Networks”) for the fiscal quarter ended December 30, 2022, as filed with the Securities and Exchange Commission on the date hereof (the “Report”), we, Peter A. Smith, President and Chief Executive Officer of Aviat Networks, and David M. Gray, Senior Vice President and Chief Financial Officer of Aviat Networks, hereby certify, pursuant to Section 906 of the Sarbanes-Oxley Act of 2002, 18 U.S.C. §1350, that:</w:t>
      </w:r>
    </w:p>
    <w:p>
      <w:pPr>
        <w:spacing w:after="0" w:line="136" w:lineRule="exact"/>
        <w:rPr>
          <w:sz w:val="20"/>
          <w:szCs w:val="20"/>
          <w:color w:val="auto"/>
        </w:rPr>
      </w:pPr>
    </w:p>
    <w:p>
      <w:pPr>
        <w:ind w:left="640" w:hanging="322"/>
        <w:spacing w:after="0"/>
        <w:tabs>
          <w:tab w:leader="none" w:pos="6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Report fully complies with the requirements of Section 13(a) or 15(d), as applicable, of the Securities Exchange Act of 1934, as amended; and</w:t>
      </w:r>
    </w:p>
    <w:p>
      <w:pPr>
        <w:spacing w:after="0" w:line="208" w:lineRule="exact"/>
        <w:rPr>
          <w:rFonts w:ascii="Arial" w:cs="Arial" w:eastAsia="Arial" w:hAnsi="Arial"/>
          <w:sz w:val="16"/>
          <w:szCs w:val="16"/>
          <w:color w:val="auto"/>
        </w:rPr>
      </w:pPr>
    </w:p>
    <w:p>
      <w:pPr>
        <w:ind w:left="640" w:hanging="322"/>
        <w:spacing w:after="0" w:line="288" w:lineRule="auto"/>
        <w:tabs>
          <w:tab w:leader="none" w:pos="640" w:val="left"/>
        </w:tabs>
        <w:numPr>
          <w:ilvl w:val="0"/>
          <w:numId w:val="1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Aviat Networks as of the dates and for the periods expressed in the Report.</w:t>
      </w:r>
    </w:p>
    <w:p>
      <w:pPr>
        <w:spacing w:after="0" w:line="200" w:lineRule="exact"/>
        <w:rPr>
          <w:sz w:val="20"/>
          <w:szCs w:val="20"/>
          <w:color w:val="auto"/>
        </w:rPr>
      </w:pPr>
    </w:p>
    <w:p>
      <w:pPr>
        <w:spacing w:after="0" w:line="376" w:lineRule="exact"/>
        <w:rPr>
          <w:sz w:val="20"/>
          <w:szCs w:val="20"/>
          <w:color w:val="auto"/>
        </w:rPr>
      </w:pPr>
    </w:p>
    <w:tbl>
      <w:tblPr>
        <w:tblLayout w:type="fixed"/>
        <w:tblInd w:w="180" w:type="dxa"/>
        <w:tblCellMar>
          <w:top w:w="0" w:type="dxa"/>
          <w:left w:w="0" w:type="dxa"/>
          <w:bottom w:w="0" w:type="dxa"/>
          <w:right w:w="0" w:type="dxa"/>
        </w:tblCellMar>
      </w:tblPr>
      <w:tr>
        <w:trPr>
          <w:trHeight w:val="196"/>
        </w:trPr>
        <w:tc>
          <w:tcPr>
            <w:tcW w:w="5840" w:type="dxa"/>
            <w:vAlign w:val="bottom"/>
          </w:tcPr>
          <w:p>
            <w:pPr>
              <w:spacing w:after="0"/>
              <w:rPr>
                <w:sz w:val="20"/>
                <w:szCs w:val="20"/>
                <w:color w:val="auto"/>
              </w:rPr>
            </w:pPr>
            <w:r>
              <w:rPr>
                <w:rFonts w:ascii="Arial" w:cs="Arial" w:eastAsia="Arial" w:hAnsi="Arial"/>
                <w:sz w:val="17"/>
                <w:szCs w:val="17"/>
                <w:color w:val="auto"/>
              </w:rPr>
              <w:t>Date:</w:t>
            </w:r>
          </w:p>
        </w:tc>
        <w:tc>
          <w:tcPr>
            <w:tcW w:w="5080" w:type="dxa"/>
            <w:vAlign w:val="bottom"/>
          </w:tcPr>
          <w:p>
            <w:pPr>
              <w:spacing w:after="0"/>
              <w:rPr>
                <w:sz w:val="17"/>
                <w:szCs w:val="17"/>
                <w:color w:val="auto"/>
              </w:rPr>
            </w:pPr>
          </w:p>
        </w:tc>
      </w:tr>
      <w:tr>
        <w:trPr>
          <w:trHeight w:val="221"/>
        </w:trPr>
        <w:tc>
          <w:tcPr>
            <w:tcW w:w="5840" w:type="dxa"/>
            <w:vAlign w:val="bottom"/>
          </w:tcPr>
          <w:p>
            <w:pPr>
              <w:ind w:left="660"/>
              <w:spacing w:after="0"/>
              <w:rPr>
                <w:sz w:val="20"/>
                <w:szCs w:val="20"/>
                <w:color w:val="auto"/>
              </w:rPr>
            </w:pPr>
            <w:r>
              <w:rPr>
                <w:rFonts w:ascii="Arial" w:cs="Arial" w:eastAsia="Arial" w:hAnsi="Arial"/>
                <w:sz w:val="17"/>
                <w:szCs w:val="17"/>
                <w:color w:val="auto"/>
              </w:rPr>
              <w:t>February 1, 2023</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Peter A. Smith</w:t>
            </w:r>
          </w:p>
        </w:tc>
      </w:tr>
      <w:tr>
        <w:trPr>
          <w:trHeight w:val="215"/>
        </w:trPr>
        <w:tc>
          <w:tcPr>
            <w:tcW w:w="58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Name: Peter A. Smith</w:t>
            </w:r>
          </w:p>
        </w:tc>
      </w:tr>
      <w:tr>
        <w:trPr>
          <w:trHeight w:val="222"/>
        </w:trPr>
        <w:tc>
          <w:tcPr>
            <w:tcW w:w="58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Title: President and Chief Executive Officer</w:t>
            </w:r>
          </w:p>
        </w:tc>
      </w:tr>
      <w:tr>
        <w:trPr>
          <w:trHeight w:val="419"/>
        </w:trPr>
        <w:tc>
          <w:tcPr>
            <w:tcW w:w="5840" w:type="dxa"/>
            <w:vAlign w:val="bottom"/>
          </w:tcPr>
          <w:p>
            <w:pPr>
              <w:spacing w:after="0"/>
              <w:rPr>
                <w:sz w:val="20"/>
                <w:szCs w:val="20"/>
                <w:color w:val="auto"/>
              </w:rPr>
            </w:pPr>
            <w:r>
              <w:rPr>
                <w:rFonts w:ascii="Arial" w:cs="Arial" w:eastAsia="Arial" w:hAnsi="Arial"/>
                <w:sz w:val="17"/>
                <w:szCs w:val="17"/>
                <w:color w:val="auto"/>
              </w:rPr>
              <w:t>Date:</w:t>
            </w:r>
          </w:p>
        </w:tc>
        <w:tc>
          <w:tcPr>
            <w:tcW w:w="5080" w:type="dxa"/>
            <w:vAlign w:val="bottom"/>
          </w:tcPr>
          <w:p>
            <w:pPr>
              <w:spacing w:after="0"/>
              <w:rPr>
                <w:sz w:val="24"/>
                <w:szCs w:val="24"/>
                <w:color w:val="auto"/>
              </w:rPr>
            </w:pPr>
          </w:p>
        </w:tc>
      </w:tr>
      <w:tr>
        <w:trPr>
          <w:trHeight w:val="221"/>
        </w:trPr>
        <w:tc>
          <w:tcPr>
            <w:tcW w:w="5840" w:type="dxa"/>
            <w:vAlign w:val="bottom"/>
          </w:tcPr>
          <w:p>
            <w:pPr>
              <w:ind w:left="660"/>
              <w:spacing w:after="0"/>
              <w:rPr>
                <w:sz w:val="20"/>
                <w:szCs w:val="20"/>
                <w:color w:val="auto"/>
              </w:rPr>
            </w:pPr>
            <w:r>
              <w:rPr>
                <w:rFonts w:ascii="Arial" w:cs="Arial" w:eastAsia="Arial" w:hAnsi="Arial"/>
                <w:sz w:val="17"/>
                <w:szCs w:val="17"/>
                <w:color w:val="auto"/>
              </w:rPr>
              <w:t>February 1, 2023</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David M. Gray</w:t>
            </w:r>
          </w:p>
        </w:tc>
      </w:tr>
      <w:tr>
        <w:trPr>
          <w:trHeight w:val="215"/>
        </w:trPr>
        <w:tc>
          <w:tcPr>
            <w:tcW w:w="584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Name: David M. Gray</w:t>
            </w:r>
          </w:p>
        </w:tc>
      </w:tr>
      <w:tr>
        <w:trPr>
          <w:trHeight w:val="222"/>
        </w:trPr>
        <w:tc>
          <w:tcPr>
            <w:tcW w:w="584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7"/>
                <w:szCs w:val="17"/>
                <w:color w:val="auto"/>
              </w:rPr>
              <w:t>Title: Senior Vice President and Chief Financial Officer</w:t>
            </w:r>
          </w:p>
        </w:tc>
      </w:tr>
    </w:tbl>
    <w:p>
      <w:pPr>
        <w:spacing w:after="0" w:line="1" w:lineRule="exact"/>
        <w:rPr>
          <w:sz w:val="20"/>
          <w:szCs w:val="20"/>
          <w:color w:val="auto"/>
        </w:rPr>
      </w:pPr>
    </w:p>
    <w:sectPr>
      <w:pgSz w:w="11900" w:h="16838" w:orient="portrait"/>
      <w:cols w:equalWidth="0" w:num="1">
        <w:col w:w="11240"/>
      </w:cols>
      <w:pgMar w:left="320" w:top="86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EB141F2"/>
    <w:multiLevelType w:val="hybridMultilevel"/>
    <w:lvl w:ilvl="0">
      <w:lvlJc w:val="left"/>
      <w:lvlText w:val="☒"/>
      <w:numFmt w:val="bullet"/>
      <w:start w:val="1"/>
    </w:lvl>
  </w:abstractNum>
  <w:abstractNum w:abstractNumId="1">
    <w:nsid w:val="41B71EFB"/>
    <w:multiLevelType w:val="hybridMultilevel"/>
    <w:lvl w:ilvl="0">
      <w:lvlJc w:val="left"/>
      <w:lvlText w:val="☐"/>
      <w:numFmt w:val="bullet"/>
      <w:start w:val="1"/>
    </w:lvl>
  </w:abstractNum>
  <w:abstractNum w:abstractNumId="2">
    <w:nsid w:val="79E2A9E3"/>
    <w:multiLevelType w:val="hybridMultilevel"/>
    <w:lvl w:ilvl="0">
      <w:lvlJc w:val="left"/>
      <w:lvlText w:val="•"/>
      <w:numFmt w:val="bullet"/>
      <w:start w:val="1"/>
    </w:lvl>
  </w:abstractNum>
  <w:abstractNum w:abstractNumId="3">
    <w:nsid w:val="7545E146"/>
    <w:multiLevelType w:val="hybridMultilevel"/>
    <w:lvl w:ilvl="0">
      <w:lvlJc w:val="left"/>
      <w:lvlText w:val="•"/>
      <w:numFmt w:val="bullet"/>
      <w:start w:val="1"/>
    </w:lvl>
  </w:abstractNum>
  <w:abstractNum w:abstractNumId="4">
    <w:nsid w:val="515F007C"/>
    <w:multiLevelType w:val="hybridMultilevel"/>
    <w:lvl w:ilvl="0">
      <w:lvlJc w:val="left"/>
      <w:lvlText w:val="•"/>
      <w:numFmt w:val="bullet"/>
      <w:start w:val="1"/>
    </w:lvl>
  </w:abstractNum>
  <w:abstractNum w:abstractNumId="5">
    <w:nsid w:val="5BD062C2"/>
    <w:multiLevelType w:val="hybridMultilevel"/>
    <w:lvl w:ilvl="0">
      <w:lvlJc w:val="left"/>
      <w:lvlText w:val="•"/>
      <w:numFmt w:val="bullet"/>
      <w:start w:val="1"/>
    </w:lvl>
  </w:abstractNum>
  <w:abstractNum w:abstractNumId="6">
    <w:nsid w:val="12200854"/>
    <w:multiLevelType w:val="hybridMultilevel"/>
    <w:lvl w:ilvl="0">
      <w:lvlJc w:val="left"/>
      <w:lvlText w:val="•"/>
      <w:numFmt w:val="bullet"/>
      <w:start w:val="1"/>
    </w:lvl>
  </w:abstractNum>
  <w:abstractNum w:abstractNumId="7">
    <w:nsid w:val="4DB127F8"/>
    <w:multiLevelType w:val="hybridMultilevel"/>
    <w:lvl w:ilvl="0">
      <w:lvlJc w:val="left"/>
      <w:lvlText w:val="*"/>
      <w:numFmt w:val="bullet"/>
      <w:start w:val="1"/>
    </w:lvl>
  </w:abstractNum>
  <w:abstractNum w:abstractNumId="8">
    <w:nsid w:val="216231B"/>
    <w:multiLevelType w:val="hybridMultilevel"/>
    <w:lvl w:ilvl="0">
      <w:lvlJc w:val="left"/>
      <w:lvlText w:val="**"/>
      <w:numFmt w:val="bullet"/>
      <w:start w:val="1"/>
    </w:lvl>
  </w:abstractNum>
  <w:abstractNum w:abstractNumId="9">
    <w:nsid w:val="1F16E9E8"/>
    <w:multiLevelType w:val="hybridMultilevel"/>
    <w:lvl w:ilvl="0">
      <w:lvlJc w:val="left"/>
      <w:lvlText w:val="%1."/>
      <w:numFmt w:val="decimal"/>
      <w:start w:val="1"/>
    </w:lvl>
    <w:lvl w:ilvl="1">
      <w:lvlJc w:val="left"/>
      <w:lvlText w:val="%2)"/>
      <w:numFmt w:val="lowerLetter"/>
      <w:start w:val="1"/>
    </w:lvl>
  </w:abstractNum>
  <w:abstractNum w:abstractNumId="10">
    <w:nsid w:val="1190CDE7"/>
    <w:multiLevelType w:val="hybridMultilevel"/>
    <w:lvl w:ilvl="0">
      <w:lvlJc w:val="left"/>
      <w:lvlText w:val="%1."/>
      <w:numFmt w:val="decimal"/>
      <w:start w:val="1"/>
    </w:lvl>
    <w:lvl w:ilvl="1">
      <w:lvlJc w:val="left"/>
      <w:lvlText w:val="%2)"/>
      <w:numFmt w:val="lowerLetter"/>
      <w:start w:val="1"/>
    </w:lvl>
  </w:abstractNum>
  <w:abstractNum w:abstractNumId="11">
    <w:nsid w:val="66EF438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56" Type="http://schemas.openxmlformats.org/officeDocument/2006/relationships/hyperlink" Target="http://www.sec.gov/Archives/edgar/data/1377789/000137778917000022/avnwexhibit31amendedandres.htm" TargetMode="External"/><Relationship Id="rId57" Type="http://schemas.openxmlformats.org/officeDocument/2006/relationships/hyperlink" Target="http://www.sec.gov/Archives/edgar/data/1377789/000137778922000134/amendedandrestatedbylaws8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2023-02-01T15:19:59Z</dcterms:created>
  <dcterms:modified xsi:type="dcterms:W3CDTF">2023-02-01T15:19:59Z</dcterms:modified>
</cp:coreProperties>
</file>