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3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 the quarterly period ended September 28, 2018</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3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4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x</w:t>
            </w:r>
          </w:p>
        </w:tc>
        <w:tc>
          <w:tcPr>
            <w:tcW w:w="50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r>
        <w:rPr>
          <w:rFonts w:ascii="MS PGothic" w:cs="MS PGothic" w:eastAsia="MS PGothic" w:hAnsi="MS PGothic"/>
          <w:sz w:val="18"/>
          <w:szCs w:val="18"/>
          <w:color w:val="auto"/>
        </w:rPr>
        <w:t>☐</w:t>
      </w:r>
    </w:p>
    <w:p>
      <w:pPr>
        <w:spacing w:after="0" w:line="74" w:lineRule="exact"/>
        <w:rPr>
          <w:sz w:val="24"/>
          <w:szCs w:val="24"/>
          <w:color w:val="auto"/>
        </w:rPr>
      </w:pPr>
    </w:p>
    <w:p>
      <w:pPr>
        <w:ind w:right="1940"/>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October 31, 2018 was 5,424,548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9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28, 2018</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Loss (Unaudited)</w:t>
            </w:r>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2">
              <w:r>
                <w:rPr>
                  <w:rFonts w:ascii="Arial" w:cs="Arial" w:eastAsia="Arial" w:hAnsi="Arial"/>
                  <w:sz w:val="18"/>
                  <w:szCs w:val="18"/>
                  <w:color w:val="auto"/>
                </w:rPr>
                <w:t>Item 2. 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8">
              <w:r>
                <w:rPr>
                  <w:rFonts w:ascii="Arial" w:cs="Arial" w:eastAsia="Arial" w:hAnsi="Arial"/>
                  <w:sz w:val="18"/>
                  <w:szCs w:val="18"/>
                  <w:color w:val="auto"/>
                </w:rPr>
                <w:t>Item 3. Quantitative and Qualitative Disclosures About Market Risk</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29">
              <w:r>
                <w:rPr>
                  <w:rFonts w:ascii="Arial" w:cs="Arial" w:eastAsia="Arial" w:hAnsi="Arial"/>
                  <w:sz w:val="18"/>
                  <w:szCs w:val="18"/>
                  <w:color w:val="auto"/>
                </w:rPr>
                <w:t>Item 4. Controls and Procedures</w:t>
              </w:r>
            </w:hyperlink>
          </w:p>
        </w:tc>
        <w:tc>
          <w:tcPr>
            <w:tcW w:w="5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1. Legal Proceedings</w:t>
              </w:r>
            </w:hyperlink>
          </w:p>
        </w:tc>
        <w:tc>
          <w:tcPr>
            <w:tcW w:w="5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1A. Risk Factors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2. Unregistered Sales of Equity Securities and Use of Proceeds</w:t>
              </w:r>
            </w:hyperlink>
          </w:p>
        </w:tc>
        <w:tc>
          <w:tcPr>
            <w:tcW w:w="5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3. Defaults upon Senior Securities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4. Mine Safety Disclosures</w:t>
              </w:r>
            </w:hyperlink>
          </w:p>
        </w:tc>
        <w:tc>
          <w:tcPr>
            <w:tcW w:w="5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1">
              <w:r>
                <w:rPr>
                  <w:rFonts w:ascii="Arial" w:cs="Arial" w:eastAsia="Arial" w:hAnsi="Arial"/>
                  <w:sz w:val="18"/>
                  <w:szCs w:val="18"/>
                  <w:color w:val="auto"/>
                </w:rPr>
                <w:t>Item 5. Other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6. Exhibits</w:t>
              </w:r>
            </w:hyperlink>
          </w:p>
        </w:tc>
        <w:tc>
          <w:tcPr>
            <w:tcW w:w="5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Signature</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Exhibit Index</w:t>
              </w:r>
            </w:hyperlink>
          </w:p>
        </w:tc>
        <w:tc>
          <w:tcPr>
            <w:tcW w:w="5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486"/>
        </w:trPr>
        <w:tc>
          <w:tcPr>
            <w:tcW w:w="10460" w:type="dxa"/>
            <w:vAlign w:val="bottom"/>
          </w:tcPr>
          <w:p>
            <w:pPr>
              <w:ind w:left="54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80" w:right="4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00" w:type="dxa"/>
            <w:vAlign w:val="bottom"/>
          </w:tcPr>
          <w:p>
            <w:pPr>
              <w:jc w:val="center"/>
              <w:ind w:right="5550"/>
              <w:spacing w:after="0"/>
              <w:rPr>
                <w:sz w:val="20"/>
                <w:szCs w:val="20"/>
                <w:color w:val="auto"/>
              </w:rPr>
            </w:pPr>
            <w:r>
              <w:rPr>
                <w:rFonts w:ascii="Arial" w:cs="Arial" w:eastAsia="Arial" w:hAnsi="Arial"/>
                <w:sz w:val="18"/>
                <w:szCs w:val="18"/>
                <w:b w:val="1"/>
                <w:bCs w:val="1"/>
                <w:color w:val="auto"/>
                <w:w w:val="89"/>
              </w:rPr>
              <w:t>Financial Statements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90"/>
              <w:spacing w:after="0"/>
              <w:rPr>
                <w:sz w:val="20"/>
                <w:szCs w:val="20"/>
                <w:color w:val="auto"/>
              </w:rPr>
            </w:pPr>
            <w:r>
              <w:rPr>
                <w:rFonts w:ascii="Arial" w:cs="Arial" w:eastAsia="Arial" w:hAnsi="Arial"/>
                <w:sz w:val="18"/>
                <w:szCs w:val="18"/>
                <w:b w:val="1"/>
                <w:bCs w:val="1"/>
                <w:color w:val="auto"/>
              </w:rPr>
              <w:t>AVIAT NETWORKS, INC.</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w w:val="98"/>
              </w:rPr>
              <w:t>Current Assets:</w:t>
            </w:r>
          </w:p>
        </w:tc>
        <w:tc>
          <w:tcPr>
            <w:tcW w:w="7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7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125,306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123,466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159,191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30,878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86,468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98,545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6"/>
                <w:szCs w:val="16"/>
                <w:color w:val="auto"/>
              </w:rPr>
              <w:t>$0.01 par value, 50,000,000 shares authorized, none issued</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2"/>
              </w:rPr>
              <w:t xml:space="preserve">Common stock, </w:t>
            </w:r>
            <w:r>
              <w:rPr>
                <w:rFonts w:ascii="Arial" w:cs="Arial" w:eastAsia="Arial" w:hAnsi="Arial"/>
                <w:sz w:val="16"/>
                <w:szCs w:val="16"/>
                <w:color w:val="auto"/>
                <w:w w:val="92"/>
              </w:rPr>
              <w:t>$0.01 par value, 300,000,000 shares authorized, 5,349,778 shares issued and outstanding at September 28,</w:t>
            </w:r>
          </w:p>
        </w:tc>
        <w:tc>
          <w:tcPr>
            <w:tcW w:w="1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9"/>
        </w:trPr>
        <w:tc>
          <w:tcPr>
            <w:tcW w:w="85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2018; 5,351,155 shares issued and outstanding at June 29, 2018,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816,483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816,426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(746,359)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Total equity</w:t>
            </w:r>
          </w:p>
        </w:tc>
        <w:tc>
          <w:tcPr>
            <w:tcW w:w="7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57,516</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159,191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4"/>
                <w:szCs w:val="14"/>
                <w:color w:val="auto"/>
              </w:rPr>
            </w:pPr>
          </w:p>
        </w:tc>
        <w:tc>
          <w:tcPr>
            <w:tcW w:w="112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39,125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21,115</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60,504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56,182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23,663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42,579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38,886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17,296</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Aviat Networks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per share of common stock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43"/>
        </w:trPr>
        <w:tc>
          <w:tcPr>
            <w:tcW w:w="88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cumulative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 net of tax</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Aviat Networks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60" w:type="dxa"/>
            <w:vAlign w:val="bottom"/>
          </w:tcPr>
          <w:p>
            <w:pPr>
              <w:spacing w:after="0"/>
              <w:rPr>
                <w:sz w:val="13"/>
                <w:szCs w:val="13"/>
                <w:color w:val="auto"/>
              </w:rPr>
            </w:pPr>
          </w:p>
        </w:tc>
        <w:tc>
          <w:tcPr>
            <w:tcW w:w="120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w w:val="96"/>
              </w:rPr>
              <w:t>September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provision for uncollectible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Payments for acquisition of property, plant and equipment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Repayments of borrowings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for repurchase of Company stock</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37,764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29, 2018.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months ended September 28, 2018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29, 2018.</w:t>
      </w:r>
    </w:p>
    <w:p>
      <w:pPr>
        <w:spacing w:after="0" w:line="11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consolidated financial statements of the prior period have been reclassified to conform to the presentation for the current period.</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quarter of fiscal 2019 and fiscal 2018 included 13 weeks in each quarter. Fiscal year 2019 will be comprised of 52 weeks and will end on June 28,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There have been no material changes in our significant accounting policies as of and for the three months ended September 28, 2018, as compared to the significant accounting policies described in our Annual Report on Form 10-K for the fiscal year ended June 29, 2018, with the exception of our revenue recognition policy. Effective June 30, 2018, we adopted Accounting Standards Update No. 2014-09 (ASC 606), Revenue from Contracts with Customers, as amended. See Note 3, “Revenue Recognition” to the Notes to Condensed Consolidated Financial Statements for discussion of the impact of the adoption of this standard on our policies for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We adopted ASC 606, effective June 30, 2018, using the modified retrospective method. Prior period financial statements were not retrospectively restated. The condensed consolidated balance sheet as of June 29, 2018 and results of operations for the three months ended September 29, 2017 were prepared using accounting standards that were different than those in effect for the three months ended September 28, 2018. As a result, the condensed consolidated balance sheets as of September 28, 2018 and June 29, 2018 are not directly comparable, nor are the results of operations for the three months ended of September 28, 2018 and September 29,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May 2014, the Financial Accounting Standards Board (FASB) issued ASC 606 which supersedes nearly all current U.S. GAAP guidance on this topic and eliminates industry-specific guidance. Revenue recognition under ASC 606 depicts the transfer of promised goods or services to customers in an amount that reflects the consideration to which the entity expects to be entitled in exchange for those goods or services. Additional disclosures are required to enable users to understand the nature, amount, timing and uncertainty of revenue and cash flows arising from contracts with customers. In addition, the FASB amended its guidance related to the capitalization and amortization of the incremental costs of obtaining a contract with a customer. The new revenue standard may be applied retrospectively to each prior period presented or retrospectively with the cumulative effect recognized in retained earnings as of the date of adoption. We adopted ASC 606 using the modified retrospective method as of June 30, 2018 with the cumulative effect recognized as an adjustment to the opening balance of our accumulated deficit (net of tax). Prior periods have not been retroactively adjusted and will continue to be reported under the accounting standards in effect for those periods. See Note 3, “Revenue Recognition” to the Notes to Condensed Consolidated Financial Statements for more information.</w:t>
      </w:r>
    </w:p>
    <w:p>
      <w:pPr>
        <w:spacing w:after="0" w:line="12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January 2016, the FASB issued Accounting Standards Update (ASU)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This guidance retains the current accounting for classifying and measuring investments in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loans but 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adopted this update during the first quarter of fiscal 2019. The adoption had no material impact on our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subsequent amendments to the initial guidance: ASU 2018-10,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Topic 842, Leases, </w:t>
      </w:r>
      <w:r>
        <w:rPr>
          <w:rFonts w:ascii="Arial" w:cs="Arial" w:eastAsia="Arial" w:hAnsi="Arial"/>
          <w:sz w:val="16"/>
          <w:szCs w:val="16"/>
          <w:color w:val="auto"/>
        </w:rPr>
        <w:t>and ASU 2018-11,</w:t>
      </w:r>
      <w:r>
        <w:rPr>
          <w:rFonts w:ascii="Arial" w:cs="Arial" w:eastAsia="Arial" w:hAnsi="Arial"/>
          <w:sz w:val="16"/>
          <w:szCs w:val="16"/>
          <w:i w:val="1"/>
          <w:iCs w:val="1"/>
          <w:color w:val="auto"/>
        </w:rPr>
        <w:t xml:space="preserve"> Leases (Topic 842) Targeted Improvements</w:t>
      </w:r>
      <w:r>
        <w:rPr>
          <w:rFonts w:ascii="Arial" w:cs="Arial" w:eastAsia="Arial" w:hAnsi="Arial"/>
          <w:sz w:val="16"/>
          <w:szCs w:val="16"/>
          <w:color w:val="auto"/>
        </w:rPr>
        <w:t>, each issued in July 2018 (collectively, Topic 842), all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guidance on the recognition, measurement, presentation, and disclosure of leases. Topic 842 requires the recognition of lease assets and lease liabilities by lessees for those leases classified as operating leases under previous guidance. This standard will become effective for fiscal years beginning after December 15, 2018 including interim periods within those years, with early adoption permitted. The recognition, measurement, and presentation of expenses and cash flows arising from a lease by a lessee have not significantly changed from previous guidance. Although we are currently evaluating the impact the pronouncement will have on our condensed consolidated financial statements and related disclosures, we expect that most of our operating lease commitments will be subject to the new standard and recognized as operating lease liabilities and right-of-use assets upon adoption.</w:t>
      </w:r>
    </w:p>
    <w:p>
      <w:pPr>
        <w:spacing w:after="0" w:line="1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2018, the FASB issued ASU 2018-07, Compensation -Stock Compensation: Improvement to Nonemployees Share-Based Payment Accounting (ASU 2018-07), which expands the scope of Topic 718 to include all share-based payment 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will be effective for fiscal years beginning after December 15, 2018, including interim periods within those years, with early adoption permitted. We do not expect the adoption of this guidance will have a material impact on our condensed consolidated financial position, results of operations or cash flows.</w:t>
      </w:r>
    </w:p>
    <w:p>
      <w:pPr>
        <w:spacing w:after="0" w:line="1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August 2018, the SEC adopted the final rule under SEC Release No. 33-10532, Disclosure Update and Simplification, amending certain disclosure requirements that were redundant, duplicative, overlapping, outdated or superseded. In addition, the amendments expanded the disclosure requirements on the analysis of stockholders' equity for interim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We anticipate our first presentation of changes in stockholders' equity will be included in our Form 10-Q for the quarter ending March 29, 2019.</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This guidance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This standard will become effective for interim and annual periods beginning after December 15, 2019, with early adoption permitted. The standard can be adopted either using the prospective or retrospective transition approach. We are evaluating the effect the adoption of the standard will have on our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Per Share of Common Stock</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Net loss per share is computed using the two-class method, by dividing net loss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1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loss per share calculations since they were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28,</w:t>
            </w:r>
          </w:p>
        </w:tc>
        <w:tc>
          <w:tcPr>
            <w:tcW w:w="124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shares of common stock excluded</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Effective June 30, 2018, we adopted ASC 606, using the modified retrospective method applied to those contracts that were not completed as of June 29, 2018. Results for the reporting periods after June 29, 2018 are presented under ASC 606, while prior period amounts are not adjusted and continue to be reported in accordance with our historical accounting under ASC 605.</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Maintenance and support services are generally offered to our customers over a specified period of time and from sales and subsequent renewals of maintenance and support contracts.</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2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 authorities on a net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 606 Adoption</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recorded a net reduction to the opening balance of our accumulated deficit of $5.6 million as of June 30, 2018 due to the cumulative impact of adopting ASC 606, with the impact primarily related to our bill-and-hold and services revenue. Our revenue was $60.5 million for the three months ended September 28, 2018 under ASC 606 compared to $49.9 million under ASC 605. The details of the significant changes and quantitative impact of our adoption of ASC 606 are set out below:</w:t>
      </w:r>
    </w:p>
    <w:p>
      <w:pPr>
        <w:spacing w:after="0" w:line="349" w:lineRule="exact"/>
        <w:rPr>
          <w:sz w:val="20"/>
          <w:szCs w:val="20"/>
          <w:color w:val="auto"/>
        </w:rPr>
      </w:pPr>
    </w:p>
    <w:p>
      <w:pPr>
        <w:jc w:val="both"/>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Bill-and-Hold Sales: Certain customer arrangements consist of bill-and-hold characteristics under which transfer of control have been met (including title and significant risk and reward of ownership passing to the customers). Therefore, the customers can direct the use of the bill-and-hold inventory while we retain physical possession of the product until it is installed at a customer site at a point in time in the future. The change under ASC 606 requires consideration of the indicators of when control has been transferred and sets forth additional criteria to be met in a bill-and-hold arrangement potentially resulting in revenue being recognized earlier than under ASC 605. Upon adoption of ASC 606, we recorded a cumulative effect adjustment to June 30, 2018 opening accumulated deficit consisting of bill-and-hold backlog of $10.5 million that will not be recognized as revenue, less related cost of product sales and income taxes, resulting in a net decrease to accumulated deficit of $1.7 million.</w:t>
      </w:r>
    </w:p>
    <w:p>
      <w:pPr>
        <w:spacing w:after="0" w:line="167"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Services Revenue: We historically recognized certain professional services revenue upon completion under ASC 605 which changed to over time revenue recognition under ASC 606.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 satisfying the performance obligation over time. The use of the input method requires us to make reasonably dependable estimates. Upon adoption of ASC 606, we recorded a cumulative effect adjustment to June 30, 2018 opening accumulated deficit of $4.7 million that will not be recognized as revenue, less related cost of services and income taxes resulting in a net decrease to accumulated deficit of $1.6 million.</w:t>
      </w:r>
    </w:p>
    <w:p>
      <w:pPr>
        <w:spacing w:after="0" w:line="18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Transfer of Control: Certain of our contracts include penalties, acceptance provisions or other price variability that precluded revenue recognition under ASC 605 because of the requirement for amounts to be fixed or determinable. ASC 606 requires us to estimate and account for variable consideration as a reduction of the transaction price. Upon adoption of ASC 606, we recorded a cumulative effect adjustment to June 30, 2018 opening accumulated deficit of $0.6 million that will not be recognized as revenue, less related cost of revenues and income taxes resulting in a net decrease to accumulated deficit of $0.4 million.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ASC 606 requires an allocation of revenue between deliverables, or performance obligations, within an arrangement. Under ASC 605, the allocation of revenue was restricted to the amount which was not contingent on future deliverables; however, ASC 606 removes this restriction. Upon adoption of ASC 606, we recorded a cumulative effect adjustment to decrease June 30, 2018 opening accumulated deficit by $0.5 million.</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ASC 605, we deferred revenue for stand-alone software licenses where vendor-specific objective evidence ("VSOE") of fair value had not been established for undelivered items, and revenue was recognized straight line over the term of the maintenance agreement. Under ASC 606, software revenue is allocated to delivered and undelivered elements based on relative fair value resulting in more software arrangement revenue being recognized earlier. Upon adoption of ASC 606, we recorded a cumulative effect adjustment to decrease June 30, 2018 opening accumulated deficit by $0.7 million.</w:t>
      </w:r>
    </w:p>
    <w:p>
      <w:pPr>
        <w:spacing w:after="0" w:line="10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Previously, we expensed the majority of our commission expense as incurred. Under the new standard, we capitalize and amortize incremental commission costs to obtain the contract over a benefit period. We elected a practical expedient to exclude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contracts with a benefit period of a year or less from this deferral requirement. Upon adoption of ASC 606, we recorded a cumulative effect adjustment to decrease June 30, 2018 opening accumulated deficit by $0.7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 basis, with the adjustment recorded in the period in which the change occurs. Changes to variable consideration will be tracked and material changes disclosed.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condensed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assessed the treatment of costs to obtain or fulfill a contract with a customer. Sales commissions have historically been expensed as incurred.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33" w:lineRule="exact"/>
        <w:rPr>
          <w:sz w:val="20"/>
          <w:szCs w:val="20"/>
          <w:color w:val="auto"/>
        </w:rPr>
      </w:pPr>
    </w:p>
    <w:p>
      <w:pPr>
        <w:ind w:right="320" w:firstLine="486"/>
        <w:spacing w:after="0" w:line="342" w:lineRule="auto"/>
        <w:rPr>
          <w:sz w:val="20"/>
          <w:szCs w:val="20"/>
          <w:color w:val="auto"/>
        </w:rPr>
      </w:pPr>
      <w:r>
        <w:rPr>
          <w:rFonts w:ascii="Arial" w:cs="Arial" w:eastAsia="Arial" w:hAnsi="Arial"/>
          <w:sz w:val="16"/>
          <w:szCs w:val="16"/>
          <w:color w:val="auto"/>
        </w:rPr>
        <w:t>We elected ASC 606's practical expedient to expense sales commissions as incurred when the amortization period of the related asset is one year or less. These costs are recorded as sales and marketing expense and included on the condensed consolidated balance sheet as accrued expenses until paid.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800" w:type="dxa"/>
        <w:tblCellMar>
          <w:top w:w="0" w:type="dxa"/>
          <w:left w:w="0" w:type="dxa"/>
          <w:bottom w:w="0" w:type="dxa"/>
          <w:right w:w="0" w:type="dxa"/>
        </w:tblCellMar>
      </w:tblPr>
      <w:tr>
        <w:trPr>
          <w:trHeight w:val="203"/>
        </w:trPr>
        <w:tc>
          <w:tcPr>
            <w:tcW w:w="7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September 28,</w:t>
            </w:r>
          </w:p>
        </w:tc>
        <w:tc>
          <w:tcPr>
            <w:tcW w:w="140" w:type="dxa"/>
            <w:vAlign w:val="bottom"/>
          </w:tcPr>
          <w:p>
            <w:pPr>
              <w:spacing w:after="0"/>
              <w:rPr>
                <w:sz w:val="17"/>
                <w:szCs w:val="17"/>
                <w:color w:val="auto"/>
              </w:rPr>
            </w:pPr>
          </w:p>
        </w:tc>
        <w:tc>
          <w:tcPr>
            <w:tcW w:w="1240" w:type="dxa"/>
            <w:vAlign w:val="bottom"/>
          </w:tcPr>
          <w:p>
            <w:pPr>
              <w:jc w:val="right"/>
              <w:ind w:right="73"/>
              <w:spacing w:after="0"/>
              <w:rPr>
                <w:sz w:val="20"/>
                <w:szCs w:val="20"/>
                <w:color w:val="auto"/>
              </w:rPr>
            </w:pPr>
            <w:r>
              <w:rPr>
                <w:rFonts w:ascii="Arial" w:cs="Arial" w:eastAsia="Arial" w:hAnsi="Arial"/>
                <w:sz w:val="16"/>
                <w:szCs w:val="16"/>
                <w:b w:val="1"/>
                <w:bCs w:val="1"/>
                <w:color w:val="auto"/>
                <w:w w:val="91"/>
              </w:rPr>
              <w:t>At Adoption on</w:t>
            </w:r>
          </w:p>
        </w:tc>
        <w:tc>
          <w:tcPr>
            <w:tcW w:w="0" w:type="dxa"/>
            <w:vAlign w:val="bottom"/>
          </w:tcPr>
          <w:p>
            <w:pPr>
              <w:spacing w:after="0"/>
              <w:rPr>
                <w:sz w:val="1"/>
                <w:szCs w:val="1"/>
                <w:color w:val="auto"/>
              </w:rPr>
            </w:pPr>
          </w:p>
        </w:tc>
      </w:tr>
      <w:tr>
        <w:trPr>
          <w:trHeight w:val="210"/>
        </w:trPr>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33"/>
              <w:spacing w:after="0"/>
              <w:rPr>
                <w:sz w:val="20"/>
                <w:szCs w:val="20"/>
                <w:color w:val="auto"/>
              </w:rPr>
            </w:pPr>
            <w:r>
              <w:rPr>
                <w:rFonts w:ascii="Arial" w:cs="Arial" w:eastAsia="Arial" w:hAnsi="Arial"/>
                <w:sz w:val="16"/>
                <w:szCs w:val="16"/>
                <w:b w:val="1"/>
                <w:bCs w:val="1"/>
                <w:color w:val="auto"/>
                <w:w w:val="96"/>
              </w:rPr>
              <w:t>June 30, 2018</w:t>
            </w:r>
          </w:p>
        </w:tc>
        <w:tc>
          <w:tcPr>
            <w:tcW w:w="0" w:type="dxa"/>
            <w:vAlign w:val="bottom"/>
          </w:tcPr>
          <w:p>
            <w:pPr>
              <w:spacing w:after="0"/>
              <w:rPr>
                <w:sz w:val="1"/>
                <w:szCs w:val="1"/>
                <w:color w:val="auto"/>
              </w:rPr>
            </w:pPr>
          </w:p>
        </w:tc>
      </w:tr>
      <w:tr>
        <w:trPr>
          <w:trHeight w:val="33"/>
        </w:trPr>
        <w:tc>
          <w:tcPr>
            <w:tcW w:w="70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43"/>
        </w:trPr>
        <w:tc>
          <w:tcPr>
            <w:tcW w:w="7040" w:type="dxa"/>
            <w:vAlign w:val="bottom"/>
          </w:tcPr>
          <w:p>
            <w:pPr>
              <w:ind w:left="300"/>
              <w:spacing w:after="0"/>
              <w:rPr>
                <w:sz w:val="20"/>
                <w:szCs w:val="20"/>
                <w:color w:val="auto"/>
              </w:rPr>
            </w:pPr>
            <w:r>
              <w:rPr>
                <w:rFonts w:ascii="Arial" w:cs="Arial" w:eastAsia="Arial" w:hAnsi="Arial"/>
                <w:sz w:val="18"/>
                <w:szCs w:val="18"/>
                <w:color w:val="auto"/>
              </w:rPr>
              <w:t>Unbilled receivables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28,675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Advance payments and unearned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7040" w:type="dxa"/>
            <w:vAlign w:val="bottom"/>
          </w:tcPr>
          <w:p>
            <w:pPr>
              <w:ind w:left="300"/>
              <w:spacing w:after="0"/>
              <w:rPr>
                <w:sz w:val="20"/>
                <w:szCs w:val="20"/>
                <w:color w:val="auto"/>
              </w:rPr>
            </w:pPr>
            <w:r>
              <w:rPr>
                <w:rFonts w:ascii="Arial" w:cs="Arial" w:eastAsia="Arial" w:hAnsi="Arial"/>
                <w:sz w:val="18"/>
                <w:szCs w:val="18"/>
                <w:color w:val="auto"/>
              </w:rPr>
              <w:t>Unearned revenue, long-term</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As of September 28, 2018, we had $21.2 million in advance payments and unearned revenue and long-term unearned revenue, of which approximately 60% will be recognized as revenue in the next nine months of fiscal year 2019 and the remainder thereafter. During the three months ended September 28, 2018, we recognized approximately $3.0 million in maintenance service revenue which were included in deferred revenue at June 28,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on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summarize the impacts of adopting ASC 606 on the condensed consolidated statement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 and our condensed consolidated balance sheet as of June 29, 2018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40" w:type="dxa"/>
            <w:vAlign w:val="bottom"/>
            <w:gridSpan w:val="7"/>
          </w:tcPr>
          <w:p>
            <w:pPr>
              <w:jc w:val="center"/>
              <w:ind w:right="71"/>
              <w:spacing w:after="0"/>
              <w:rPr>
                <w:sz w:val="20"/>
                <w:szCs w:val="20"/>
                <w:color w:val="auto"/>
              </w:rPr>
            </w:pPr>
            <w:r>
              <w:rPr>
                <w:rFonts w:ascii="Arial" w:cs="Arial" w:eastAsia="Arial" w:hAnsi="Arial"/>
                <w:sz w:val="16"/>
                <w:szCs w:val="16"/>
                <w:b w:val="1"/>
                <w:bCs w:val="1"/>
                <w:color w:val="auto"/>
                <w:w w:val="91"/>
              </w:rPr>
              <w:t>Three Months Ended September 28, 2018</w:t>
            </w:r>
          </w:p>
        </w:tc>
      </w:tr>
      <w:tr>
        <w:trPr>
          <w:trHeight w:val="33"/>
        </w:trPr>
        <w:tc>
          <w:tcPr>
            <w:tcW w:w="7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Balances without</w:t>
            </w:r>
          </w:p>
        </w:tc>
      </w:tr>
      <w:tr>
        <w:trPr>
          <w:trHeight w:val="203"/>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Adoption of ASC</w:t>
            </w:r>
          </w:p>
        </w:tc>
      </w:tr>
      <w:tr>
        <w:trPr>
          <w:trHeight w:val="210"/>
        </w:trPr>
        <w:tc>
          <w:tcPr>
            <w:tcW w:w="7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As Reported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020" w:type="dxa"/>
            <w:vAlign w:val="bottom"/>
          </w:tcPr>
          <w:p>
            <w:pPr>
              <w:jc w:val="center"/>
              <w:ind w:right="251"/>
              <w:spacing w:after="0"/>
              <w:rPr>
                <w:sz w:val="20"/>
                <w:szCs w:val="20"/>
                <w:color w:val="auto"/>
              </w:rPr>
            </w:pPr>
            <w:r>
              <w:rPr>
                <w:rFonts w:ascii="Arial" w:cs="Arial" w:eastAsia="Arial" w:hAnsi="Arial"/>
                <w:sz w:val="16"/>
                <w:szCs w:val="16"/>
                <w:b w:val="1"/>
                <w:bCs w:val="1"/>
                <w:color w:val="auto"/>
                <w:w w:val="89"/>
              </w:rPr>
              <w:t>606</w:t>
            </w:r>
          </w:p>
        </w:tc>
      </w:tr>
      <w:tr>
        <w:trPr>
          <w:trHeight w:val="33"/>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39,125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30,180</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19,755</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60,504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49,935</w:t>
            </w:r>
          </w:p>
        </w:tc>
      </w:tr>
      <w:tr>
        <w:trPr>
          <w:trHeight w:val="243"/>
        </w:trPr>
        <w:tc>
          <w:tcPr>
            <w:tcW w:w="7080" w:type="dxa"/>
            <w:vAlign w:val="bottom"/>
          </w:tcPr>
          <w:p>
            <w:pPr>
              <w:ind w:left="120"/>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26,799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21,428</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14,994</w:t>
            </w: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42,579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36,422</w:t>
            </w:r>
          </w:p>
        </w:tc>
      </w:tr>
      <w:tr>
        <w:trPr>
          <w:trHeight w:val="297"/>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13,706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13,619</w:t>
            </w:r>
          </w:p>
        </w:tc>
      </w:tr>
      <w:tr>
        <w:trPr>
          <w:trHeight w:val="297"/>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r>
      <w:tr>
        <w:trPr>
          <w:trHeight w:val="27"/>
        </w:trPr>
        <w:tc>
          <w:tcPr>
            <w:tcW w:w="7080" w:type="dxa"/>
            <w:vAlign w:val="bottom"/>
            <w:shd w:val="clear" w:color="auto" w:fill="CCEEFF"/>
          </w:tcPr>
          <w:p>
            <w:pPr>
              <w:spacing w:after="0"/>
              <w:rPr>
                <w:sz w:val="2"/>
                <w:szCs w:val="2"/>
                <w:color w:val="auto"/>
              </w:rPr>
            </w:pPr>
          </w:p>
        </w:tc>
        <w:tc>
          <w:tcPr>
            <w:tcW w:w="20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See Note 9, “Segment and Geographic Information” to the Notes to Condensed Consolidated Financial Statements for discussion on the impact of additional information, including disaggregated revenue disclosures.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As Adjusted</w:t>
            </w:r>
          </w:p>
        </w:tc>
        <w:tc>
          <w:tcPr>
            <w:tcW w:w="0" w:type="dxa"/>
            <w:vAlign w:val="bottom"/>
          </w:tcPr>
          <w:p>
            <w:pPr>
              <w:spacing w:after="0"/>
              <w:rPr>
                <w:sz w:val="1"/>
                <w:szCs w:val="1"/>
                <w:color w:val="auto"/>
              </w:rPr>
            </w:pPr>
          </w:p>
        </w:tc>
      </w:tr>
      <w:tr>
        <w:trPr>
          <w:trHeight w:val="203"/>
        </w:trPr>
        <w:tc>
          <w:tcPr>
            <w:tcW w:w="7080" w:type="dxa"/>
            <w:vAlign w:val="bottom"/>
          </w:tcPr>
          <w:p>
            <w:pPr>
              <w:spacing w:after="0"/>
              <w:rPr>
                <w:sz w:val="17"/>
                <w:szCs w:val="17"/>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Balance as of June</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Adjustments due</w:t>
            </w:r>
          </w:p>
        </w:tc>
        <w:tc>
          <w:tcPr>
            <w:tcW w:w="120" w:type="dxa"/>
            <w:vAlign w:val="bottom"/>
          </w:tcPr>
          <w:p>
            <w:pPr>
              <w:spacing w:after="0"/>
              <w:rPr>
                <w:sz w:val="17"/>
                <w:szCs w:val="17"/>
                <w:color w:val="auto"/>
              </w:rPr>
            </w:pPr>
          </w:p>
        </w:tc>
        <w:tc>
          <w:tcPr>
            <w:tcW w:w="124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Balance at June</w:t>
            </w:r>
          </w:p>
        </w:tc>
        <w:tc>
          <w:tcPr>
            <w:tcW w:w="0" w:type="dxa"/>
            <w:vAlign w:val="bottom"/>
          </w:tcPr>
          <w:p>
            <w:pPr>
              <w:spacing w:after="0"/>
              <w:rPr>
                <w:sz w:val="1"/>
                <w:szCs w:val="1"/>
                <w:color w:val="auto"/>
              </w:rPr>
            </w:pPr>
          </w:p>
        </w:tc>
      </w:tr>
      <w:tr>
        <w:trPr>
          <w:trHeight w:val="210"/>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6"/>
                <w:szCs w:val="16"/>
                <w:b w:val="1"/>
                <w:bCs w:val="1"/>
                <w:color w:val="auto"/>
              </w:rPr>
              <w:t>29, 2018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 ASC 606</w:t>
            </w:r>
          </w:p>
        </w:tc>
        <w:tc>
          <w:tcPr>
            <w:tcW w:w="120" w:type="dxa"/>
            <w:vAlign w:val="bottom"/>
          </w:tcPr>
          <w:p>
            <w:pPr>
              <w:spacing w:after="0"/>
              <w:rPr>
                <w:sz w:val="18"/>
                <w:szCs w:val="18"/>
                <w:color w:val="auto"/>
              </w:rPr>
            </w:pPr>
          </w:p>
        </w:tc>
        <w:tc>
          <w:tcPr>
            <w:tcW w:w="12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30, 2018</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Sheet</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43,068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Advance payments and unearned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 - long term</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(746,359)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(740,736)</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our cash, cash equivalents and restricted cash reported within the Condensed Consolidated Balance Sheets that reconciles to the corresponding amount in the Condensed Consolidated Statement of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28,</w:t>
            </w:r>
          </w:p>
        </w:tc>
        <w:tc>
          <w:tcPr>
            <w:tcW w:w="260" w:type="dxa"/>
            <w:vAlign w:val="bottom"/>
          </w:tcPr>
          <w:p>
            <w:pPr>
              <w:spacing w:after="0"/>
              <w:rPr>
                <w:sz w:val="14"/>
                <w:szCs w:val="14"/>
                <w:color w:val="auto"/>
              </w:rPr>
            </w:pPr>
          </w:p>
        </w:tc>
        <w:tc>
          <w:tcPr>
            <w:tcW w:w="110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28,397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28,706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net accounts receivable are summarized below:</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28,</w:t>
            </w:r>
          </w:p>
        </w:tc>
        <w:tc>
          <w:tcPr>
            <w:tcW w:w="260" w:type="dxa"/>
            <w:vAlign w:val="bottom"/>
          </w:tcPr>
          <w:p>
            <w:pPr>
              <w:spacing w:after="0"/>
              <w:rPr>
                <w:sz w:val="24"/>
                <w:szCs w:val="24"/>
                <w:color w:val="auto"/>
              </w:rPr>
            </w:pPr>
          </w:p>
        </w:tc>
        <w:tc>
          <w:tcPr>
            <w:tcW w:w="1100" w:type="dxa"/>
            <w:vAlign w:val="bottom"/>
          </w:tcPr>
          <w:p>
            <w:pPr>
              <w:jc w:val="center"/>
              <w:ind w:right="217"/>
              <w:spacing w:after="0"/>
              <w:rPr>
                <w:sz w:val="20"/>
                <w:szCs w:val="20"/>
                <w:color w:val="auto"/>
              </w:rPr>
            </w:pPr>
            <w:r>
              <w:rPr>
                <w:rFonts w:ascii="Arial" w:cs="Arial" w:eastAsia="Arial" w:hAnsi="Arial"/>
                <w:sz w:val="14"/>
                <w:szCs w:val="14"/>
                <w:b w:val="1"/>
                <w:bCs w:val="1"/>
                <w:color w:val="auto"/>
                <w:w w:val="92"/>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52,822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44,656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50,874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2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14"/>
                <w:szCs w:val="1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8,682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recovery or charges to adjust our inventory and customer service inventory due to excess and obsolete inventory resulting from lower sales forecast, product transitioning or discontinuance. During the three months ended September 28, 2018 and September 29, 2017, we recorded a net recovery of $25,000 and $37,000, respectively, in each case related to previously reserved inventory due to sell through. Such recovery or charges during the three months ended September 28, 2018 and September 29, 2017 were classified in cost of product sales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35"/>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ind w:left="500"/>
              <w:spacing w:after="0"/>
              <w:rPr>
                <w:sz w:val="20"/>
                <w:szCs w:val="20"/>
                <w:color w:val="auto"/>
              </w:rPr>
            </w:pPr>
            <w:r>
              <w:rPr>
                <w:rFonts w:ascii="Arial" w:cs="Arial" w:eastAsia="Arial" w:hAnsi="Arial"/>
                <w:sz w:val="18"/>
                <w:szCs w:val="18"/>
                <w:color w:val="auto"/>
              </w:rPr>
              <w:t>Our property, plant and equipment, net are summarized below:</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September 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11,632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48,075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48,076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76,560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75,881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4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4660" w:type="dxa"/>
            <w:vAlign w:val="bottom"/>
          </w:tcPr>
          <w:p>
            <w:pPr>
              <w:jc w:val="right"/>
              <w:ind w:right="269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28,</w:t>
            </w:r>
          </w:p>
        </w:tc>
        <w:tc>
          <w:tcPr>
            <w:tcW w:w="260" w:type="dxa"/>
            <w:vAlign w:val="bottom"/>
          </w:tcPr>
          <w:p>
            <w:pPr>
              <w:spacing w:after="0"/>
              <w:rPr>
                <w:sz w:val="14"/>
                <w:szCs w:val="14"/>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11,144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Warranty provision recorded during the period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3,216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Advanced payments and Unearned Income</w:t>
            </w: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60" w:type="dxa"/>
            <w:vAlign w:val="bottom"/>
          </w:tcPr>
          <w:p>
            <w:pPr>
              <w:ind w:left="500"/>
              <w:spacing w:after="0"/>
              <w:rPr>
                <w:sz w:val="20"/>
                <w:szCs w:val="20"/>
                <w:color w:val="auto"/>
              </w:rPr>
            </w:pPr>
            <w:r>
              <w:rPr>
                <w:rFonts w:ascii="Arial" w:cs="Arial" w:eastAsia="Arial" w:hAnsi="Arial"/>
                <w:sz w:val="18"/>
                <w:szCs w:val="18"/>
                <w:color w:val="auto"/>
              </w:rPr>
              <w:t>Our advanced payments and unearned income are summarized below:</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June 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5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payments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19,300</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September 28, 2018 and June 29, 2018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September 28,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June 29, 2018</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14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Valuation Inputs</w:t>
            </w: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6"/>
              </w:rPr>
              <w:t>Level 1</w:t>
            </w: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ind w:left="90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September 28, 2018 and June 29, 2018, these money market funds were valued at $1.00 net asset value per share.</w:t>
      </w:r>
    </w:p>
    <w:p>
      <w:pPr>
        <w:spacing w:after="0" w:line="11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September 28, 2018 and June 29, 2018, we did not have any recurring assets or liabilities that were valued using significant unobservable inputs.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three months of fiscal 2019 and 2018, we had no transfers between levels of the fair value hierarchy of our assets or liabilities measured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June 29, 2018, we entered into a Third Amended and Restated Loan Agreement with Silicon Valley Bank (the SVB Credit Facility). The SVB Credit Facility expires on June 29, 2019. The SVB Credit Facility provides for a $30.0 million accounts receivable formula-based revolving credit facility that can be borrowed by our U.S. company, with a $30.0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SVB Credit Facility can also be utilized to issue letters of credit with a $12.0 million sublimit. We may prepay loans under the SVB Credit Facility in whole or in part at any time without premium or penalty. As of September 28, 2018, available credit under the SVB Credit Facility was $10.4 million, reflecting the calculated borrowing base of $20.1 million less existing borrowings of $9.0 million and outstanding letters of credit of $0.9 million.</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fiscal 2018, the weighted average interest rate on our outstanding loan was 5.58%. As of September 28, 2018 and June 29, 2018, our outstanding debt balance under the SVB Credit Facility was $9.0 million, and the interest rate was 5.75% and 5.50%, respectively.</w:t>
      </w:r>
    </w:p>
    <w:p>
      <w:pPr>
        <w:spacing w:after="0" w:line="13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 above the applicable interest rate. As of September 28, 2018, we were in compliance with the quarterly financial covenants, as amended, contained in the SVB Credit Facility. The $9.0 million borrowing was classified as a current liability as of September 28, 2018 and June 28, 2019.</w:t>
      </w:r>
    </w:p>
    <w:p>
      <w:pPr>
        <w:spacing w:after="0" w:line="1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September 28, 2018, we entered into Amendment No. 1 (the Amendment) to the Third Amended and Restated Loan and Security Agreement with Silicon Valley Bank. Among other things, the Amendment provides for the definition of Quick Assets set forth in the Agreement to be modified to include up to the lesser of (a) 50% of unbilled accounts receivable or (b) $7.0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 related activities during the first three months of fiscal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Severance and Benefits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Facilities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780" w:type="dxa"/>
            <w:vAlign w:val="bottom"/>
          </w:tcPr>
          <w:p>
            <w:pPr>
              <w:jc w:val="right"/>
              <w:ind w:right="217"/>
              <w:spacing w:after="0" w:line="14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2013-2014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2015-2016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2019Plan</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29,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6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balance, September 28,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2,101</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28, 2018, $1.9 million of the accrual balance was in short-term restructuring liabilities while $0.5 million was included in other long-term liabilities on the unaudited condensed consolidated balance sheets.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complete the restructuring activities under our fiscal 2018-2019 restructuring plan by the end of fiscal 2019. Payments related to the accrued restructuring liability balance for this plan are expected to be fully paid through fiscal 2020.</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further information, see “Note 7. Restructuring Activities” in Part II, Item 8 of our 2018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May 2018, our board of directors approved a repurchase program for the repurchase of up to $7.5 million of our common stock. During the first quarter of 2019, we repurchased on the open market approximately 23,579 shares of our common stock at an average price of $16.55 per share, including commission for an aggregate purchase price of approximately $0.4 million. All repurchased shares were retired. As of September 28, 2018, $7.1 million remained available under our stock repurchase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of September 28, 2018, we had two stock incentive plans (both Plans) for our employees and nonemployee directors, the 2018 Incentive Plan and the 2007 Stock Equity Plan, as amended and restated effective November 13, 2015. The 2018 Incentive Plan was approved by the stockholders during the fiscal year 2017 Annual Stockholders’ Meeting and it added 500,000 shares to the equity pool of shares available to grant to employees. During the first three months of fiscal 2019, we issued 78,236 performance restricted stock units and 156,466 of stock options. During the first three months of fiscal 2019, we issued 249 shares of common stock under our Employee Stock Purchase Plan (ESPP), and 416 shares of common stock for options exercised.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gridSpan w:val="4"/>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88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Restricted and performance stock awards and units</w:t>
            </w: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28, 2018, there was approximately $1.4 million of total unrecognized compensation expense related to nonvested stock options granted under both Plans. This expense is expected to be recognized over a weighted average period of 2.94 years. As of September 28, 2018, there was $1.9 million of total unrecognized compensation expense related to nonvested stock awards and units granted under both Plans. This expense is expected to be recognized over a weighted average period of 1.00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and Geographic Information</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months ended September 28, 2018 and September 29, 2017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September 29,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27,763</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31,002</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Africa and Middle East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14,147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13,462</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Europe and Russia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3,712</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Latin America and Asia Pacific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14,882</w:t>
            </w:r>
          </w:p>
        </w:tc>
        <w:tc>
          <w:tcPr>
            <w:tcW w:w="10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60,504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56,182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2"/>
          <w:szCs w:val="12"/>
          <w:color w:val="auto"/>
        </w:rPr>
        <w:t>Prior period amounts have not been adjusted under the modified retrospective method for the adoption of ASC 606.</w:t>
      </w:r>
    </w:p>
    <w:p>
      <w:pPr>
        <w:spacing w:after="0" w:line="17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During the three months ended September 28, 2018, Mobile Telephone Networks Group (MTN Group) and Globe Telecom, Inc. (Globe) accounted 13% and 11%, of our total revenue, respectively. As of September 28, 2018, MTN Group also accounted for 24% of our accounts receivable. During the three months ended September 29, 2017, Motorola and MTN Group accounted for 16% and 14%, of our total revenue, respectively. We have entered into separate and distinct contracts with MTN Group, Globe and Motorola, as well as separate arrangements with their various subsidiaries. The loss of all business from MTN Group, Globe or Motorola, or any other significant customers, could adversely affect our results of operations, cash flows and financial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effective tax rate varies from the U.S. federal statutory rate of 21% due to results of foreign operations that are subject to income taxes at different statutory rates, certain jurisdictions where we cannot recognize tax benefits on current losses, and tax benefit from release of valuation allowance. During interim periods, we accrue tax expenses for jurisdictions that are anticipated to be profitable for fiscal 2019.</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determination of our income taxes for the three months ended September 28, 2018 and September 29, 2017 was based on our estimated annual effective tax rate adjusted for losses in certain jurisdictions for which no tax benefit can be recognized. The tax benefit for the three months ended September 28, 2018 was primarily due to tax expense related to profitable subsidiaries, net against the release of valuation allowance due to the potential foreign tax refund to be received from the Department of Federal Revenue of Brazil. The tax benefit for the three months ended September 29, 2017 was primarily attributable to tax expense related to profitable subsidiaries, net against the foreign tax refunds received from the Inland Revenue Authority of Singapore (“IRAS”).</w:t>
      </w:r>
    </w:p>
    <w:p>
      <w:pPr>
        <w:spacing w:after="0" w:line="13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13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During the first quarter of fiscal 2019, we received notification from the Federal Revenue of Brazil that our withholding tax refund request had been approved. We recorded a net discrete income tax benefit of $1.6 million for the release of valuation allowance previously recorded on the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a number of open income tax audits covering various tax years, which vary from jurisdiction to jurisdiction. Our major tax jurisdictions where audits are pending include the U.S., Singapore, Nigeria, Saudi Arabia and the Ivory Coast. The earliest years that are open and subject to potential audits for these jurisdictions are as follows: U.S. - 2003; Singapore - 2011; Nigeria - 2011: Saudi Arabia - 2010, and Ivory Coast - 2016.</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months ended September 28, 2018 and September 29, 2017.</w:t>
      </w:r>
    </w:p>
    <w:p>
      <w:pPr>
        <w:spacing w:after="0" w:line="11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December 22, 2017, the SEC staff issued Staff Accounting Bulletin (SAB) No. 118, which provides guidance on accounting for the tax effects of the Tax Cuts and Jobs Act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Tax Act.</w:t>
      </w:r>
    </w:p>
    <w:p>
      <w:pPr>
        <w:spacing w:after="0" w:line="12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connection with our initial analysis of the impact of the Tax Act, we recorded provisional estimates related to the remeasurement of deferred taxes and the Deemed Repatriation Transition Tax in our financial statements for the year ended June 29, 2018. As of September 28, 2018, we have not fully completed the accounting for the impacts of the Tax Act and no adjustments to these provisional estimates have been recorded. The accounting for the impact of the Tax Act may change to additional factors such as the issuance of further regulatory guidance, changes in interpretations, the collection and analysis of additional information, and any deferred adjustments related to the filing of our 2017 federal and state income tax returns.</w:t>
      </w:r>
    </w:p>
    <w:p>
      <w:pPr>
        <w:spacing w:after="0" w:line="10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tax years beginning after December 31, 2017, the 2017 Tax Act introduced new provisions of U.S. taxation of certain Global Intangible Low-Taxed Income (GILTI). As of September 28, 2018, we have not yet determined our policy election with respect to whether to record deferred taxes for temporary basis differences expected to reverse as GILTI in future periods, or account for taxes on GILTI using the period cost method. However as of September 30, 2018 we currently do not expect to generate a GILTI inclusion due to a forecasted overall net loss for our foreign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2024. We lease approximately 19,000 square feet of office space in Milpitas, California as our corporate headquarters.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28, 2018,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(three quarters remaining)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1,239</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196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1,873</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5,769</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September 28, 2018.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40" w:type="dxa"/>
            <w:vAlign w:val="bottom"/>
          </w:tcPr>
          <w:p>
            <w:pPr>
              <w:spacing w:after="0"/>
              <w:rPr>
                <w:sz w:val="13"/>
                <w:szCs w:val="13"/>
                <w:color w:val="auto"/>
              </w:rPr>
            </w:pPr>
          </w:p>
        </w:tc>
        <w:tc>
          <w:tcPr>
            <w:tcW w:w="112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September 28, 2018, we had outstanding purchase obligations with our suppliers or contract manufacturers of $18.2 million. In addition, we had contractual obligations of approximately $0.7 million associated with software licenses as of September 28,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September 28, 2018, we had no guarantees applicable to our debt arrangements.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28, 2018, we had commercial commitments of $55.9 million outstanding that were not recorded on our unaudited condensed consolidated balance sheets. We do not believe,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75"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based on historical experience and information currently available, that it is probable that any significant amounts will be required to be paid on the performance guarantees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September 28, 2018,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September 28, 2018, we had not recorded any liabilities related to these indemnifications.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2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2018 Annual Report on Form 10-K filed with the SEC on August 28, 2018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50"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2019 and 2018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28, 2019 is referred to as “fiscal 2019” or “2019” and our fiscal year ended June 29, 2018 is referred to as “fiscal 2018” or “2018”.</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energy and utility companies, public safety agencies and broadcast network operators across the world. Our products include point-to-point microwave and millimeter-wave radio transmission systems designed for first/last mile access, middle mile/backhaul, and long distance trunking applications. We have a portfolio of our own Internet Protocol routers optimized for both wireless transport and mixed optical fiber and wireless transport applications. We provide network management software tools and applications to enable the deployment, monitoring and management of our systems. Beyond the portfolio of solutions developed in-house we source, qualify, supply and, support third party equipment such as antennas, routers, optical transmission equipment and other technology and equipment necessary to build and deploy a complete telecommunications transmission network. We also provide a full suite of professional services for planning, deployment, operations and maintenance of our customers’ networks.</w:t>
      </w:r>
    </w:p>
    <w:p>
      <w:pPr>
        <w:spacing w:after="0" w:line="12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anticipate a return to top line growth in fiscal 2019 based on progress made in expanding our solutions portfolio, increasing addressable markets and applications, along with the gains we have already made in expanding our customer footprint. As we continue to execute on our technology roadmap we are engaging more deeply with customers on the evolution of use cases and applications as 5th Generation mobile and broadband networks edge closer to implementation and begin to factor more strongly in the vendor selection process. We are confident in our ability to address future 5G market needs. We will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trend of increasing demand for bandwidth is well established and set to continue across all geographic and vertical markets creating opportunities for network enhancements, expansions and modernizations.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provide increased managed services to our customers, including but not limited to network design, network monitoring, optimization, asset tracking, inventory management, final configuration and warehousing services.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Within the industry there continues to be strong price competition for new business. Periodic large service provider customer consolidations can increase opportunity or intensify competition from time to time or may increase the uncertainty in the timing of purchases and vendor selections.</w:t>
      </w:r>
    </w:p>
    <w:p>
      <w:pPr>
        <w:spacing w:after="0" w:line="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continue to explore strategic alternatives to improve the market position and profitability of our product offerings in the marketplace, generate additional liquidity and enhance our valuation. We may pursue our goals through organic growth and through strategic alternatives. Some of these alternatives have included, and could continue to include, selective acquisitions, divestitures and the sale of assets or securities. We have provided and may from time to time in the future provide, information to interested parties regarding our business and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market for mobile backhaul continues to be our primary addressable market segment and, over the long term,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 stage LTE deployments. Our international business continues to be affected by fluctuations in currency valuation relative to the U.S. dollar, which may limit local purchasing power and capital spending, slow the payments from customers in those affected locations and cause variations in our overall operating costs.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2018 Annual Report on Form 10-K, a number of factors could prevent us from achieving our objectives, including ongoing pricing pressures attributable to competition and macroeconomic conditions in the geographic markets that we service.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months ended September 28, 2018 and September 29, 2017 and the related changes are shown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w w:val="98"/>
              </w:rPr>
              <w:t>Three Months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28, 2018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29, 2017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460" w:type="dxa"/>
            <w:vAlign w:val="bottom"/>
            <w:tcBorders>
              <w:bottom w:val="single" w:sz="8" w:color="CCEEFF"/>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Africa and Middle East</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14,147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13,462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685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5.1 %</w:t>
            </w:r>
          </w:p>
        </w:tc>
      </w:tr>
      <w:tr>
        <w:trPr>
          <w:trHeight w:val="33"/>
        </w:trPr>
        <w:tc>
          <w:tcPr>
            <w:tcW w:w="6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and Russia</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7"/>
        </w:trPr>
        <w:tc>
          <w:tcPr>
            <w:tcW w:w="6720" w:type="dxa"/>
            <w:vAlign w:val="bottom"/>
          </w:tcPr>
          <w:p>
            <w:pPr>
              <w:ind w:left="40"/>
              <w:spacing w:after="0"/>
              <w:rPr>
                <w:sz w:val="20"/>
                <w:szCs w:val="20"/>
                <w:color w:val="auto"/>
              </w:rPr>
            </w:pPr>
            <w:r>
              <w:rPr>
                <w:rFonts w:ascii="Arial" w:cs="Arial" w:eastAsia="Arial" w:hAnsi="Arial"/>
                <w:sz w:val="16"/>
                <w:szCs w:val="16"/>
                <w:color w:val="auto"/>
              </w:rPr>
              <w:t>Latin America and Asia Pacific</w:t>
            </w:r>
          </w:p>
        </w:tc>
        <w:tc>
          <w:tcPr>
            <w:tcW w:w="4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14,882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7,610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104.6 %</w:t>
            </w:r>
          </w:p>
        </w:tc>
      </w:tr>
      <w:tr>
        <w:trPr>
          <w:trHeight w:val="33"/>
        </w:trPr>
        <w:tc>
          <w:tcPr>
            <w:tcW w:w="6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Revenue</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4,322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0"/>
        </w:trPr>
        <w:tc>
          <w:tcPr>
            <w:tcW w:w="6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first quarter of fiscal 2019, we recognized revenue based on ASC 606 but revenue for the first quarter of fiscal 2018 was recognized based on ASC 605. Therefore, the periods are not directly comparable. For additional information regarding the impact of the new accounting standard on our revenue, please refer to “</w:t>
      </w:r>
      <w:r>
        <w:rPr>
          <w:rFonts w:ascii="Arial" w:cs="Arial" w:eastAsia="Arial" w:hAnsi="Arial"/>
          <w:sz w:val="18"/>
          <w:szCs w:val="18"/>
          <w:i w:val="1"/>
          <w:iCs w:val="1"/>
          <w:color w:val="auto"/>
        </w:rPr>
        <w:t>Part I, Item 1, Financial statements - Note 3. Revenue Recognition</w:t>
      </w:r>
      <w:r>
        <w:rPr>
          <w:rFonts w:ascii="Arial" w:cs="Arial" w:eastAsia="Arial" w:hAnsi="Arial"/>
          <w:sz w:val="18"/>
          <w:szCs w:val="18"/>
          <w:color w:val="auto"/>
        </w:rPr>
        <w:t>”.</w:t>
      </w:r>
    </w:p>
    <w:p>
      <w:pPr>
        <w:spacing w:after="0" w:line="12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revenue in North America decreased $3.2 million, or 10.4%, during the first three months of fiscal 2019 compared with the same period of fiscal 2018. The decrease in North America revenue was due to the timing of completion of customer project milestones.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revenue in Africa and the Middle East increased $0.7 million, or 5.1%, for the first three months of fiscal 2019 compared with the same period of fiscal 2018. The increase in revenue was primarily due to increased sales to customers in West Africa.</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Revenue in Europe and Russia decreased $0.7 million, or 16.5%, for the first three months of fiscal 2019 compared with the same quarter of fiscal 2018. The decrease was due to lower sales to private network customers in the region.</w:t>
      </w:r>
    </w:p>
    <w:p>
      <w:pPr>
        <w:spacing w:after="0" w:line="1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Revenue in Latin America and Asia Pacific increased $7.6 million, or 104.6%, during the first three months of fiscal 2019 compared with the same period in fiscal 2018. The increase was primarily due to higher sales volume to several mobile operator customers in Asia Pacific.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28, 2018</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89"/>
              </w:rPr>
              <w:t>Change</w:t>
            </w: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640" w:type="dxa"/>
            <w:vAlign w:val="bottom"/>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39,125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35,067</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4,058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Services</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21,379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21,115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6"/>
        </w:trPr>
        <w:tc>
          <w:tcPr>
            <w:tcW w:w="6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60,504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56,182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revenue from product sales increased $4.1 million, or 11.6%, for the first three months of fiscal 2019 compared with the same period in fiscal 2018. Product volume increased over the same quarter in fiscal 2018 in Asia Pacific, the Middle East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and Africa, offset by smaller decreases in North America and Europe. Our services revenue increased by $0.3 million, or 1.3%, during the first three months of fiscal 2019 compared with the same period of fiscal 2018. Increased sales in Europe, Latin America, the Middle East and Africa were offset in part by smaller decreases in the other regions.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3"/>
                <w:szCs w:val="13"/>
                <w:b w:val="1"/>
                <w:bCs w:val="1"/>
                <w:color w:val="auto"/>
                <w:w w:val="99"/>
              </w:rPr>
              <w:t>Three Months Ended</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264"/>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thousands, except percentages)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28, 2018</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29, 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56,182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4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42,579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38,886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3,693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66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3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400" w:type="dxa"/>
            <w:vAlign w:val="bottom"/>
            <w:tcBorders>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17,296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7"/>
        </w:trPr>
        <w:tc>
          <w:tcPr>
            <w:tcW w:w="666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Product margin %</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200"/>
              <w:spacing w:after="0"/>
              <w:rPr>
                <w:sz w:val="20"/>
                <w:szCs w:val="20"/>
                <w:color w:val="auto"/>
              </w:rPr>
            </w:pPr>
            <w:r>
              <w:rPr>
                <w:rFonts w:ascii="Arial" w:cs="Arial" w:eastAsia="Arial" w:hAnsi="Arial"/>
                <w:sz w:val="16"/>
                <w:szCs w:val="16"/>
                <w:color w:val="auto"/>
              </w:rPr>
              <w:t>Service margin %</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Gross margin for the three months ended September 28, 2018 increased by $0.6 million, or 3.6% compared with the three ended September 29,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gross margin increased from the prior year quarter primarily due to an increase in product sales in Asia Pacific.</w:t>
      </w:r>
    </w:p>
    <w:p>
      <w:pPr>
        <w:spacing w:after="0" w:line="1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Gross margin as a percentage of revenue decreased in the first three months of fiscal 2019 compared with the same period in fiscal 2018 primarily due to lower concentration of revenue from North America. Product margin as a percentage of product revenue decreased from the prior year quarter primarily due to lower concentration of revenue from North America. Service margin as a percentage of service revenue decreased due to decreased margins on certain installation projects in the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r>
      <w:tr>
        <w:trPr>
          <w:trHeight w:val="264"/>
        </w:trPr>
        <w:tc>
          <w:tcPr>
            <w:tcW w:w="66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28, 2018</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29, 2017</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440" w:type="dxa"/>
            <w:vAlign w:val="bottom"/>
            <w:tcBorders>
              <w:top w:val="single" w:sz="8" w:color="auto"/>
              <w:bottom w:val="single" w:sz="8" w:color="CCEEFF"/>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666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expenses increased $0.1 million, or 2.9%, in the first three months of fiscal 2019 compared with the same period in fiscal 2018. The increase was primarily due to higher product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r>
      <w:tr>
        <w:trPr>
          <w:trHeight w:val="264"/>
        </w:trPr>
        <w:tc>
          <w:tcPr>
            <w:tcW w:w="66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28, 2018</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29, 2017</w:t>
            </w:r>
          </w:p>
        </w:tc>
        <w:tc>
          <w:tcPr>
            <w:tcW w:w="1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tcPr>
          <w:p>
            <w:pPr>
              <w:jc w:val="right"/>
              <w:ind w:right="103"/>
              <w:spacing w:after="0"/>
              <w:rPr>
                <w:sz w:val="20"/>
                <w:szCs w:val="20"/>
                <w:color w:val="auto"/>
              </w:rPr>
            </w:pPr>
            <w:r>
              <w:rPr>
                <w:rFonts w:ascii="Arial" w:cs="Arial" w:eastAsia="Arial" w:hAnsi="Arial"/>
                <w:sz w:val="14"/>
                <w:szCs w:val="14"/>
                <w:b w:val="1"/>
                <w:bCs w:val="1"/>
                <w:color w:val="auto"/>
              </w:rPr>
              <w:t>% Change</w:t>
            </w:r>
          </w:p>
        </w:tc>
      </w:tr>
      <w:tr>
        <w:trPr>
          <w:trHeight w:val="236"/>
        </w:trPr>
        <w:tc>
          <w:tcPr>
            <w:tcW w:w="6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w:t>
            </w:r>
          </w:p>
        </w:tc>
        <w:tc>
          <w:tcPr>
            <w:tcW w:w="400" w:type="dxa"/>
            <w:vAlign w:val="bottom"/>
            <w:tcBorders>
              <w:top w:val="single" w:sz="8" w:color="auto"/>
              <w:bottom w:val="single" w:sz="8" w:color="CCEEFF"/>
            </w:tcBorders>
            <w:shd w:val="clear" w:color="auto" w:fill="CCEEFF"/>
          </w:tcPr>
          <w:p>
            <w:pPr>
              <w:jc w:val="right"/>
              <w:ind w:right="223"/>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13,722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660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81" w:lineRule="exact"/>
        <w:rPr>
          <w:sz w:val="20"/>
          <w:szCs w:val="20"/>
          <w:color w:val="auto"/>
        </w:rPr>
      </w:pPr>
    </w:p>
    <w:p>
      <w:pPr>
        <w:ind w:right="460" w:firstLine="486"/>
        <w:spacing w:after="0" w:line="433" w:lineRule="auto"/>
        <w:rPr>
          <w:sz w:val="20"/>
          <w:szCs w:val="20"/>
          <w:color w:val="auto"/>
        </w:rPr>
      </w:pPr>
      <w:r>
        <w:rPr>
          <w:rFonts w:ascii="Arial" w:cs="Arial" w:eastAsia="Arial" w:hAnsi="Arial"/>
          <w:sz w:val="18"/>
          <w:szCs w:val="18"/>
          <w:color w:val="auto"/>
        </w:rPr>
        <w:t xml:space="preserve">Our selling and administrative expenses were relatively flat in the first three months of fiscal 2019 compared with the same period in fiscal 2018. </w:t>
      </w:r>
      <w:r>
        <w:rPr>
          <w:rFonts w:ascii="Arial" w:cs="Arial" w:eastAsia="Arial" w:hAnsi="Arial"/>
          <w:sz w:val="18"/>
          <w:szCs w:val="18"/>
          <w:b w:val="1"/>
          <w:bCs w:val="1"/>
          <w:i w:val="1"/>
          <w:iCs w:val="1"/>
          <w:color w:val="auto"/>
        </w:rPr>
        <w:t>Restructuring Charges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28, 2018</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29, 2017</w:t>
            </w:r>
          </w:p>
        </w:tc>
        <w:tc>
          <w:tcPr>
            <w:tcW w:w="12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794</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NM</w:t>
            </w:r>
          </w:p>
        </w:tc>
      </w:tr>
      <w:tr>
        <w:trPr>
          <w:trHeight w:val="33"/>
        </w:trPr>
        <w:tc>
          <w:tcPr>
            <w:tcW w:w="6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fourth quarter of fiscal 2018, our board of directors approved a restructuring plan (the “Fiscal 2018-2019 Plan”) to consolidate back-office support functions and align resources by geography to lower our expense structure. We expect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to substantially complete the restructuring activities under the Fiscal 2018-2019 Plan by the end of fiscal 2019. Payments related to the accrued restructuring liability balance for the Fiscal 2018-2019 Plan are expected to be fully paid in fiscal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8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7"/>
        </w:trPr>
        <w:tc>
          <w:tcPr>
            <w:tcW w:w="6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6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19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expense during the first quarter of fiscal 2018 was primarily comprised of a foreign exchange loss related to a dividend declared by our Nigeria entity (a partnership for U.S. tax purposes) to our Aviat U.S.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28, 2018</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4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Benefit from income taxes</w:t>
            </w: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 During the first quarter of fiscal 2019, we recorded a net discrete tax benefit of $1.6 million for the release of valuation allowance on a deferred tax asset recorded for $1.9 million of refundable withholding tax credit to be received from the Department of Federal Revenue of Brazil, less tax expense of $0.3 million from recognizing an ASC 740-10 reserve previously recorded as a reduction against the deferred tax for the withholding tax credit. During the first quarter of fiscal 2018, we received a refund of $1.3 million from the Singapore IRAS which represented a final settlement. The determination of the effective tax rate reflects tax expense and benefit generated in certain jurisdictions. However, jurisdictions with a year-to-date loss where no tax benefit can be recognized are excluded from the annual effective tax rate.</w:t>
      </w:r>
    </w:p>
    <w:p>
      <w:pPr>
        <w:spacing w:after="0" w:line="1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Due to the uncertainty regarding the timing and extent of our future profitability, we continue to record a full valuation allowance to offset our U.S. deferred tax assets which primarily represent future income tax benefits associated with our operating losses because we do not currently believe that it is more likely than not that these assets will be realized. In the future, if we conclude that sufficient positive evidence (including our estimate of future taxable income) exists to support a reversal of all or a portion of the valuation allowance, we expect that a significant portion of any release of the valuation allowance will be recorded as an income tax benefit at the time of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28, 2018, our total cash, cash equivalents and restricted cash were $28.4 million. Approximately $10.2 million, or 35.8% was held in the United States. The remaining balance of $18.2 million, or 64.2%, was held by entities outside the United States. Of the amount of cash and cash equivalents held by our foreign subsidiaries at September 28, 2018, $16.7 million was held in jurisdictions where our undistributed earnings are indefinitely reinvested, and if repatriated, would be subject to U.S. taxes which would be nominal.</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Cash used in operating activities was $6.8 million for the first three months of fiscal 2019, compared to cash provided by operating activities of $4.9 million for the first three months of fiscal 2018. Cash used in or provided by operating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5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is presented as net loss adjusted for non-cash items and changes in operating assets and liabilities. Net contribution of non-cash items decreased cash by $0.6 million and net changes in operating assets and liabilities decreased cash by $11.0 million for the first three months of fiscal 2019 as compared to the same period in fiscal 2018.</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$0.6 million decrease in the net contribution of non-cash items was primarily due to a $0.3 million net decrease in deferred tax expense, a $0.1 million recovery for uncollectible receivables and a $0.1 million decrease in share-based compensation expense.</w:t>
      </w:r>
    </w:p>
    <w:p>
      <w:pPr>
        <w:spacing w:after="0" w:line="11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Changes in operating assets and liabilities resulted in a net decrease of $11.0 million to cash for the first three months of fiscal 2019, compared to the same period in 2018. Accounts receivable and unbilled costs fluctuate from period to period, depending on the amount, timing of sales and billing activities as well as cash collections. The fluctuations in accounts payable and accrued expenses were primarily due to the timing of liabilities incurred and vendor payments. The change in inventories and in customer service inventories were primarily due to demand and our focus on improving our inventory management. The decrease in customer advanced payments and unearned income was due to the timing of payment from customers and revenue recognition. We used $0.3 million in cash during the first three months of fiscal 2019 on expenses related to restructuring liabilities.</w:t>
      </w:r>
    </w:p>
    <w:p>
      <w:pPr>
        <w:spacing w:after="0" w:line="1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remainder of fiscal year 2019, we expect to spend approximately $4.5 million for capital expenditures, primarily on equipment for development and manufacturing of new products and to support customer managed services.</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September 28, 2018, our principal sources of liquidity consisted of the $28.4 million in cash, cash equivalents and short-term investments, $10.4 million of available credit under our $30.0 million SVB Credit Facility which expires on June 29, 2019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2019.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September 28, 2018 and June 29, 2018. The line of credit also provides for the issuance of standby letters of credit and company credit cards, of which $0.1 million was outstanding as of September 28, 2018. This facility may be terminated upon notice, is reviewed annually for renewal or modification, and is supported by a corporate guarantee.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liabilities for restructuring activities totaling $2.4 million as of September 28, 2018, $1.9 million of which was classified as current liabilities and expected to be paid out in cash over the next 12 months. We expect to fund these future payments with available cash and cash provided by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amounts disclosed in our fiscal 2018 Annual Report on Form 10-K filed with the SEC on August 28, 2018 include our commercial commitments and contractual obligations. During the first three months of fiscal 2019, no material changes occurred in our contractual obligations to purchase goods and services and to make payments under operating leases or our contingent liabilities on outstanding letters of credit, guarantees and other arrangements as disclosed in our fiscal 2018 Annual Report on Form 10-K. As of September 28, 2018, we had commercial commitments of $55.9 million outstanding that were not recorded on our unaudited condensed consolidated balance sheets. This is an increase of $4.4 million from the amount disclosed in our fiscal 2018 Annual Report on Form 10-K. Please refer to “Note 11 Commitments and Contingencies” of the Notes to Condensed Consolidated Financial Statements (Unaudited) in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2018 Annual Report on Form 10-K other than for the impact of adopting new revenue accounting standards. Effective June 30, 2018, we adopted ASC 606. See “Note 3, Revenue Recognition” to the Condensed Consolidated Financial Statements for discussion of the impact of the adoption of ASC 606 on our policies for revenue.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September 28, 2018, we had foreign currency forward contracts outstanding with a total notional amount of $2.9 million consisting of two currencies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58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040" w:type="dxa"/>
            <w:vAlign w:val="bottom"/>
          </w:tcPr>
          <w:p>
            <w:pPr>
              <w:jc w:val="center"/>
              <w:ind w:right="360"/>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5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4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15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(Local Currency)</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836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5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8"/>
                <w:szCs w:val="18"/>
                <w:color w:val="auto"/>
              </w:rPr>
              <w:t>3,600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30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Great Britain pound</w:t>
            </w:r>
          </w:p>
        </w:tc>
        <w:tc>
          <w:tcPr>
            <w:tcW w:w="1580" w:type="dxa"/>
            <w:vAlign w:val="bottom"/>
            <w:tcBorders>
              <w:bottom w:val="single" w:sz="8" w:color="CCEEFF"/>
            </w:tcBorders>
          </w:tcPr>
          <w:p>
            <w:pPr>
              <w:jc w:val="right"/>
              <w:ind w:right="122"/>
              <w:spacing w:after="0"/>
              <w:rPr>
                <w:sz w:val="20"/>
                <w:szCs w:val="20"/>
                <w:color w:val="auto"/>
              </w:rPr>
            </w:pPr>
            <w:r>
              <w:rPr>
                <w:rFonts w:ascii="Arial" w:cs="Arial" w:eastAsia="Arial" w:hAnsi="Arial"/>
                <w:sz w:val="18"/>
                <w:szCs w:val="18"/>
                <w:color w:val="auto"/>
              </w:rPr>
              <w:t>250</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51"/>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foreign exchange (loss) income recorded in our unaudited condensed consolidated statements of operations during the three and nine months of fiscal 2019 and 2018 was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3"/>
              </w:rPr>
              <w:t>September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foreign exchange loss,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September 28, 2018 would have an impact of approximately $0.3 million on the fair value of such instruments.</w:t>
      </w:r>
    </w:p>
    <w:p>
      <w:pPr>
        <w:spacing w:after="0" w:line="11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three months of fiscal 2019 was $0.1 million and was included as a component of stockholders’ equity. As of September 28, 2018 and June 29, 2018, the cumulative translation adjustment decreased our equity by $12.7 million and $12.6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$28.4 million in total cash, cash equivalents as of September 28, 2018. Cash equivalents totaled $11.8 million as of September 28, 2018 and were comprised of money market funds and bank certificates of deposit. Cash equivalents investments have been recorded at fair value on our balance sheet.</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cash equivalents earn interest at fixed rates; therefore, changes in interest rates will not generate a gain or loss on these investments unless they are sold prior to maturity. The weighted average days to maturity for cash equivalents held as of September 28, 2018 was 66 days, and these investments had an average yield of 7.33% per annum. A 10% change in interest rates on our cash equivalents and short-term investments is not expected to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first three months of fiscal 2019, we had $9.0 million of borrowings outstanding under the SVB Credit Facility that incurred interest at the prime rate plus a spread of 0.50% to 1.50% with such spread determined based on our adjusted quick ratio. During the first three months of fiscal 2019, our weighted average interest rate was 5.58% and the interest expense on these borrowings was insignificant.</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Based on management’s evaluation, with participation of our Chief Executive Officer (CEO) and Principal Financial Officer (PFO), as of the end of the period covered by this report, our CEO and PFO have concluded that our disclosure controls and procedures, as defined in Rules 13a-15(e) and 15d-15(e) under the Securities Exchange Act of 1934, as amended (the “Exchange Act”), as of September 28, 2018,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principal executive officer and principal financial officer, as appropriate to allow timely decisions regarding required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68" w:right="239" w:bottom="1440" w:gutter="0" w:footer="0" w:header="0"/>
        </w:sectPr>
      </w:pPr>
    </w:p>
    <w:bookmarkStart w:id="29" w:name="page30"/>
    <w:bookmarkEnd w:id="29"/>
    <w:p>
      <w:pPr>
        <w:jc w:val="both"/>
        <w:ind w:firstLine="486"/>
        <w:spacing w:after="0" w:line="264" w:lineRule="auto"/>
        <w:rPr>
          <w:sz w:val="20"/>
          <w:szCs w:val="20"/>
          <w:color w:val="auto"/>
        </w:rPr>
      </w:pPr>
      <w:r>
        <w:rPr>
          <w:rFonts w:ascii="Arial" w:cs="Arial" w:eastAsia="Arial" w:hAnsi="Arial"/>
          <w:sz w:val="18"/>
          <w:szCs w:val="18"/>
          <w:color w:val="auto"/>
        </w:rPr>
        <w:t>In the first quarter of fiscal 2018, we implemented certain internal controls over financial reporting in connection with our adoptions of ASC 606. There were no other changes in our internal control over financial reporting during the three months ended September 28, 2018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the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jc w:val="center"/>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Legal Proceedings under “Note 11 Commitments and Contingencies” of the Notes to Condensed Consolidated Financial Statements (Unaudited)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2018 Annual Report on Form 10-K filed with the SEC on August 28, 2018.</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2018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three months ended September 28, 2018: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Repurchased as</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Repurchased Under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560" w:type="dxa"/>
            <w:vAlign w:val="bottom"/>
          </w:tcPr>
          <w:p>
            <w:pPr>
              <w:jc w:val="right"/>
              <w:ind w:right="279"/>
              <w:spacing w:after="0" w:line="203" w:lineRule="exact"/>
              <w:rPr>
                <w:sz w:val="20"/>
                <w:szCs w:val="20"/>
                <w:color w:val="auto"/>
              </w:rPr>
            </w:pPr>
            <w:r>
              <w:rPr>
                <w:rFonts w:ascii="Arial" w:cs="Arial" w:eastAsia="Arial" w:hAnsi="Arial"/>
                <w:sz w:val="16"/>
                <w:szCs w:val="16"/>
                <w:b w:val="1"/>
                <w:bCs w:val="1"/>
                <w:color w:val="auto"/>
              </w:rPr>
              <w:t xml:space="preserve">the Program </w:t>
            </w:r>
            <w:r>
              <w:rPr>
                <w:rFonts w:ascii="Arial" w:cs="Arial" w:eastAsia="Arial" w:hAnsi="Arial"/>
                <w:sz w:val="21"/>
                <w:szCs w:val="21"/>
                <w:b w:val="1"/>
                <w:bCs w:val="1"/>
                <w:color w:val="auto"/>
                <w:vertAlign w:val="superscript"/>
              </w:rPr>
              <w:t>(1)</w:t>
            </w:r>
          </w:p>
        </w:tc>
      </w:tr>
      <w:tr>
        <w:trPr>
          <w:trHeight w:val="210"/>
        </w:trPr>
        <w:tc>
          <w:tcPr>
            <w:tcW w:w="4240" w:type="dxa"/>
            <w:vAlign w:val="bottom"/>
            <w:gridSpan w:val="2"/>
          </w:tcPr>
          <w:p>
            <w:pPr>
              <w:ind w:left="1840"/>
              <w:spacing w:after="0"/>
              <w:rPr>
                <w:sz w:val="20"/>
                <w:szCs w:val="20"/>
                <w:color w:val="auto"/>
              </w:rPr>
            </w:pPr>
            <w:r>
              <w:rPr>
                <w:rFonts w:ascii="Arial" w:cs="Arial" w:eastAsia="Arial" w:hAnsi="Arial"/>
                <w:sz w:val="16"/>
                <w:szCs w:val="16"/>
                <w:b w:val="1"/>
                <w:bCs w:val="1"/>
                <w:color w:val="auto"/>
              </w:rPr>
              <w:t>Period</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Repurchased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Announced Program</w:t>
            </w: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2018 through July 27,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July 28, 2018 through August 24, 2018</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2,545</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2,545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7,453</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August 25, 2018 through September 28,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21,034</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7,102</w:t>
            </w:r>
          </w:p>
        </w:tc>
      </w:tr>
      <w:tr>
        <w:trPr>
          <w:trHeight w:val="244"/>
        </w:trPr>
        <w:tc>
          <w:tcPr>
            <w:tcW w:w="424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23,579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Stock Repurchase Programs</w:t>
      </w:r>
    </w:p>
    <w:p>
      <w:pPr>
        <w:spacing w:after="0" w:line="3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2018, our board of directors approved a repurchase program for the repurchase of up to $7.5 million of our common stock. During the three months ended September 28, 2018, we repurchased $0.4 million of our common stock in the open market. As of September 28, 2018, $7.1 million remained available under our stock repurchase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8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by this Item is set forth on the Exhibit Index (following the Signature section of this report) and is included, or incorporated by reference, in this Form 10-Q.</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5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Walter Stanley Gallagher, Jr.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Chief Operating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20" w:type="dxa"/>
            <w:vAlign w:val="bottom"/>
            <w:gridSpan w:val="15"/>
          </w:tcPr>
          <w:p>
            <w:pPr>
              <w:jc w:val="center"/>
              <w:ind w:right="17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420" w:type="dxa"/>
            <w:vAlign w:val="bottom"/>
            <w:gridSpan w:val="19"/>
          </w:tcPr>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39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13"/>
          </w:tcPr>
          <w:p>
            <w:pPr>
              <w:ind w:left="18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6"/>
            <w:shd w:val="clear" w:color="auto" w:fill="CCEEFF"/>
          </w:tcPr>
          <w:p>
            <w:pPr>
              <w:spacing w:after="0" w:line="202" w:lineRule="exact"/>
              <w:rPr>
                <w:rFonts w:ascii="Arial" w:cs="Arial" w:eastAsia="Arial" w:hAnsi="Arial"/>
                <w:sz w:val="18"/>
                <w:szCs w:val="18"/>
                <w:color w:val="0000FF"/>
                <w:w w:val="94"/>
              </w:rPr>
            </w:pPr>
            <w:hyperlink r:id="rId17">
              <w:r>
                <w:rPr>
                  <w:rFonts w:ascii="Arial" w:cs="Arial" w:eastAsia="Arial" w:hAnsi="Arial"/>
                  <w:sz w:val="18"/>
                  <w:szCs w:val="18"/>
                  <w:color w:val="0000FF"/>
                  <w:w w:val="94"/>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Current Report on Form 10-Q filed with the SEC on February 10, 2017, File No. 001-33278)</w:t>
              </w:r>
            </w:hyperlink>
          </w:p>
        </w:tc>
        <w:tc>
          <w:tcPr>
            <w:tcW w:w="308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6"/>
          </w:tcPr>
          <w:p>
            <w:pPr>
              <w:spacing w:after="0" w:line="202"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with the SEC on October 2, 2015, File No. 001-33278)</w:t>
              </w:r>
            </w:hyperlink>
          </w:p>
        </w:tc>
        <w:tc>
          <w:tcPr>
            <w:tcW w:w="220" w:type="dxa"/>
            <w:vAlign w:val="bottom"/>
            <w:gridSpan w:val="3"/>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tcBorders>
              <w:bottom w:val="single" w:sz="8" w:color="CCEEFF"/>
            </w:tcBorders>
            <w:gridSpan w:val="7"/>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33278)</w:t>
              </w:r>
            </w:hyperlink>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bottom w:val="single" w:sz="8" w:color="0000FF"/>
            </w:tcBorders>
            <w:gridSpan w:val="14"/>
          </w:tcPr>
          <w:p>
            <w:pPr>
              <w:spacing w:after="0" w:line="202"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Aviat Networks, Inc. 2018 Incentive Plan (incorporated by reference to Appendix A to the Registrant’s Proxy Statement on Schedule 14A</w:t>
              </w:r>
            </w:hyperlink>
          </w:p>
        </w:tc>
        <w:tc>
          <w:tcPr>
            <w:tcW w:w="2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filed with the SEC on February 12, 2018,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Amendment No. 1 to Third Amended and Restated Loan and Security Agreement dated as of September 28, 2018, by and among Aviat</w:t>
              </w:r>
            </w:hyperlink>
          </w:p>
        </w:tc>
        <w:tc>
          <w:tcPr>
            <w:tcW w:w="38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120" w:type="dxa"/>
            <w:vAlign w:val="bottom"/>
            <w:gridSpan w:val="16"/>
            <w:shd w:val="clear" w:color="auto" w:fill="CCEEFF"/>
          </w:tcPr>
          <w:p>
            <w:pPr>
              <w:spacing w:after="0" w:line="196" w:lineRule="exact"/>
              <w:rPr>
                <w:rFonts w:ascii="Arial" w:cs="Arial" w:eastAsia="Arial" w:hAnsi="Arial"/>
                <w:sz w:val="18"/>
                <w:szCs w:val="18"/>
                <w:color w:val="0000FF"/>
                <w:w w:val="95"/>
              </w:rPr>
            </w:pPr>
            <w:hyperlink r:id="rId21">
              <w:r>
                <w:rPr>
                  <w:rFonts w:ascii="Arial" w:cs="Arial" w:eastAsia="Arial" w:hAnsi="Arial"/>
                  <w:sz w:val="18"/>
                  <w:szCs w:val="18"/>
                  <w:color w:val="0000FF"/>
                  <w:w w:val="95"/>
                </w:rPr>
                <w:t>Networks, Inc., Aviat U.S., Inc., Aviat Networks (S) Pte. Ltd. and Silicon Valley Bank (incorporated by reference to Exhibit 10.1 to the</w:t>
              </w:r>
            </w:hyperlink>
          </w:p>
        </w:tc>
      </w:tr>
      <w:tr>
        <w:trPr>
          <w:trHeight w:val="244"/>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972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Current Report on Form 8-K filed with the SEC on October 4, 2018, File No. 001-33278)</w:t>
              </w:r>
            </w:hyperlink>
          </w:p>
        </w:tc>
        <w:tc>
          <w:tcPr>
            <w:tcW w:w="400" w:type="dxa"/>
            <w:vAlign w:val="bottom"/>
            <w:tcBorders>
              <w:top w:val="single" w:sz="8" w:color="CCEEFF"/>
            </w:tcBorders>
            <w:gridSpan w:val="6"/>
            <w:shd w:val="clear" w:color="auto" w:fill="CCEEFF"/>
          </w:tcPr>
          <w:p>
            <w:pPr>
              <w:spacing w:after="0"/>
              <w:rPr>
                <w:sz w:val="21"/>
                <w:szCs w:val="21"/>
                <w:color w:val="auto"/>
              </w:rPr>
            </w:pPr>
          </w:p>
        </w:tc>
      </w:tr>
      <w:tr>
        <w:trPr>
          <w:trHeight w:val="203"/>
        </w:trPr>
        <w:tc>
          <w:tcPr>
            <w:tcW w:w="11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440" w:type="dxa"/>
            <w:vAlign w:val="bottom"/>
            <w:tcBorders>
              <w:top w:val="single" w:sz="8" w:color="0000FF"/>
            </w:tcBorders>
            <w:gridSpan w:val="7"/>
          </w:tcPr>
          <w:p>
            <w:pPr>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Rule 13a-14(a)/15d-14(a) Certification of Chief Executive Officer</w:t>
              </w:r>
            </w:hyperlink>
          </w:p>
        </w:tc>
        <w:tc>
          <w:tcPr>
            <w:tcW w:w="3680" w:type="dxa"/>
            <w:vAlign w:val="bottom"/>
            <w:tcBorders>
              <w:top w:val="single" w:sz="8" w:color="CCEEFF"/>
            </w:tcBorders>
            <w:gridSpan w:val="9"/>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2"/>
              </w:rPr>
            </w:pPr>
            <w:hyperlink w:anchor="page36">
              <w:r>
                <w:rPr>
                  <w:rFonts w:ascii="Arial" w:cs="Arial" w:eastAsia="Arial" w:hAnsi="Arial"/>
                  <w:sz w:val="18"/>
                  <w:szCs w:val="18"/>
                  <w:color w:val="0000FF"/>
                  <w:w w:val="92"/>
                </w:rPr>
                <w:t>Rule 13a-14(a)/15d-14(a) Certification of Principal Financial Officer</w:t>
              </w:r>
            </w:hyperlink>
          </w:p>
        </w:tc>
        <w:tc>
          <w:tcPr>
            <w:tcW w:w="5160" w:type="dxa"/>
            <w:vAlign w:val="bottom"/>
            <w:tcBorders>
              <w:bottom w:val="single" w:sz="8" w:color="CCEEFF"/>
            </w:tcBorders>
            <w:gridSpan w:val="11"/>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6"/>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Section 1350 Certification of Chief Executive Officer and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1"/>
                <w:szCs w:val="21"/>
                <w:color w:val="auto"/>
              </w:rPr>
            </w:pPr>
          </w:p>
        </w:tc>
        <w:tc>
          <w:tcPr>
            <w:tcW w:w="101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1"/>
                <w:szCs w:val="21"/>
                <w:color w:val="auto"/>
              </w:rPr>
            </w:pPr>
          </w:p>
        </w:tc>
        <w:tc>
          <w:tcPr>
            <w:tcW w:w="10120" w:type="dxa"/>
            <w:vAlign w:val="bottom"/>
            <w:gridSpan w:val="1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1"/>
                <w:szCs w:val="21"/>
                <w:color w:val="auto"/>
              </w:rPr>
            </w:pPr>
          </w:p>
        </w:tc>
        <w:tc>
          <w:tcPr>
            <w:tcW w:w="10120" w:type="dxa"/>
            <w:vAlign w:val="bottom"/>
            <w:gridSpan w:val="1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5"/>
          </w:tcPr>
          <w:p>
            <w:pPr>
              <w:jc w:val="right"/>
              <w:ind w:right="188"/>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28, 2018,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November 13, 2018</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28, 2018,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13, 2018</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3"/>
              </w:rPr>
              <w:t>Senior Vice President and Chief Operating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28, 2018, as filed with the Securities and Exchange Commission on the date hereof (the “Report”), we, Michael A. Pangia, President and Chief Executive Officer of Aviat Networks, and Walter Stanley Gallagher, Jr., Senior Vice President and Chief Operating Officer, Principal Financial Officer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firstLine="8"/>
        <w:spacing w:after="0" w:line="277" w:lineRule="auto"/>
        <w:tabs>
          <w:tab w:leader="none" w:pos="3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November 13, 2018</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13, 2018</w:t>
      </w:r>
    </w:p>
    <w:p>
      <w:pPr>
        <w:ind w:left="6080"/>
        <w:spacing w:after="0"/>
        <w:rPr>
          <w:sz w:val="20"/>
          <w:szCs w:val="20"/>
          <w:color w:val="auto"/>
        </w:rPr>
      </w:pPr>
      <w:r>
        <w:rPr>
          <w:rFonts w:ascii="Arial" w:cs="Arial" w:eastAsia="Arial" w:hAnsi="Arial"/>
          <w:sz w:val="18"/>
          <w:szCs w:val="18"/>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Walter Stanley Gallagher,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Operating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377789/000137778917000022/avnwexhibit31amendedandres.htm" TargetMode="External"/><Relationship Id="rId18" Type="http://schemas.openxmlformats.org/officeDocument/2006/relationships/hyperlink" Target="http://www.sec.gov/Archives/edgar/data/1377789/000137778915000082/exhibit_aviatamendedandres.htm" TargetMode="External"/><Relationship Id="rId19" Type="http://schemas.openxmlformats.org/officeDocument/2006/relationships/hyperlink" Target="http://www.sec.gov/Archives/edgar/data/1377789/000119312516702547/d254391dex41.htm" TargetMode="External"/><Relationship Id="rId20" Type="http://schemas.openxmlformats.org/officeDocument/2006/relationships/hyperlink" Target="http://www.sec.gov/Archives/edgar/data/1377789/000137778918000016/aviatannualproxyfy17.htm" TargetMode="External"/><Relationship Id="rId21" Type="http://schemas.openxmlformats.org/officeDocument/2006/relationships/hyperlink" Target="http://www.sec.gov/Archives/edgar/data/1377789/000137778918000087/exhibit101svbloanamend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2019-12-28T17:56:04Z</dcterms:created>
  <dcterms:modified xsi:type="dcterms:W3CDTF">2019-12-28T17:56:04Z</dcterms:modified>
</cp:coreProperties>
</file>