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1460" w:right="1460" w:hanging="428"/>
        <w:spacing w:after="0" w:line="238" w:lineRule="auto"/>
        <w:tabs>
          <w:tab w:leader="none" w:pos="1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December 29, 2023</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79" w:lineRule="exact"/>
        <w:rPr>
          <w:sz w:val="24"/>
          <w:szCs w:val="24"/>
          <w:color w:val="auto"/>
        </w:rPr>
      </w:pPr>
    </w:p>
    <w:p>
      <w:pPr>
        <w:ind w:left="1460" w:right="1440" w:hanging="428"/>
        <w:spacing w:after="0" w:line="238" w:lineRule="auto"/>
        <w:tabs>
          <w:tab w:leader="none" w:pos="1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001-33278</w:t>
      </w:r>
    </w:p>
    <w:p>
      <w:pPr>
        <w:spacing w:after="0" w:line="8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AVIAT NETWORKS, INC.</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ectPr>
          <w:pgSz w:w="11900" w:h="16838" w:orient="portrait"/>
          <w:cols w:equalWidth="0" w:num="1">
            <w:col w:w="11240"/>
          </w:cols>
          <w:pgMar w:left="320" w:top="1033" w:right="339" w:bottom="1440" w:gutter="0" w:footer="0" w:header="0"/>
        </w:sectPr>
      </w:pPr>
    </w:p>
    <w:p>
      <w:pPr>
        <w:spacing w:after="0" w:line="13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20-5961564</w:t>
      </w:r>
    </w:p>
    <w:p>
      <w:pPr>
        <w:spacing w:after="0" w:line="200" w:lineRule="exact"/>
        <w:rPr>
          <w:sz w:val="24"/>
          <w:szCs w:val="24"/>
          <w:color w:val="auto"/>
        </w:rPr>
      </w:pPr>
    </w:p>
    <w:p>
      <w:pPr>
        <w:sectPr>
          <w:pgSz w:w="11900" w:h="16838" w:orient="portrait"/>
          <w:cols w:equalWidth="0" w:num="2">
            <w:col w:w="7460" w:space="720"/>
            <w:col w:w="3060"/>
          </w:cols>
          <w:pgMar w:left="320" w:top="1033" w:right="339" w:bottom="1440" w:gutter="0" w:footer="0" w:header="0"/>
          <w:type w:val="continuous"/>
        </w:sectPr>
      </w:pPr>
    </w:p>
    <w:p>
      <w:pPr>
        <w:spacing w:after="0" w:line="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p>
      <w:pPr>
        <w:spacing w:after="0" w:line="107" w:lineRule="exact"/>
        <w:rPr>
          <w:sz w:val="24"/>
          <w:szCs w:val="24"/>
          <w:color w:val="auto"/>
        </w:rPr>
      </w:pPr>
    </w:p>
    <w:p>
      <w:pPr>
        <w:sectPr>
          <w:pgSz w:w="11900" w:h="16838" w:orient="portrait"/>
          <w:cols w:equalWidth="0" w:num="2">
            <w:col w:w="6640" w:space="720"/>
            <w:col w:w="3880"/>
          </w:cols>
          <w:pgMar w:left="320" w:top="1033"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b w:val="1"/>
          <w:bCs w:val="1"/>
          <w:color w:val="auto"/>
        </w:rPr>
        <w:t>200 Parker Drive, Suite C100A,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Austin,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78728</w:t>
      </w:r>
    </w:p>
    <w:p>
      <w:pPr>
        <w:spacing w:after="0" w:line="31" w:lineRule="exact"/>
        <w:rPr>
          <w:sz w:val="24"/>
          <w:szCs w:val="24"/>
          <w:color w:val="auto"/>
        </w:rPr>
      </w:pPr>
    </w:p>
    <w:p>
      <w:pPr>
        <w:sectPr>
          <w:pgSz w:w="11900" w:h="16838" w:orient="portrait"/>
          <w:cols w:equalWidth="0" w:num="4">
            <w:col w:w="3760" w:space="320"/>
            <w:col w:w="560" w:space="200"/>
            <w:col w:w="2820" w:space="720"/>
            <w:col w:w="2860"/>
          </w:cols>
          <w:pgMar w:left="320" w:top="1033" w:right="339"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15" w:lineRule="exact"/>
        <w:rPr>
          <w:sz w:val="24"/>
          <w:szCs w:val="24"/>
          <w:color w:val="auto"/>
        </w:rPr>
      </w:pPr>
    </w:p>
    <w:p>
      <w:pPr>
        <w:sectPr>
          <w:pgSz w:w="11900" w:h="16838" w:orient="portrait"/>
          <w:cols w:equalWidth="0" w:num="2">
            <w:col w:w="7520" w:space="720"/>
            <w:col w:w="3000"/>
          </w:cols>
          <w:pgMar w:left="320" w:top="103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(408) 941-7100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ectPr>
          <w:pgSz w:w="11900" w:h="16838" w:orient="portrait"/>
          <w:cols w:equalWidth="0" w:num="1">
            <w:col w:w="11240"/>
          </w:cols>
          <w:pgMar w:left="320" w:top="1033" w:right="339" w:bottom="1440" w:gutter="0" w:footer="0" w:header="0"/>
          <w:type w:val="continuous"/>
        </w:sectPr>
      </w:pPr>
    </w:p>
    <w:p>
      <w:pPr>
        <w:spacing w:after="0" w:line="70"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8"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3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Common Stock</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AVNW</w:t>
            </w:r>
          </w:p>
        </w:tc>
        <w:tc>
          <w:tcPr>
            <w:tcW w:w="3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2300" w:type="dxa"/>
            <w:vAlign w:val="bottom"/>
          </w:tcPr>
          <w:p>
            <w:pPr>
              <w:spacing w:after="0"/>
              <w:rPr>
                <w:sz w:val="23"/>
                <w:szCs w:val="23"/>
                <w:color w:val="auto"/>
              </w:rPr>
            </w:pPr>
          </w:p>
        </w:tc>
        <w:tc>
          <w:tcPr>
            <w:tcW w:w="3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020" w:type="dxa"/>
        <w:tblCellMar>
          <w:top w:w="0" w:type="dxa"/>
          <w:left w:w="0" w:type="dxa"/>
          <w:bottom w:w="0" w:type="dxa"/>
          <w:right w:w="0" w:type="dxa"/>
        </w:tblCellMar>
      </w:tblP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7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February 2, 2024 was 12,547,276.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29, 2023</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0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30"/>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30"/>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Equity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29"/>
        </w:trPr>
        <w:tc>
          <w:tcPr>
            <w:tcW w:w="10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30"/>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1A. 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6. Exhibits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30"/>
        </w:trPr>
        <w:tc>
          <w:tcPr>
            <w:tcW w:w="10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30"/>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2" w:name="page3"/>
    <w:bookmarkEnd w:id="2"/>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58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55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11"/>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120,662</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51,272</w:t>
            </w:r>
          </w:p>
        </w:tc>
      </w:tr>
      <w:tr>
        <w:trPr>
          <w:trHeight w:val="223"/>
        </w:trPr>
        <w:tc>
          <w:tcPr>
            <w:tcW w:w="5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171,934</w:t>
            </w: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75,822</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34,438</w:t>
            </w:r>
          </w:p>
        </w:tc>
      </w:tr>
      <w:tr>
        <w:trPr>
          <w:trHeight w:val="223"/>
        </w:trPr>
        <w:tc>
          <w:tcPr>
            <w:tcW w:w="5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110,260</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61,674</w:t>
            </w: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34,071</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23"/>
        </w:trPr>
        <w:tc>
          <w:tcPr>
            <w:tcW w:w="5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49,083</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w:t>
            </w: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r>
      <w:tr>
        <w:trPr>
          <w:trHeight w:val="22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 outstanding:</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30"/>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w:t>
            </w:r>
          </w:p>
        </w:tc>
      </w:tr>
      <w:tr>
        <w:trPr>
          <w:trHeight w:val="234"/>
        </w:trPr>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940" w:type="dxa"/>
            <w:vAlign w:val="bottom"/>
            <w:gridSpan w:val="4"/>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48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93"/>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93"/>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cumulative translation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300" w:type="dxa"/>
            <w:vAlign w:val="bottom"/>
          </w:tcPr>
          <w:p>
            <w:pPr>
              <w:spacing w:after="0"/>
              <w:rPr>
                <w:sz w:val="16"/>
                <w:szCs w:val="16"/>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par value amounts)</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$1,167 and $719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101,653</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58,588</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33,057</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w:t>
            </w:r>
          </w:p>
        </w:tc>
        <w:tc>
          <w:tcPr>
            <w:tcW w:w="0" w:type="dxa"/>
            <w:vAlign w:val="bottom"/>
          </w:tcPr>
          <w:p>
            <w:pPr>
              <w:spacing w:after="0"/>
              <w:rPr>
                <w:sz w:val="1"/>
                <w:szCs w:val="1"/>
                <w:color w:val="auto"/>
              </w:rPr>
            </w:pPr>
          </w:p>
        </w:tc>
      </w:tr>
      <w:tr>
        <w:trPr>
          <w:trHeight w:val="223"/>
        </w:trPr>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237,704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364,496</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44,268</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130,061</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144,398</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50.0 million shares authorized, none issued</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6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 million shares authorized, 12.5 million shares issued</w:t>
            </w:r>
          </w:p>
        </w:tc>
        <w:tc>
          <w:tcPr>
            <w:tcW w:w="560" w:type="dxa"/>
            <w:vAlign w:val="bottom"/>
            <w:gridSpan w:val="2"/>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and</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48"/>
        </w:trPr>
        <w:tc>
          <w:tcPr>
            <w:tcW w:w="76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outstanding at December 29, 2023; 11.5 million shares issued and outstanding at June 30, 2023</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76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830,048</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(587,914)</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(16,004)</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220,098</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364,496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00" w:type="dxa"/>
            <w:vAlign w:val="bottom"/>
          </w:tcPr>
          <w:p>
            <w:pPr>
              <w:spacing w:after="0"/>
              <w:rPr>
                <w:sz w:val="13"/>
                <w:szCs w:val="13"/>
                <w:color w:val="auto"/>
              </w:rPr>
            </w:pPr>
          </w:p>
        </w:tc>
        <w:tc>
          <w:tcPr>
            <w:tcW w:w="1340" w:type="dxa"/>
            <w:vAlign w:val="bottom"/>
          </w:tcPr>
          <w:p>
            <w:pPr>
              <w:jc w:val="right"/>
              <w:ind w:right="21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uncollectible receivables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Charges for inventory write-downs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on marketable securities</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w:t>
            </w:r>
          </w:p>
        </w:tc>
      </w:tr>
      <w:tr>
        <w:trPr>
          <w:trHeight w:val="223"/>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acquisition of property, plant and equipment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r>
      <w:tr>
        <w:trPr>
          <w:trHeight w:val="230"/>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(15,769)</w:t>
            </w:r>
          </w:p>
        </w:tc>
      </w:tr>
      <w:tr>
        <w:trPr>
          <w:trHeight w:val="223"/>
        </w:trPr>
        <w:tc>
          <w:tcPr>
            <w:tcW w:w="8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r>
      <w:tr>
        <w:trPr>
          <w:trHeight w:val="21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revolver</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revolver</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term loan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repurchase of common stock - treasury shares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23"/>
        </w:trPr>
        <w:tc>
          <w:tcPr>
            <w:tcW w:w="8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37,104</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21,554</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8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issued in connection with acquisition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December 29, 2023</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
                <w:szCs w:val="2"/>
                <w:color w:val="auto"/>
              </w:rPr>
            </w:pP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7"/>
                <w:szCs w:val="17"/>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29,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832,060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(583,909)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 plans</w:t>
            </w: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60" w:type="dxa"/>
            <w:vAlign w:val="bottom"/>
            <w:gridSpan w:val="2"/>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of equity awards</w:t>
            </w:r>
          </w:p>
        </w:tc>
        <w:tc>
          <w:tcPr>
            <w:tcW w:w="10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 repurchase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Common stock issued in connection with</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acquisition</w:t>
            </w: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29,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12,521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856,735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(581,019)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(15,426)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253,936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December 30, 2022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8"/>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
                <w:szCs w:val="2"/>
                <w:color w:val="auto"/>
              </w:rPr>
            </w:pPr>
          </w:p>
        </w:tc>
        <w:tc>
          <w:tcPr>
            <w:tcW w:w="14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180" w:type="dxa"/>
            <w:vAlign w:val="bottom"/>
            <w:gridSpan w:val="3"/>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7"/>
                <w:szCs w:val="17"/>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2022</w:t>
            </w: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11,313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824,786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(602,188)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(17,142)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199,422</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 plans</w:t>
            </w: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equity awards</w:t>
            </w: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30, 2022</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11,378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826,812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(596,142)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(16,141)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208,496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 w:name="page8"/>
    <w:bookmarkEnd w:id="7"/>
    <w:tbl>
      <w:tblPr>
        <w:tblLayout w:type="fixed"/>
        <w:tblInd w:w="4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10"/>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Six Months Ended December 29, 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4"/>
                <w:szCs w:val="24"/>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2"/>
                <w:szCs w:val="12"/>
                <w:color w:val="auto"/>
              </w:rPr>
            </w:pPr>
          </w:p>
        </w:tc>
        <w:tc>
          <w:tcPr>
            <w:tcW w:w="11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0"/>
        </w:trPr>
        <w:tc>
          <w:tcPr>
            <w:tcW w:w="31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0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11,518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830,048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(587,914)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(16,004)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220,098</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1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2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281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plans</w:t>
            </w:r>
          </w:p>
        </w:tc>
        <w:tc>
          <w:tcPr>
            <w:tcW w:w="1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shd w:val="clear" w:color="auto" w:fill="CCEEFF"/>
          </w:tcPr>
          <w:p>
            <w:pPr>
              <w:spacing w:after="0"/>
              <w:rPr>
                <w:sz w:val="14"/>
                <w:szCs w:val="14"/>
                <w:color w:val="auto"/>
              </w:rPr>
            </w:pPr>
          </w:p>
        </w:tc>
        <w:tc>
          <w:tcPr>
            <w:tcW w:w="312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equity awards</w:t>
            </w:r>
          </w:p>
        </w:tc>
        <w:tc>
          <w:tcPr>
            <w:tcW w:w="10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repurchase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1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Common stock issued in connection with</w:t>
            </w:r>
          </w:p>
        </w:tc>
        <w:tc>
          <w:tcPr>
            <w:tcW w:w="102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acquisition</w:t>
            </w:r>
          </w:p>
        </w:tc>
        <w:tc>
          <w:tcPr>
            <w:tcW w:w="1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29, 2023</w:t>
            </w:r>
          </w:p>
        </w:tc>
        <w:tc>
          <w:tcPr>
            <w:tcW w:w="102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12,521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856,735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(581,019)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(15,426)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253,936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10"/>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Six Months Ended December 30, 2022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4"/>
                <w:szCs w:val="24"/>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2"/>
                <w:szCs w:val="12"/>
                <w:color w:val="auto"/>
              </w:rPr>
            </w:pPr>
          </w:p>
        </w:tc>
        <w:tc>
          <w:tcPr>
            <w:tcW w:w="11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0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July 1, 2022</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11,161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823,259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(599,442)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1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plans</w:t>
            </w:r>
          </w:p>
        </w:tc>
        <w:tc>
          <w:tcPr>
            <w:tcW w:w="1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1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equity awards</w:t>
            </w:r>
          </w:p>
        </w:tc>
        <w:tc>
          <w:tcPr>
            <w:tcW w:w="10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30, 2022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11,378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826,812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(596,142)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(16,141)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208,496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0" w:right="359" w:bottom="1440" w:gutter="0" w:footer="0" w:header="0"/>
        </w:sectPr>
      </w:pPr>
    </w:p>
    <w:bookmarkStart w:id="8" w:name="page9"/>
    <w:bookmarkEnd w:id="8"/>
    <w:p>
      <w:pPr>
        <w:ind w:left="456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Aviat Networks, Inc. (“Aviat,” the “Company,” “we,” “us,” and “our”) designs, manufactures, and sells wireless networking and access networking solutions and services to mobile and fixed telephone service providers, private network operators, government agencies, transportation and utility companies, public safety agencies and broadcast system operators across the globe. Aviat’s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Aviat has made estimates, assumptions and judgments affecting the amounts reported in its unaudited condensed consolidated financial statements and the accompanying notes, as discussed in greater detail below. Accordingly, the statements do not include all information and footnotes required by U.S. GAAP for annual consolidated financial statements. In the opinion of the Company’s management, such interim financial statements reflect all adjustments (consisting of normal recurring adjustments) considered necessary for a fair presentation of financial position, results of operations and cash flows for such periods. The results for the six months ended December 29, 2023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Aviat’s Annual Report on Form 10-K for the fiscal year ended June 30, 2023.</w:t>
      </w:r>
    </w:p>
    <w:p>
      <w:pPr>
        <w:spacing w:after="0" w:line="1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wholly-owned and majority-owned subsidiaries. All intercompany transactions and accounts have been eliminated. Certain amounts in the financial statements have been reclassified for comparative purposes to conform to the current period financial statement presentation.</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Aviat’s fiscal year includes 52 or 53 weeks and ends on the Friday nearest to June 30. The three months ended December 29, 2023 and December 30, 2022 both consisted of 13 weeks. Fiscal year 2024 contains 52 weeks and will end on June 28, 2024. Fiscal year 2023 contained 52 weeks and ended on June 30,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U.S. GAAP requires the Company to make estimates, assumptions and judgments affecting the amounts reported and related disclosures. Estimates are based upon historical factors, current circumstances and the experience and judgment of the Company’s management. The Company evaluates estimates and assumptions on an ongoing basis and may employ outside experts to assist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goodwill and identified intangible assets in business combinations, valuation allowances for deferred tax assets, uncertainties in income taxes, contingencies and recoverability of long-lived assets. Actual results may differ materially from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as of and for the six months ended December 29, 2023, as compared to the significant accounting policies described in the Company’s Annual Report on Form 10-K for the fiscal year ended June 30, 2023.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ASU expands reportable segment disclosure requirements, primarily through enhanced disclosures about significant segment expenses that are regularly presented to the chief operating decision maker. The disclosures required under ASU 2023-07 are also required for public entities with a single reportable segment. ASU 2023-07 is effective for the Company’s annual reporting beginning in fiscal 2025 and for interim periods beginning in fiscal 2026. The Company is currently evaluating the impact of the ASU on its consolidated financial statements.</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ASU enhances the transparency and usefulness of income tax information through improvements to disclosures primarily related to the rate reconciliation and income taxes paid information. ASU 2023-09 is effective for the Company’s annual reporting beginning in fiscal 2026. The Company is currently evaluating the impact of this ASU on its consolidated financial statements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The Company determined at this time that all other ASUs issued but not yet adopted are either not applicable or are expected to have a minimal impact on its financial position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Income Per Share of Common Stock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per share: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3400" w:type="dxa"/>
            <w:vAlign w:val="bottom"/>
            <w:gridSpan w:val="4"/>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37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332"/>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332"/>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3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w:t>
            </w:r>
          </w:p>
        </w:tc>
      </w:tr>
      <w:tr>
        <w:trPr>
          <w:trHeight w:val="230"/>
        </w:trPr>
        <w:tc>
          <w:tcPr>
            <w:tcW w:w="3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48"/>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75"/>
        </w:trPr>
        <w:tc>
          <w:tcPr>
            <w:tcW w:w="37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3"/>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30"/>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bl>
    <w:p>
      <w:pPr>
        <w:spacing w:after="0" w:line="238"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weighted-average equity awards that were excluded from the diluted net income per share calculations since they were anti-dilutive: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328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Borders>
              <w:bottom w:val="single" w:sz="8" w:color="auto"/>
            </w:tcBorders>
            <w:gridSpan w:val="4"/>
          </w:tcPr>
          <w:p>
            <w:pPr>
              <w:ind w:left="12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380" w:type="dxa"/>
            <w:vAlign w:val="bottom"/>
            <w:tcBorders>
              <w:bottom w:val="single" w:sz="8" w:color="auto"/>
            </w:tcBorders>
          </w:tcPr>
          <w:p>
            <w:pPr>
              <w:spacing w:after="0"/>
              <w:rPr>
                <w:sz w:val="18"/>
                <w:szCs w:val="18"/>
                <w:color w:val="auto"/>
              </w:rPr>
            </w:pPr>
          </w:p>
        </w:tc>
      </w:tr>
      <w:tr>
        <w:trPr>
          <w:trHeight w:val="159"/>
        </w:trPr>
        <w:tc>
          <w:tcPr>
            <w:tcW w:w="3760" w:type="dxa"/>
            <w:vAlign w:val="bottom"/>
          </w:tcPr>
          <w:p>
            <w:pPr>
              <w:spacing w:after="0"/>
              <w:rPr>
                <w:sz w:val="13"/>
                <w:szCs w:val="13"/>
                <w:color w:val="auto"/>
              </w:rPr>
            </w:pPr>
          </w:p>
        </w:tc>
        <w:tc>
          <w:tcPr>
            <w:tcW w:w="1400" w:type="dxa"/>
            <w:vAlign w:val="bottom"/>
          </w:tcPr>
          <w:p>
            <w:pPr>
              <w:jc w:val="center"/>
              <w:ind w:left="29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left="299"/>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left="299"/>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left="299"/>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380" w:type="dxa"/>
            <w:vAlign w:val="bottom"/>
          </w:tcPr>
          <w:p>
            <w:pPr>
              <w:spacing w:after="0"/>
              <w:rPr>
                <w:sz w:val="13"/>
                <w:szCs w:val="13"/>
                <w:color w:val="auto"/>
              </w:rPr>
            </w:pPr>
          </w:p>
        </w:tc>
      </w:tr>
      <w:tr>
        <w:trPr>
          <w:trHeight w:val="214"/>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90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Pr>
          <w:p>
            <w:pPr>
              <w:spacing w:after="0"/>
              <w:rPr>
                <w:sz w:val="18"/>
                <w:szCs w:val="18"/>
                <w:color w:val="auto"/>
              </w:rPr>
            </w:pPr>
          </w:p>
        </w:tc>
      </w:tr>
      <w:tr>
        <w:trPr>
          <w:trHeight w:val="225"/>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stock units</w:t>
            </w: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8"/>
        </w:trPr>
        <w:tc>
          <w:tcPr>
            <w:tcW w:w="3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shares of common stock excluded</w:t>
            </w:r>
          </w:p>
        </w:tc>
        <w:tc>
          <w:tcPr>
            <w:tcW w:w="14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Performance Obligations, and Backlog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 w:name="page11"/>
    <w:bookmarkEnd w:id="10"/>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29, 2023</w:t>
            </w:r>
          </w:p>
        </w:tc>
        <w:tc>
          <w:tcPr>
            <w:tcW w:w="260" w:type="dxa"/>
            <w:vAlign w:val="bottom"/>
          </w:tcPr>
          <w:p>
            <w:pPr>
              <w:spacing w:after="0"/>
              <w:rPr>
                <w:sz w:val="18"/>
                <w:szCs w:val="18"/>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1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149,919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101,653</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58,588</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commissions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44,268</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long-term</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r>
    </w:tbl>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Significant changes in contract balances may arise as a result of recognition over time for services, transfer of control for equipment, and periodic payments (both in arrears and in advance).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experience unforeseen events that could result in a change to the scope or price associated with an arrangement. When such events occur, the transaction price and measurement of progress for the performance obligation are updated and this change is recognized as a cumulative catch-up to revenue. Because of the nature and type of contracts, the timeframe to completion and satisfaction of current and future performance obligations can shift; however, this will have no impact on the Company’s future obligation to bill and collect.</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29, 2023, the Company reported $63.0 million in advance payments and unearned revenue and long-term unearned revenue, of which approximately 30% is expected to be recognized as revenue in the remainder of fiscal 2024 and the remainder thereafter. Approximately $8.7 million and $16.1 million, respectively, of revenue was recognized during the three and six months ended December 29, 2023, which was included in advance payments and unearned revenue at June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aggregate amount of transaction price allocated to unsatisfied (or partially unsatisfied) performance obligations was approximately $152.6 million at December 29, 2023. Of this amount, approximately 50% is expected to be recognized as revenue during the next 12 months, with the remaining amount to be recognized thereafter. The unsatisfied (or partially unsatisfied) performance obligations excludes the impact of the NEC Transaction (as defined below). The Company is in the process of reviewing the acquired contracts. However, due to the timing of the transaction, there was insufficient time to finalize the analysis for incorporation into this disclosure.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99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18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80" w:type="dxa"/>
            <w:vAlign w:val="bottom"/>
          </w:tcPr>
          <w:p>
            <w:pPr>
              <w:spacing w:after="0"/>
              <w:rPr>
                <w:sz w:val="13"/>
                <w:szCs w:val="13"/>
                <w:color w:val="auto"/>
              </w:rPr>
            </w:pPr>
          </w:p>
        </w:tc>
        <w:tc>
          <w:tcPr>
            <w:tcW w:w="1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30, 2022</w:t>
            </w:r>
          </w:p>
        </w:tc>
        <w:tc>
          <w:tcPr>
            <w:tcW w:w="260" w:type="dxa"/>
            <w:vAlign w:val="bottom"/>
          </w:tcPr>
          <w:p>
            <w:pPr>
              <w:spacing w:after="0"/>
              <w:rPr>
                <w:sz w:val="13"/>
                <w:szCs w:val="13"/>
                <w:color w:val="auto"/>
              </w:rPr>
            </w:pPr>
          </w:p>
        </w:tc>
        <w:tc>
          <w:tcPr>
            <w:tcW w:w="16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80" w:type="dxa"/>
            <w:vAlign w:val="bottom"/>
          </w:tcPr>
          <w:p>
            <w:pPr>
              <w:spacing w:after="0"/>
              <w:rPr>
                <w:sz w:val="13"/>
                <w:szCs w:val="13"/>
                <w:color w:val="auto"/>
              </w:rPr>
            </w:pPr>
          </w:p>
        </w:tc>
        <w:tc>
          <w:tcPr>
            <w:tcW w:w="160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30, 2022</w:t>
            </w:r>
          </w:p>
        </w:tc>
        <w:tc>
          <w:tcPr>
            <w:tcW w:w="0" w:type="dxa"/>
            <w:vAlign w:val="bottom"/>
          </w:tcPr>
          <w:p>
            <w:pPr>
              <w:spacing w:after="0"/>
              <w:rPr>
                <w:sz w:val="1"/>
                <w:szCs w:val="1"/>
                <w:color w:val="auto"/>
              </w:rPr>
            </w:pPr>
          </w:p>
        </w:tc>
      </w:tr>
      <w:tr>
        <w:trPr>
          <w:trHeight w:val="214"/>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760" w:type="dxa"/>
            <w:vAlign w:val="bottom"/>
            <w:vMerge w:val="continue"/>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080" w:type="dxa"/>
            <w:vAlign w:val="bottom"/>
            <w:shd w:val="clear" w:color="auto" w:fill="CCEEFF"/>
          </w:tcPr>
          <w:p>
            <w:pPr>
              <w:jc w:val="center"/>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costs</w:t>
            </w:r>
          </w:p>
        </w:tc>
        <w:tc>
          <w:tcPr>
            <w:tcW w:w="1080" w:type="dxa"/>
            <w:vAlign w:val="bottom"/>
            <w:tcBorders>
              <w:bottom w:val="single" w:sz="8" w:color="auto"/>
            </w:tcBorders>
          </w:tcPr>
          <w:p>
            <w:pPr>
              <w:jc w:val="center"/>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540" w:type="dxa"/>
            <w:vAlign w:val="bottom"/>
            <w:gridSpan w:val="7"/>
          </w:tcPr>
          <w:p>
            <w:pPr>
              <w:jc w:val="center"/>
              <w:ind w:left="32"/>
              <w:spacing w:after="0"/>
              <w:rPr>
                <w:sz w:val="20"/>
                <w:szCs w:val="20"/>
                <w:color w:val="auto"/>
              </w:rPr>
            </w:pPr>
            <w:r>
              <w:rPr>
                <w:rFonts w:ascii="Times New Roman" w:cs="Times New Roman" w:eastAsia="Times New Roman" w:hAnsi="Times New Roman"/>
                <w:sz w:val="18"/>
                <w:szCs w:val="18"/>
                <w:color w:val="auto"/>
                <w:w w:val="99"/>
              </w:rPr>
              <w:t>The weighted average lease term and discount rate as of December 29, 2023 were as follows: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years</w:t>
            </w:r>
          </w:p>
        </w:tc>
        <w:tc>
          <w:tcPr>
            <w:tcW w:w="0" w:type="dxa"/>
            <w:vAlign w:val="bottom"/>
          </w:tcPr>
          <w:p>
            <w:pPr>
              <w:spacing w:after="0"/>
              <w:rPr>
                <w:sz w:val="1"/>
                <w:szCs w:val="1"/>
                <w:color w:val="auto"/>
              </w:rPr>
            </w:pP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29, 2023, future minimum lease payments under all non-cancelable operating leases with an initial term in excess of one year were as follows (in thousands):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2024</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3"/>
        </w:trPr>
        <w:tc>
          <w:tcPr>
            <w:tcW w:w="9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48"/>
        </w:trPr>
        <w:tc>
          <w:tcPr>
            <w:tcW w:w="9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following provides a summary of cash, cash equivalents, and restricted cash reported within the unaudited condensed consolidated balance sheets that reconciles to the corresponding amount in the unaudited condensed consolidated statement of cash flows: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5080" w:type="dxa"/>
            <w:vAlign w:val="bottom"/>
          </w:tcPr>
          <w:p>
            <w:pPr>
              <w:jc w:val="center"/>
              <w:ind w:left="2919"/>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1160" w:type="dxa"/>
            <w:vAlign w:val="bottom"/>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508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 in the Statement of Cash Flows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7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360" w:type="dxa"/>
            <w:vAlign w:val="bottom"/>
          </w:tcPr>
          <w:p>
            <w:pPr>
              <w:spacing w:after="0"/>
              <w:rPr>
                <w:sz w:val="24"/>
                <w:szCs w:val="24"/>
                <w:color w:val="auto"/>
              </w:rPr>
            </w:pPr>
          </w:p>
        </w:tc>
        <w:tc>
          <w:tcPr>
            <w:tcW w:w="144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23"/>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33,057</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Consigned inventories included within raw materials and supplies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records charges to adjust inventories due to excess and obsolete inventory resulting from lower sales forecasts, product transitioning or discontinuance. The charges incurred during the three and six months ended December 29, 2023 and December 30, 2022 were included in cost of product sales as follows: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330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109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3780" w:type="dxa"/>
            <w:vAlign w:val="bottom"/>
          </w:tcPr>
          <w:p>
            <w:pPr>
              <w:spacing w:after="0"/>
              <w:rPr>
                <w:sz w:val="13"/>
                <w:szCs w:val="13"/>
                <w:color w:val="auto"/>
              </w:rPr>
            </w:pPr>
          </w:p>
        </w:tc>
        <w:tc>
          <w:tcPr>
            <w:tcW w:w="14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60" w:type="dxa"/>
            <w:vAlign w:val="bottom"/>
          </w:tcPr>
          <w:p>
            <w:pPr>
              <w:spacing w:after="0"/>
              <w:rPr>
                <w:sz w:val="13"/>
                <w:szCs w:val="13"/>
                <w:color w:val="auto"/>
              </w:rPr>
            </w:pPr>
          </w:p>
        </w:tc>
        <w:tc>
          <w:tcPr>
            <w:tcW w:w="1520" w:type="dxa"/>
            <w:vAlign w:val="bottom"/>
          </w:tcPr>
          <w:p>
            <w:pPr>
              <w:jc w:val="right"/>
              <w:ind w:right="334"/>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obsolete inventory</w:t>
            </w:r>
          </w:p>
        </w:tc>
        <w:tc>
          <w:tcPr>
            <w:tcW w:w="140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service inventory write-downs</w:t>
            </w: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 charges</w:t>
            </w:r>
          </w:p>
        </w:tc>
        <w:tc>
          <w:tcPr>
            <w:tcW w:w="1400" w:type="dxa"/>
            <w:vAlign w:val="bottom"/>
            <w:tcBorders>
              <w:bottom w:val="single" w:sz="8" w:color="auto"/>
            </w:tcBorders>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manufacturing assets</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5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Included in the total property, plant and equipment, gross were $0.7 million and $0.4 million of assets in progress which have not been placed in service as of December 29, 2023 and June 30, 2023, respectively. Depreciation expense related to property, plant and equipment,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3400" w:type="dxa"/>
            <w:vAlign w:val="bottom"/>
            <w:gridSpan w:val="4"/>
          </w:tcPr>
          <w:p>
            <w:pPr>
              <w:jc w:val="right"/>
              <w:ind w:right="111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176"/>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173"/>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 w:type="dxa"/>
            <w:vAlign w:val="bottom"/>
          </w:tcPr>
          <w:p>
            <w:pPr>
              <w:spacing w:after="0"/>
              <w:rPr>
                <w:sz w:val="13"/>
                <w:szCs w:val="13"/>
                <w:color w:val="auto"/>
              </w:rPr>
            </w:pPr>
          </w:p>
        </w:tc>
      </w:tr>
      <w:tr>
        <w:trPr>
          <w:trHeight w:val="214"/>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20" w:type="dxa"/>
            <w:vAlign w:val="bottom"/>
          </w:tcPr>
          <w:p>
            <w:pPr>
              <w:spacing w:after="0"/>
              <w:rPr>
                <w:sz w:val="19"/>
                <w:szCs w:val="19"/>
                <w:color w:val="auto"/>
              </w:rPr>
            </w:pPr>
          </w:p>
        </w:tc>
      </w:tr>
      <w:tr>
        <w:trPr>
          <w:trHeight w:val="473"/>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260" w:type="dxa"/>
            <w:vAlign w:val="bottom"/>
          </w:tcPr>
          <w:p>
            <w:pPr>
              <w:spacing w:after="0"/>
              <w:rPr>
                <w:sz w:val="16"/>
                <w:szCs w:val="16"/>
                <w:color w:val="auto"/>
              </w:rPr>
            </w:pPr>
          </w:p>
        </w:tc>
        <w:tc>
          <w:tcPr>
            <w:tcW w:w="152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6"/>
                <w:szCs w:val="16"/>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Borders>
              <w:bottom w:val="single" w:sz="8" w:color="auto"/>
            </w:tcBorders>
          </w:tcPr>
          <w:p>
            <w:pPr>
              <w:spacing w:after="0"/>
              <w:rPr>
                <w:sz w:val="18"/>
                <w:szCs w:val="18"/>
                <w:color w:val="auto"/>
              </w:rPr>
            </w:pPr>
          </w:p>
        </w:tc>
      </w:tr>
      <w:tr>
        <w:trPr>
          <w:trHeight w:val="225"/>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24,442</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 w:name="page14"/>
    <w:bookmarkEnd w:id="13"/>
    <w:p>
      <w:pPr>
        <w:ind w:left="500"/>
        <w:spacing w:after="0"/>
        <w:rPr>
          <w:sz w:val="20"/>
          <w:szCs w:val="20"/>
          <w:color w:val="auto"/>
        </w:rPr>
      </w:pPr>
      <w:r>
        <w:rPr>
          <w:rFonts w:ascii="Times New Roman" w:cs="Times New Roman" w:eastAsia="Times New Roman" w:hAnsi="Times New Roman"/>
          <w:sz w:val="18"/>
          <w:szCs w:val="18"/>
          <w:color w:val="auto"/>
        </w:rPr>
        <w:t>The Company accrues for the estimated cost to repair or replace products under warranty. Changes in the warranty liability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10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5"/>
          </w:tcPr>
          <w:p>
            <w:pPr>
              <w:jc w:val="right"/>
              <w:ind w:right="111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60" w:type="dxa"/>
            <w:vAlign w:val="bottom"/>
          </w:tcPr>
          <w:p>
            <w:pPr>
              <w:spacing w:after="0"/>
              <w:rPr>
                <w:sz w:val="13"/>
                <w:szCs w:val="13"/>
                <w:color w:val="auto"/>
              </w:rPr>
            </w:pPr>
          </w:p>
        </w:tc>
        <w:tc>
          <w:tcPr>
            <w:tcW w:w="1520" w:type="dxa"/>
            <w:vAlign w:val="bottom"/>
          </w:tcPr>
          <w:p>
            <w:pPr>
              <w:jc w:val="right"/>
              <w:ind w:right="333"/>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3"/>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60" w:type="dxa"/>
            <w:vAlign w:val="bottom"/>
          </w:tcPr>
          <w:p>
            <w:pPr>
              <w:spacing w:after="0"/>
              <w:rPr>
                <w:sz w:val="13"/>
                <w:szCs w:val="13"/>
                <w:color w:val="auto"/>
              </w:rPr>
            </w:pPr>
          </w:p>
        </w:tc>
        <w:tc>
          <w:tcPr>
            <w:tcW w:w="1500" w:type="dxa"/>
            <w:vAlign w:val="bottom"/>
          </w:tcPr>
          <w:p>
            <w:pPr>
              <w:jc w:val="center"/>
              <w:ind w:right="193"/>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Warranty provision recorded during the period</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in acquisition</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Consumption during the period</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Payments and Unearned Revenue</w:t>
            </w: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7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260" w:type="dxa"/>
            <w:vAlign w:val="bottom"/>
          </w:tcPr>
          <w:p>
            <w:pPr>
              <w:spacing w:after="0"/>
              <w:rPr>
                <w:sz w:val="24"/>
                <w:szCs w:val="24"/>
                <w:color w:val="auto"/>
              </w:rPr>
            </w:pPr>
          </w:p>
        </w:tc>
        <w:tc>
          <w:tcPr>
            <w:tcW w:w="150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advance payments and unearned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Excluded from the balances above are $8.0 million and $7.4 million in long-term unearned revenue as of December 29, 2023 and June 30,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 of Assets and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The Company maximizes the use of observable inputs and minimizes the use of unobservable inputs in measuring fair value and established a three-level fair value hierarchy that prioritizes the observable inputs used to measure fair value. The three levels of inputs used to measure fair value are as follows:</w:t>
      </w:r>
    </w:p>
    <w:p>
      <w:pPr>
        <w:spacing w:after="0" w:line="72"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observable inputs that are corroborated by market data; and</w:t>
      </w:r>
    </w:p>
    <w:p>
      <w:pPr>
        <w:spacing w:after="0" w:line="6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0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estimated fair values and valuation input levels of assets and liabilities that are measured at fair value on a recurring basis as of December 29, 2023 and June 30, 2023 were as follows:</w:t>
      </w: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29, 2023</w:t>
            </w:r>
          </w:p>
        </w:tc>
        <w:tc>
          <w:tcPr>
            <w:tcW w:w="260" w:type="dxa"/>
            <w:vAlign w:val="bottom"/>
          </w:tcPr>
          <w:p>
            <w:pPr>
              <w:spacing w:after="0"/>
              <w:rPr>
                <w:sz w:val="18"/>
                <w:szCs w:val="18"/>
                <w:color w:val="auto"/>
              </w:rPr>
            </w:pPr>
          </w:p>
        </w:tc>
        <w:tc>
          <w:tcPr>
            <w:tcW w:w="15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9"/>
                <w:szCs w:val="19"/>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60" w:type="dxa"/>
            <w:vAlign w:val="bottom"/>
          </w:tcPr>
          <w:p>
            <w:pPr>
              <w:spacing w:after="0"/>
              <w:rPr>
                <w:sz w:val="19"/>
                <w:szCs w:val="19"/>
                <w:color w:val="auto"/>
              </w:rPr>
            </w:pPr>
          </w:p>
        </w:tc>
        <w:tc>
          <w:tcPr>
            <w:tcW w:w="152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Valuation Inputs</w:t>
            </w:r>
          </w:p>
        </w:tc>
      </w:tr>
      <w:tr>
        <w:trPr>
          <w:trHeight w:val="21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r>
      <w:tr>
        <w:trPr>
          <w:trHeight w:val="234"/>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bl>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Items are classified within Level 1 if quoted prices are available in active markets. The Company’s Level 1 items are primarily money market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29, 2023 and June 30, 2023, these money market funds were valued at $1.00 net asset value per share.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4" w:name="page15"/>
    <w:bookmarkEnd w:id="14"/>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Items are classified within Level 2 if the observable inputs to quoted market prices, benchmark yields, reported trades, broker/dealer quotes or alternative pricing sources are available with reasonable levels of price transparency. The Company’s bank certificates of deposit are classified within Level 2. The carrying value of bank certificates of deposit approximates their fair value.</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29, 2023 and June 30, 2023, there were no recurring assets or liabilities valued using significant unobservable inputs.</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asset or liability transfers among Level 1, Level 2, and Level 3 as of the actual date of the events or change in circumstances that caused the transfer. During the first six months of fiscal 2024 and 2023, there were no transfers of assets or liabilities measured at fair value between levels of the fair value hierarchy.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Credit Facility and Debt</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entered into a Secured Credit Facility Agreement (the “Credit Facility”), dated May 9, 2023, amended as of November 22, 2023, with Wells Fargo Bank, National Association, as administrative agent, swingline lender and issuing lender and Wells Fargo Securities LLC, Citigroup Global Markets Inc., and Regions Capital Markets as lenders. The Credit Facility provides for a $40.0 million revolving credit facility (the “Revolver”) and a $50.0 million Delayed Draw Term Loan Facility (the “Term Loan”) with a maturity date of May 8, 2028. The $40.0 million Revolver can be borrowed with a $10.0 million sub-limit for letters of credit, and a $10.0 million swingline loan sub-limit.</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November 2023, the Company borrowed $50.0 million against the Term Loan to primarily settle the cash portion of the consideration associated with the NEC Transaction (as defined below). See Note 12. Acquisitions for further information.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29, 2023, the available credit under the Revolver was $37.7 million, reflecting the available limit of $40.0 million less outstanding letters of credit of $2.3 million. The Company borrowed $33.2 million and repaid $33.2 million against the Revolver during the six months ended December 29, 2023. As of December 29, 2023, the Company had $50.0 million outstanding under its Term Loan and no borrowings under its Revolver.</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the Company’s outstanding long-term debt as of December 29, 2023:</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0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9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9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3"/>
        </w:trPr>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 net</w:t>
            </w: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49,546</w:t>
            </w:r>
          </w:p>
        </w:tc>
      </w:tr>
      <w:tr>
        <w:trPr>
          <w:trHeight w:val="230"/>
        </w:trPr>
        <w:tc>
          <w:tcPr>
            <w:tcW w:w="9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48"/>
        </w:trPr>
        <w:tc>
          <w:tcPr>
            <w:tcW w:w="9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long-term debt, net</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47,151</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 As of December 29, 2023, the applicable margin on Adjusted Term SOFR and Base Rate borrowings was 2.75% and 1.75%, respectively. The effective rate of interest on the outstanding Term Loan borrowings as of December 29, 2023 was 8.2%.</w:t>
      </w:r>
    </w:p>
    <w:p>
      <w:pPr>
        <w:spacing w:after="0" w:line="1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 As of December 29, 2023, the Company was in compliance with all financial covenants contained in the Credit Facility.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5" w:name="page16"/>
    <w:bookmarkEnd w:id="15"/>
    <w:p>
      <w:pPr>
        <w:ind w:left="500"/>
        <w:spacing w:after="0"/>
        <w:rPr>
          <w:sz w:val="20"/>
          <w:szCs w:val="20"/>
          <w:color w:val="auto"/>
        </w:rPr>
      </w:pPr>
      <w:r>
        <w:rPr>
          <w:rFonts w:ascii="Times New Roman" w:cs="Times New Roman" w:eastAsia="Times New Roman" w:hAnsi="Times New Roman"/>
          <w:sz w:val="18"/>
          <w:szCs w:val="18"/>
          <w:color w:val="auto"/>
        </w:rPr>
        <w:t>As of December 29, 2023, scheduled maturities of outstanding long-term debt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Restructuring</w:t>
            </w: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7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7"/>
          </w:tcPr>
          <w:p>
            <w:pPr>
              <w:jc w:val="center"/>
              <w:ind w:left="1032"/>
              <w:spacing w:after="0"/>
              <w:rPr>
                <w:sz w:val="20"/>
                <w:szCs w:val="20"/>
                <w:color w:val="auto"/>
              </w:rPr>
            </w:pPr>
            <w:r>
              <w:rPr>
                <w:rFonts w:ascii="Times New Roman" w:cs="Times New Roman" w:eastAsia="Times New Roman" w:hAnsi="Times New Roman"/>
                <w:sz w:val="16"/>
                <w:szCs w:val="16"/>
                <w:b w:val="1"/>
                <w:bCs w:val="1"/>
                <w:color w:val="auto"/>
              </w:rPr>
              <w:t>Employee Severance and Benefits</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2024 Plans</w:t>
            </w:r>
          </w:p>
        </w:tc>
        <w:tc>
          <w:tcPr>
            <w:tcW w:w="200" w:type="dxa"/>
            <w:vAlign w:val="bottom"/>
          </w:tcPr>
          <w:p>
            <w:pPr>
              <w:spacing w:after="0"/>
              <w:rPr>
                <w:sz w:val="18"/>
                <w:szCs w:val="18"/>
                <w:color w:val="auto"/>
              </w:rPr>
            </w:pPr>
          </w:p>
        </w:tc>
        <w:tc>
          <w:tcPr>
            <w:tcW w:w="16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Prior Years’ Plans</w:t>
            </w:r>
          </w:p>
        </w:tc>
        <w:tc>
          <w:tcPr>
            <w:tcW w:w="460" w:type="dxa"/>
            <w:vAlign w:val="bottom"/>
          </w:tcPr>
          <w:p>
            <w:pPr>
              <w:spacing w:after="0"/>
              <w:rPr>
                <w:sz w:val="18"/>
                <w:szCs w:val="18"/>
                <w:color w:val="auto"/>
              </w:rPr>
            </w:pPr>
          </w:p>
        </w:tc>
        <w:tc>
          <w:tcPr>
            <w:tcW w:w="132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balance, June 30, 2023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net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balance, September 29, 2023</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Charges,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balance, December 29, 2023</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29, 2023, the accrual balance of $1.5 million was classified as current.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Plans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2024, the Company’s Board of Directors approved restructuring plans, primarily associated with the NEC Transaction (as defined below) and reductions in workforce in certain of the Company’s operations to optimize skill sets and align cost structure. The fiscal 2024 plans are expected to be completed through the end of calendar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Years’ Plans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Activities under the prior years’ plans primarily included reductions in workforce across the Company, associated with the acquisition of Redline (as defined below) and certain of the Company’s operations outside the United States. Payments related to the accrued restructuring balance for these plans are complete.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November 2021, the Company’s Board of Directors approved a stock repurchase program to purchase up to $10.0 million of the Company’s common stock. As of December 29, 2023, $6.9 million remains available and Aviat may choose to suspend or discontinue the repurchase program at any time. Repurchased shares are recorded as treasury stock. During the second quarter of fiscal 2024, the Company repurchased 11,208 shares of its common stock in the open market for an aggregate purchase price, including commissions, of $0.3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Programs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29, 2023, the Company had one stock incentive plan for its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the 2018 Plan, option exercise prices are equal to the fair market value of Aviat common stock on the date the options are granted using the closing stock price. After vesting, options generally may be exercised within seven years after the date of grant.</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annually to non-executive board members generally vest on the day before the annual stockholders’ meeting.</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Vesting of performance share awards and units is subject to the achievement of predetermined financial performance and share price criteria, and continued employment through the end of the applicable period.</w:t>
      </w:r>
    </w:p>
    <w:p>
      <w:pPr>
        <w:spacing w:after="0" w:line="10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December 29, 2023, the Company granted 98,816 restricted stock units, 64,643 performance share awards and 151,094 stock options.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 for share-based payment awards on a straight-line basis over the requisite service period. For awards with a performance condition vesting feature, share-based compensation costs are recognized when achievement of the performance conditions is considered probable. Forfeitures are recognized as they occur.</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compensation expense for share-based awards included in the unaudited condensed consolidated statements of operations was as follows: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3400" w:type="dxa"/>
            <w:vAlign w:val="bottom"/>
            <w:gridSpan w:val="4"/>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9"/>
        </w:trPr>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332"/>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332"/>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0" w:type="dxa"/>
            <w:vAlign w:val="bottom"/>
          </w:tcPr>
          <w:p>
            <w:pPr>
              <w:spacing w:after="0"/>
              <w:rPr>
                <w:sz w:val="1"/>
                <w:szCs w:val="1"/>
                <w:color w:val="auto"/>
              </w:rPr>
            </w:pPr>
          </w:p>
        </w:tc>
      </w:tr>
      <w:tr>
        <w:trPr>
          <w:trHeight w:val="214"/>
        </w:trPr>
        <w:tc>
          <w:tcPr>
            <w:tcW w:w="37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1"/>
        </w:trPr>
        <w:tc>
          <w:tcPr>
            <w:tcW w:w="1720" w:type="dxa"/>
            <w:vAlign w:val="bottom"/>
            <w:tcBorders>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By Expense Category:</w:t>
            </w:r>
          </w:p>
        </w:tc>
        <w:tc>
          <w:tcPr>
            <w:tcW w:w="20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9"/>
        </w:trPr>
        <w:tc>
          <w:tcPr>
            <w:tcW w:w="3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By Type of Award: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7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175"/>
        </w:trPr>
        <w:tc>
          <w:tcPr>
            <w:tcW w:w="3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Restricted stock and performance share awards</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and units</w:t>
            </w: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29, 2023, there was approximately $3.1 million of total unrecognized compensation expense related to non-vested stock options granted which is expected to be recognized over a weighted-average period of 2.1 years. As of December 29, 2023, there was $9.8 million of total unrecognized compensation expense related to non-vested stock awards which is expected to be recognized over a weighted-average period of 1.5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and Geographic Information</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Aviat operates in one reportable business segment: the design, manufacturing, and sale of wireless networking products, solutions, and services. The Company’s financial performance is regularly reviewed by its chief operating decision maker who is its Chief Executive Officer (“CEO”).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7" w:name="page18"/>
    <w:bookmarkEnd w:id="17"/>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reports revenue by region and country based on the location where its customers accept delivery of products and services. Revenue by region for the three and six months ended December 29, 2023 and December 30, 2022 was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3400" w:type="dxa"/>
            <w:vAlign w:val="bottom"/>
            <w:gridSpan w:val="4"/>
          </w:tcPr>
          <w:p>
            <w:pPr>
              <w:jc w:val="right"/>
              <w:ind w:right="111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37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333"/>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2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333"/>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214"/>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100,897</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Africa and the Middle East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25,119</w:t>
            </w: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r>
      <w:tr>
        <w:trPr>
          <w:trHeight w:val="229"/>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36,084</w:t>
            </w:r>
          </w:p>
        </w:tc>
      </w:tr>
      <w:tr>
        <w:trPr>
          <w:trHeight w:val="248"/>
        </w:trPr>
        <w:tc>
          <w:tcPr>
            <w:tcW w:w="3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171,934</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effective tax rate varies from the U.S. federal statutory rate of 21% primarily due to global intangible low-taxed income inclusion (GILTI) in the U.S., state taxes and certain jurisdictions where the tax benefit on prior year losses were not recognized. During interim periods, tax expenses are accrued for jurisdictions that are anticipated to be profitable for fiscal 2024.</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determination of income taxes for the six months ended December 29, 2023 and December 30, 2022 was based on the Company’s estimated annual effective tax rate adjusted for losses in certain jurisdictions for which no tax benefit can be recognized. Tax expense for the six months ended December 29, 2023 was primarily due to tax expense related to U.S. and profitable foreign subsidiaries. Tax expense for the six months ended December 30, 2022 was primarily due to tax expense related to U.S. and profitable foreign subsidiaries, including deferred tax expense associated with the acquisition of Redline in July 2022 and the subsequent multi-step restructuring plan in which two Canadian Redline corporations converted to unlimited liability companies and then amalgamated by the end of September 2022.</w:t>
      </w:r>
    </w:p>
    <w:p>
      <w:pPr>
        <w:spacing w:after="0" w:line="133"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Aviat has a number of years with open tax audits which vary from jurisdiction to jurisdiction. The major tax jurisdictions that are open and subject to potential audits include the U.S., Singapore, Ghana, Kenya, Nigeria, Saudi Arabia and Tanzania. The earliest years for these jurisdictions are as follows: U.S. - 2003; Singapore - 2015; Ghana – 2016; Kenya – 2018; Nigeria – 2006; Saudi Arabia – 2019 and Tanzania - 2017.</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and penalties related to unrecognized tax benefits are accounted for as part of the provision for federal, foreign, and state income taxes. Such interest expense was not material for the six months ended December 29, 2023 and December 30, 2022.</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The Company will continue to examine the elements of the ARPA and the impact it may have on future business.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of 2022 (“IRA”) which includes a new corporate alternative minimum tax of 15% on adjusted financial statement income of corporations with profits greater than $1 billion, effective for taxable years beginning after December 31, 2022, and a 1% excise tax on stock repurchases by public corporations after December 31, 2022. The Company will continue to evaluate the applicability and effect of the IRA as more guidance is issued.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NEC’s Wireless Transport Business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9, 2023, the Company entered into a Master Sale of Business Agreement (as amended on November 30, 2023, the “Purchase Agreement”) with NEC Corporation (“NEC”), to acquire NEC’s wireless transport business (the “NEC Transaction”). The Company completed the NEC Transaction on November 30, 2023 (the “Closing Date”).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8" w:name="page19"/>
    <w:bookmarkEnd w:id="18"/>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the Closing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The results of operations of the NEC Transaction have been included in the consolidated financial statements since the Closing Date.</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fair value of the consideration transferred at the closing of the NEC Transaction was comprised of (i) cash of $32.2 million, and (ii) the issuance of 736,750 shares or $22.3 million of common stock of the Company. The fair value of the shares issued was determined based on the closing market price of the Company’s common stock on the Closing Date. Aggregate consideration transferred at closing was approximately $54.5 million, which is subject to certain post-closing adjustments. The Company estimates additional cash consideration of approximately $22.9 million will be transferred to NEC in the fourth quarter of fiscal 2024, primarily related to settlement of the post-closing working capital adjustment. As of December 29, 2023, the accrual balance related to the estimated additional consideration was included in other current liabilities on the unaudited condensed consolidated balance sheets. The Company funded the cash portion of the consideration with Term Loan borrowings under its Credit Facility. See Note 7. Credit Facility and Debt for further information.</w:t>
      </w:r>
    </w:p>
    <w:p>
      <w:pPr>
        <w:spacing w:after="0" w:line="13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NEC Transaction was accounted for as a business combination using the acquisition method of accounting. The Company is in the process of identifying the amounts assigned to certain assets, including the acquired intangible assets and goodwill for the acquisition. The Company is in the process of obtaining an independent third-party valuation of certain intangible and tangible assets acquired. The fair values of the acquired intangible assets are based on estimates and assumptions that are considered reasonable by the Company. As of the acquisition date, the Company has recorded the assets acquired and the liabilities assumed at their respective estimated fair values. The recognized goodwill is attributable to the workforce of the acquired business and expected synergies. The goodwill from this acquisition is expected to be fully deductible for tax purposes.</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Transaction costs related to the acquisition were expensed as incurred and are included in selling and administrative expenses in the consolidated statements of operations. For the three and six months ended December 29, 2023, the Company incurred transaction costs of $3.7 million and $6.4 million, respectively.</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preliminary purchase price allocation is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0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9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51,892</w:t>
            </w: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35,572</w:t>
            </w:r>
          </w:p>
        </w:tc>
      </w:tr>
      <w:tr>
        <w:trPr>
          <w:trHeight w:val="23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finite-lived intangible assets:</w:t>
            </w:r>
          </w:p>
        </w:tc>
        <w:tc>
          <w:tcPr>
            <w:tcW w:w="7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30"/>
        </w:trPr>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r>
      <w:tr>
        <w:trPr>
          <w:trHeight w:val="23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r>
      <w:tr>
        <w:trPr>
          <w:trHeight w:val="23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77,421</w:t>
            </w:r>
          </w:p>
        </w:tc>
      </w:tr>
      <w:tr>
        <w:trPr>
          <w:trHeight w:val="20"/>
        </w:trPr>
        <w:tc>
          <w:tcPr>
            <w:tcW w:w="9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preliminary purchase price allocation is subject to adjustment based on the Company obtaining final independent third-party valuations, determining fair value and allocations of purchase price to the identifiable assets acquired and liabilities assumed, and determining the final consideration, including adjustments related to settlement of the final post-closing working capital adjustment. The amounts recorded as of November 30, 2023 are preliminary since there was insufficient time between the acquisition date and the end of the period to finalize the analysis. Therefore, the provisional measurements of fair value and the preliminary purchase price allocation are not final and subject to change.</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unaudited consolidated pro forma information has been presented as if the NEC Transaction occurred on July 2, 2022 and is based on historical operating results and certain pro forma adjustments for additional interest, depreciation and amortization expense, net of income tax.</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9" w:name="page20"/>
    <w:bookmarkEnd w:id="19"/>
    <w:tbl>
      <w:tblPr>
        <w:tblLayout w:type="fixed"/>
        <w:tblInd w:w="4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10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111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190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60" w:type="dxa"/>
            <w:vAlign w:val="bottom"/>
          </w:tcPr>
          <w:p>
            <w:pPr>
              <w:spacing w:after="0"/>
              <w:rPr>
                <w:sz w:val="13"/>
                <w:szCs w:val="13"/>
                <w:color w:val="auto"/>
              </w:rPr>
            </w:pPr>
          </w:p>
        </w:tc>
        <w:tc>
          <w:tcPr>
            <w:tcW w:w="1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30, 2022</w:t>
            </w:r>
          </w:p>
        </w:tc>
        <w:tc>
          <w:tcPr>
            <w:tcW w:w="260" w:type="dxa"/>
            <w:vAlign w:val="bottom"/>
          </w:tcPr>
          <w:p>
            <w:pPr>
              <w:spacing w:after="0"/>
              <w:rPr>
                <w:sz w:val="13"/>
                <w:szCs w:val="13"/>
                <w:color w:val="auto"/>
              </w:rPr>
            </w:pPr>
          </w:p>
        </w:tc>
        <w:tc>
          <w:tcPr>
            <w:tcW w:w="164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60" w:type="dxa"/>
            <w:vAlign w:val="bottom"/>
          </w:tcPr>
          <w:p>
            <w:pPr>
              <w:spacing w:after="0"/>
              <w:rPr>
                <w:sz w:val="13"/>
                <w:szCs w:val="13"/>
                <w:color w:val="auto"/>
              </w:rPr>
            </w:pPr>
          </w:p>
        </w:tc>
        <w:tc>
          <w:tcPr>
            <w:tcW w:w="1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30, 2022</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tcBorders>
              <w:top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269,264</w:t>
            </w:r>
          </w:p>
        </w:tc>
        <w:tc>
          <w:tcPr>
            <w:tcW w:w="0" w:type="dxa"/>
            <w:vAlign w:val="bottom"/>
          </w:tcPr>
          <w:p>
            <w:pPr>
              <w:spacing w:after="0"/>
              <w:rPr>
                <w:sz w:val="1"/>
                <w:szCs w:val="1"/>
                <w:color w:val="auto"/>
              </w:rPr>
            </w:pP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pro forma information presented above is for informational purposes only and is not necessarily indicative of the operating results that would have occurred if the NEC Transaction occurred at the beginning of fiscal 2023, nor is it necessarily indicative of future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Redline Communications Group Inc.</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first quarter of fiscal 2023, the Company acquired all of the issued and outstanding shares of Redline Communications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(“Redline”), for a purchase price of $20.4 million. Redline is a leading provider of mission-critical data infrastructure.</w:t>
      </w:r>
    </w:p>
    <w:p>
      <w:pPr>
        <w:spacing w:after="0" w:line="15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See Note 12. Acquisitions to the consolidated financial statements included in the Company’s Annual Report on Form 10-K for the fiscal year ended June 30, 2023 for the final purchase price allocation, valuation methodology, and other information related to the completion of the Redline acquisition.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Orders and Other Commitments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enter into purchasing agreements with its suppliers that require the Company to accept delivery of, and remit full payment for, finished products that it has ordered, finished products that it requested be held as safety stock, and work in process started on its behalf, in the event it cancels or terminates the purchasing agreement. Because these agreements do not specify fixed or minimum quantities, do not specify minimum or variable price provisions, and do not specify the approximate timing of the transaction, and the Company has no present intention to cancel or terminate any of these agreements, the Company currently does not believe that it has any future liability under these agreements. As of December 29, 2023, the Company had outstanding purchase obligations with its suppliers or contract manufacturers of $36.7 million. In addition, the Company had contractual obligations of approximately $5.2 million associated with software licenses.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 and Commercial Commitments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Guarantees issued by banks, insurance companies, or other financial institutions are contingent commitments issued to guarantee performance under borrowing arrangements, such as bank overdraft facilities, tax and customs obligations, and similar transactions, or to ensure performance under customer or vendor contracts. The terms of the guarantees are generally equal to the remaining term of the related debt or other obligations and are generally limited to two years or less. As of December 29, 2023, the Company had no guarantees applicable to its debt arrangements.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December 29, 2023, the Company had commercial commitments outstanding of $57.3 million, that were not recorded on the unaudited condensed consolidated balance sheets. The Company does not believe, based on historical experience and information currently available, that it is probable that any significant amounts will be required to be paid on these performance guarantees in the future.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Company’s commercial commitments: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4"/>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Bonds</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53,834</w:t>
            </w:r>
          </w:p>
        </w:tc>
      </w:tr>
      <w:tr>
        <w:trPr>
          <w:trHeight w:val="248"/>
        </w:trPr>
        <w:tc>
          <w:tcPr>
            <w:tcW w:w="9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57,288</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the terms of substantially all of the Company’s license agreements, it has agreed to defend and pay any final judgment against its customers arising from claims against such customers that the Company’s products infringe the intellectual property rights of a third party. As of December 29, 2023, the Company has not received any notice that any customer is subject to an infringement claim arising from the use of its products; the Company has not received any request to defend any customers from infringement claims arising from the use of its products; and the Company has not paid any final judgment on behalf of any customer related to an infringement claim arising from the use of its products. Because the outcome of infringement disputes is related to the specific facts of each case and given the lack of previous or current indemnification claims, the Company cannot estimate the maximum amount of potential future payments, if any, related to its indemnification provisions. As of December 29, 2023, the Company had not recorded any liabilities related to these indemnifications.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subject from time to time to disputes with customers concerning its products and services. From time to time, the Company may be involved in various other legal claims and litigation that arise in the normal course of its operations. The Company is aggressively defending all current litigation matters. Although there can be no assurances and the outcome of these matters is currently not determinable, the Company currently believes that none of these claims or proceedings are likely to have a material adverse effect on its financial position. There are many uncertainties associated with any litigation and these actions or other third-party claims against the Company may cause it to incur costly litigation and/or substantial settlement charges. As a result, the Company’s business, financial condition, results of operations, and cash flows could be adversely affected. The actual liability in any such matters may be materially different from the Company’s estimates, if any.</w:t>
      </w:r>
    </w:p>
    <w:p>
      <w:pPr>
        <w:spacing w:after="0" w:line="13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records accruals for its outstanding legal proceedings, investigations or claims when it is probable that a liability will be incurred and the amount of loss can be reasonably estimated. The Company evaluates, at least on a quarterly basis, developments in legal proceedings, investigations or claims that could affect the amount of any accrual, as well as any developments that would result in a loss contingency to become both probable and reasonably estimable. The Company has not recorded any significant accrual for loss contingencies associated with such legal claims or litigation discussed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conditions if there is a reasonable possibility that a loss may have been incurred. Gain contingencies are not recorded until realized. The Company expenses all legal costs incurred to resolve regulatory, legal and tax matters as incurred.</w:t>
      </w:r>
    </w:p>
    <w:p>
      <w:pPr>
        <w:spacing w:after="0" w:line="12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March 2016, an enforcement action by the Indian Department of Revenue, Ministry of Finance was brought against Aviat’s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the Company’s directors of Aviat India appeared before the Ministry of Finance Enforcement Directorate. No settlement offers were discussed at the meeting and the matter is still ongoing with no subsequent hearing date scheduled as of December 29, 2023. The Company has accrued an immaterial amount representing the estimated probable loss for which it would settle the matter. The Company currently cannot form an estimate of the range of loss in excess of its amounts already accrued. If the outcome of this matter is greater than the current immaterial amount accrued, the Company intends to dispute it vigorously.</w:t>
      </w:r>
    </w:p>
    <w:p>
      <w:pPr>
        <w:spacing w:after="0" w:line="14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Periodically, the Company reviews the status of each significant matter to assess the potential financial exposure. If a potential loss is considered probable and the amount can be reasonably estimated, the estimated loss is reflected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additional information becomes available, the Company will reassess the potential liability related to its pending claims and litigation and may revise estimates accordingly. Such revisions in the estimates of the potential liabilities could have a material impact on the Company’s results of operations and financial position.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Goodwill and Intangible Assets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presents details of goodwill and intangible assets: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29, 2023</w:t>
            </w:r>
          </w:p>
        </w:tc>
        <w:tc>
          <w:tcPr>
            <w:tcW w:w="260" w:type="dxa"/>
            <w:vAlign w:val="bottom"/>
          </w:tcPr>
          <w:p>
            <w:pPr>
              <w:spacing w:after="0"/>
              <w:rPr>
                <w:sz w:val="18"/>
                <w:szCs w:val="18"/>
                <w:color w:val="auto"/>
              </w:rPr>
            </w:pPr>
          </w:p>
        </w:tc>
        <w:tc>
          <w:tcPr>
            <w:tcW w:w="154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51"/>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recognized goodwill of $0.5 million associated with the NEC Transaction in the second quarter of fiscal 2024, based on the preliminary estimated fair value of the assets acquired and liabilities assumed.</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performs its annual goodwill impairment test on the first day of its fourth fiscal quarter. No indicators of impairment were identified during the current period that required the Company to perform an interim assessment or recoverability test.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useful life)</w:t>
            </w: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29, 2023</w:t>
            </w:r>
          </w:p>
        </w:tc>
        <w:tc>
          <w:tcPr>
            <w:tcW w:w="260" w:type="dxa"/>
            <w:vAlign w:val="bottom"/>
          </w:tcPr>
          <w:p>
            <w:pPr>
              <w:spacing w:after="0"/>
              <w:rPr>
                <w:sz w:val="18"/>
                <w:szCs w:val="18"/>
                <w:color w:val="auto"/>
              </w:rPr>
            </w:pPr>
          </w:p>
        </w:tc>
        <w:tc>
          <w:tcPr>
            <w:tcW w:w="15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1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9"/>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30"/>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10 — 14</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229"/>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intangible assets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r>
      <w:tr>
        <w:trPr>
          <w:trHeight w:val="230"/>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9,046</w:t>
            </w:r>
          </w:p>
        </w:tc>
      </w:tr>
      <w:tr>
        <w:trPr>
          <w:trHeight w:val="21"/>
        </w:trPr>
        <w:tc>
          <w:tcPr>
            <w:tcW w:w="5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Amortization of finite-lived intangibles for the three and six months ended December 29, 2023 was $0.2 million and $0.4 million, respectively, and is included in selling and administrative expenses. There were no impairment charges recorded for the six months ended December 29, 2023 and December 30, 2022.</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29, 2023, the estimated future amortization expense of finite-lived intangible assets is as follows (in thousands):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3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7,997</w:t>
            </w:r>
          </w:p>
        </w:tc>
      </w:tr>
      <w:tr>
        <w:trPr>
          <w:trHeight w:val="248"/>
        </w:trPr>
        <w:tc>
          <w:tcPr>
            <w:tcW w:w="9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 Corporation</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the November 30, 2023, the Company completed the NEC Transaction. A portion of the total consideration in the NEC Transaction included the issuance of 736,750 shares in Company common stock to NEC. On the Closing Date,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Company and NEC entered into a Registration Rights and Lock-Up Agreement, restricting NEC’s ability to transfer shares (the “Lock-Up”), except for certain limited exceptions as provided in the Registration Rights and Lock-Up Agreement, until one day after the one-year anniversary of the Closing Date (the “Initial Lock-Up Expiration Date”). Starting one day after the Initial Lock-Up Expiration Date, one-twelfth of the issued shares shall be released from the Lock-Up each month, such that all issued shares shall be released from Lock-Up by the two-year anniversary of the Closing Date. Pursuant to the Purchase Agreement, NEC will have the right to nominate a director to the Company’s Board of Directors from the Closing Date and for a period of two years thereafter. As of December 29, 2023, NEC holds approximately 5.9% of the Company’s outstanding common stock.</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NEC Transaction and as of the Closing Date, the Company and NEC entered into agreements covering the performance of certain post-closing services and licensing arrangements. The agreements include arrangements covering manufacturing services and product supply, transition services, distribution services, research and development services, and licensing of trademark and intellectual property (“IP”).</w:t>
      </w:r>
    </w:p>
    <w:p>
      <w:pPr>
        <w:spacing w:after="0" w:line="12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Manufacturing and Supply Agreement includes arrangements for NEC to manufacture and supply Pasolink products on behalf of and to the Company and its customers. The transition services agreements include arrangements for the Company and NEC to provide and receive certain transition services, primarily associated with administrative functions. The distribution services agreements includes arrangements where NEC will provide distribution services on behalf of and to the Company and its customers in certain international markets and territories. The Research and Development Cooperating Agreement for Existing Products includes arrangements for NEC to provide the Company certain services relating to development work to maintain existing products of the NEC business. The licensing agreements include arrangements where the Company will grant NEC a non-exclusive license to certain Pasolink trademarks in Japan, and NEC will grant the Company a non-exclusive, worldwide (excluding Japan) license to certain NEC IP, including mobile backhaul-related patents. The licensing agreements are royalty-free and perpetual.</w:t>
      </w:r>
    </w:p>
    <w:p>
      <w:pPr>
        <w:spacing w:after="0" w:line="1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December 29, 2023, the Company incurred expenses of $1.1 million for transition services and $1.1 million for research and development services, which is included in accrued expenses on the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estimates reflecting the current beliefs of the senior management of Aviat Networks, Inc. (“Aviat,” the “Company,” “we,” “us,” and “our”).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See “Item 1A. Risk Factors” in the Company’s fiscal 2023 Annual Report on Form 10-K filed with the SEC on August 30, 2023 for more information regarding factors that may cause its results to differ materially from those expressed or implied by the forward-looking statements contained in this Quarterly Report on Form 10-Q.</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Operating Environment and Key Factors Impacting Fiscal 2024 and 2023 Results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Aviat’s results of operations and financial condition. MD&amp;A is provided as a supplement to, and should be read in conjunction with, the Company’s unaudited condensed consolidated financial statements and accompanying notes. In the discussion herein, the fiscal year ending June 28, 2024 is referred to as “fiscal 2024” or “2024” and the fiscal year ended June 30, 2023 is referred to as “fiscal 2023” or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Aviat is a global supplier of microwave networking and access networking solutions, backed by an extensive suite of professional services and support. Aviat sells radios, routers, software and services integral to the functioning of data transport networks. Aviat has more than 3,000 customers and significant relationships with global service providers and private network operators. Aviat’s North America manufacturing base consists of a combination of contract manufacturing and assembly and testing operated in Austin, Texas by Aviat. Additionally, Aviat utilizes a contract manufacturer based in Asia for much of its international equipment demand. Aviat’s technology is underpinned by more than 500 patents. Aviat competes on the basis of total cost of ownership, microwave radio expertise and solutions for mission critical communications. Aviat has a global presence.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NEC’s Wireless Transport Business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November 30, 2023 (the “Closing Date”), the Company completed the NEC Transaction, acquiring NEC’s wireless transport business. Prior to the Closing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See Note 12. Acquisitions of the Notes to the unaudited consolidated financial statements in this Quarterly Report on Form 10-Q for further information.</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fair value of the consideration transferred at the closing of the NEC Transaction was comprised of (i) cash of $32.2 million, and (ii) the issuance of 736,750 shares or $22.3 million of Company common stock. Aggregate consideration transferred at closing was approximately $54.5 million, which is subject to certain post-closing adjustments. The Company estimates additional cash consideration of approximately $22.9 million will be transferred to NEC in the fourth quarter of fiscal 2024, primarily related to settlement of the post-closing working capital adjustment. The Company funded the cash portion of the NEC Transaction with Term Loan borrowings under its Credit Facility. See Note 7. Credit Facility and Debt for further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Redline Communications Group Inc.</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first quarter of fiscal 2023, the Company acquired all of the issued and outstanding shares of Redline Communications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(“Redline”), for a purchase price of $20.4 million. Redline is a leading provider of mission-critical data infrastructure.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market for mobile backhaul continued to be the Company’s primary addressable market segment globally in the first six months of fiscal 2024. In North America, the Company supported 5G and long-term evolution (“LTE”) deployments of its mobile operator customers, public safety network deployments for state and local governments, and private network implementations for utilities and other customers. In international markets, the Company’s business continued to rely on a combination of customers increasing their capacity to handle subscriber growth and the ongoing build-out of some large LTE and 5G deployments. Aviat’s position continues to be to support its customers for 5G and LTE readiness and ensure that its technology roadmap is well aligned with evolving market requirements. Aviat’s strength in turnkey and after-sale support services is a differentiating factor that wins business for the Company and enables it to expand its business with existing customers. Additionally, Aviat operates an e-commerce platform that provides low-cost services, simple experience, and fast delivery to mobile operators and private network customers. However, as disclosed above and in the “Risk Factors” section in Item 1A of its Annual Report on Form 10-K filed with the SEC on August 30, 2023, a number of factors could prevent the Company from achieving its objectives, including ongoing pricing pressures attributable to competition and macroeconomic conditions in the geographic markets that it serves.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manages its sales activities primarily on a geographic basis in North America and three international geographic regions: (1) Africa and the Middle East, (2) Europe, and (3) Latin America and Asia Pacific. Revenue by region for the three and six months ended December 29, 2023 and December 30, 2022 and the related changes were as follows: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118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18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6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20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0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106,834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13"/>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Africa and the Middle East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13"/>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 and Asia Pacific</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23.3 %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40,483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0" w:type="dxa"/>
            <w:vAlign w:val="bottom"/>
          </w:tcPr>
          <w:p>
            <w:pPr>
              <w:spacing w:after="0"/>
              <w:rPr>
                <w:sz w:val="1"/>
                <w:szCs w:val="1"/>
                <w:color w:val="auto"/>
              </w:rPr>
            </w:pPr>
          </w:p>
        </w:tc>
      </w:tr>
      <w:tr>
        <w:trPr>
          <w:trHeight w:val="237"/>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182,602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 North America decreased by $0.7 million during the second quarter of fiscal 2024 compared with the same period of fiscal 2023, primarily due to timing of public safety projects. Revenue in North America increased by $5.9 million during the first six months of fiscal 2024 compared with the same period of fiscal 2023, primarily due to strong private network and tier 1 demand.</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in Africa and the Middle East increased by $0.4 million during the second quarter of fiscal 2024 compared with the same period of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Revenue in Africa and the Middle East decreased by $0.7 million during the first six months of fiscal 2024 compared with the same period of fiscal</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2023. The decrease during the first six months of fiscal 2024 was primarily due to cyclical softness in the capital expenditure plans of large mobile operators in the region and currency impacts from locally provided services.</w:t>
      </w:r>
    </w:p>
    <w:p>
      <w:pPr>
        <w:spacing w:after="0" w:line="1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 Europe increased by $0.2 million during the second quarter of fiscal 2024 compared with the same period of fiscal 2023. Revenue in Europe increased by $1.0 million during the first six months of fiscal 2024 compared with the same period of fiscal 2023. The increases for the second quarter and the first six months of fiscal 2024 were primarily due to increased sales to mobile operators in the region.</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in Latin America and Asia Pacific increased by $4.4 million during the second quarter and the first six months of fiscal 2024 compared with the same periods of fiscal 2023. The increase was primarily due to higher volumes of projects with mobile operators.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1180" w:type="dxa"/>
            <w:vAlign w:val="bottom"/>
            <w:gridSpan w:val="3"/>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180" w:type="dxa"/>
            <w:vAlign w:val="bottom"/>
            <w:gridSpan w:val="3"/>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0" w:type="dxa"/>
            <w:vAlign w:val="bottom"/>
          </w:tcPr>
          <w:p>
            <w:pPr>
              <w:spacing w:after="0"/>
              <w:rPr>
                <w:sz w:val="13"/>
                <w:szCs w:val="13"/>
                <w:color w:val="auto"/>
              </w:rPr>
            </w:pP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3"/>
                <w:szCs w:val="13"/>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6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18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40" w:type="dxa"/>
            <w:vAlign w:val="bottom"/>
          </w:tcPr>
          <w:p>
            <w:pPr>
              <w:spacing w:after="0"/>
              <w:rPr>
                <w:sz w:val="13"/>
                <w:szCs w:val="13"/>
                <w:color w:val="auto"/>
              </w:rPr>
            </w:pP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3"/>
                <w:szCs w:val="13"/>
                <w:color w:val="auto"/>
              </w:rPr>
            </w:pPr>
          </w:p>
        </w:tc>
        <w:tc>
          <w:tcPr>
            <w:tcW w:w="108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6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56,665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48"/>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182,602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from product sales and services increased by 1.3% and 14.0%, respectively for the second quarter of fiscal 2024 compared with the same quarter of fiscal 2023. Revenue from product sales and services increased by 4.4% and 10.5%, respectively for the first six months of fiscal 2024 compared with the same period of fiscal 2023. The relatively proportionate increases were driven by the same overall factors of revenue growth discussed previously.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w:t>
            </w:r>
          </w:p>
        </w:tc>
        <w:tc>
          <w:tcPr>
            <w:tcW w:w="100" w:type="dxa"/>
            <w:vAlign w:val="bottom"/>
          </w:tcPr>
          <w:p>
            <w:pPr>
              <w:spacing w:after="0"/>
              <w:rPr>
                <w:sz w:val="14"/>
                <w:szCs w:val="14"/>
                <w:color w:val="auto"/>
              </w:rPr>
            </w:pPr>
          </w:p>
        </w:tc>
        <w:tc>
          <w:tcPr>
            <w:tcW w:w="11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20" w:type="dxa"/>
            <w:vAlign w:val="bottom"/>
          </w:tcPr>
          <w:p>
            <w:pPr>
              <w:spacing w:after="0"/>
              <w:rPr>
                <w:sz w:val="14"/>
                <w:szCs w:val="14"/>
                <w:color w:val="auto"/>
              </w:rPr>
            </w:pPr>
          </w:p>
        </w:tc>
        <w:tc>
          <w:tcPr>
            <w:tcW w:w="11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 w:type="dxa"/>
            <w:vAlign w:val="bottom"/>
          </w:tcPr>
          <w:p>
            <w:pPr>
              <w:spacing w:after="0"/>
              <w:rPr>
                <w:sz w:val="14"/>
                <w:szCs w:val="14"/>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Pr>
          <w:p>
            <w:pPr>
              <w:spacing w:after="0"/>
              <w:rPr>
                <w:sz w:val="14"/>
                <w:szCs w:val="14"/>
                <w:color w:val="auto"/>
              </w:rPr>
            </w:pPr>
          </w:p>
        </w:tc>
        <w:tc>
          <w:tcPr>
            <w:tcW w:w="120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40" w:type="dxa"/>
            <w:vAlign w:val="bottom"/>
          </w:tcPr>
          <w:p>
            <w:pPr>
              <w:spacing w:after="0"/>
              <w:rPr>
                <w:sz w:val="14"/>
                <w:szCs w:val="14"/>
                <w:color w:val="auto"/>
              </w:rPr>
            </w:pPr>
          </w:p>
        </w:tc>
        <w:tc>
          <w:tcPr>
            <w:tcW w:w="11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4"/>
                <w:szCs w:val="14"/>
                <w:color w:val="auto"/>
              </w:rPr>
            </w:pPr>
          </w:p>
        </w:tc>
        <w:tc>
          <w:tcPr>
            <w:tcW w:w="98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3"/>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percentages)</w:t>
            </w:r>
          </w:p>
        </w:tc>
        <w:tc>
          <w:tcPr>
            <w:tcW w:w="100" w:type="dxa"/>
            <w:vAlign w:val="bottom"/>
          </w:tcPr>
          <w:p>
            <w:pPr>
              <w:spacing w:after="0"/>
              <w:rPr>
                <w:sz w:val="17"/>
                <w:szCs w:val="17"/>
                <w:color w:val="auto"/>
              </w:rPr>
            </w:pP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95,036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90,683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182,602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171,934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58,206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58,463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113,920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110,260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48"/>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36,830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68,682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61,674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38.8 %</w:t>
            </w:r>
          </w:p>
        </w:tc>
        <w:tc>
          <w:tcPr>
            <w:tcW w:w="23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35.5 %</w:t>
            </w:r>
          </w:p>
        </w:tc>
        <w:tc>
          <w:tcPr>
            <w:tcW w:w="2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37.6 %</w:t>
            </w:r>
          </w:p>
        </w:tc>
        <w:tc>
          <w:tcPr>
            <w:tcW w:w="302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35.9 %</w:t>
            </w: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margin %</w:t>
            </w:r>
          </w:p>
        </w:tc>
        <w:tc>
          <w:tcPr>
            <w:tcW w:w="1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43.3 %</w:t>
            </w:r>
          </w:p>
        </w:tc>
        <w:tc>
          <w:tcPr>
            <w:tcW w:w="23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38.1 %</w:t>
            </w:r>
          </w:p>
        </w:tc>
        <w:tc>
          <w:tcPr>
            <w:tcW w:w="2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41.3 %</w:t>
            </w:r>
          </w:p>
        </w:tc>
        <w:tc>
          <w:tcPr>
            <w:tcW w:w="3020" w:type="dxa"/>
            <w:vAlign w:val="bottom"/>
            <w:shd w:val="clear" w:color="auto" w:fill="CCEEFF"/>
          </w:tcPr>
          <w:p>
            <w:pPr>
              <w:jc w:val="right"/>
              <w:ind w:right="2010"/>
              <w:spacing w:after="0"/>
              <w:rPr>
                <w:sz w:val="20"/>
                <w:szCs w:val="20"/>
                <w:color w:val="auto"/>
              </w:rPr>
            </w:pPr>
            <w:r>
              <w:rPr>
                <w:rFonts w:ascii="Times New Roman" w:cs="Times New Roman" w:eastAsia="Times New Roman" w:hAnsi="Times New Roman"/>
                <w:sz w:val="18"/>
                <w:szCs w:val="18"/>
                <w:color w:val="auto"/>
              </w:rPr>
              <w:t>37.2 %</w:t>
            </w:r>
          </w:p>
        </w:tc>
      </w:tr>
      <w:tr>
        <w:trPr>
          <w:trHeight w:val="23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margin %</w:t>
            </w: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28.3 %</w:t>
            </w:r>
          </w:p>
        </w:tc>
        <w:tc>
          <w:tcPr>
            <w:tcW w:w="23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28.8 %</w:t>
            </w:r>
          </w:p>
        </w:tc>
        <w:tc>
          <w:tcPr>
            <w:tcW w:w="2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29.5 %</w:t>
            </w:r>
          </w:p>
        </w:tc>
        <w:tc>
          <w:tcPr>
            <w:tcW w:w="302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32.8 %</w:t>
            </w:r>
          </w:p>
        </w:tc>
      </w:tr>
    </w:tbl>
    <w:p>
      <w:pPr>
        <w:spacing w:after="0" w:line="2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Gross margin for the second quarter of fiscal 2024 increased by $4.6 million compared with the same quarter of fiscal 2023. Gross margin for the first six months of fiscal 2024 increased by $7.0 million.</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Gross margin dollars and as a percentage of revenue increased in the second quarter and for the first six months of fiscal 2024 compared with the prior year primarily due to higher software revenue, favorable project level mix, and moderating freight and material costs.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w:t>
            </w:r>
          </w:p>
        </w:tc>
        <w:tc>
          <w:tcPr>
            <w:tcW w:w="1220" w:type="dxa"/>
            <w:vAlign w:val="bottom"/>
            <w:gridSpan w:val="3"/>
          </w:tcPr>
          <w:p>
            <w:pPr>
              <w:ind w:left="80"/>
              <w:spacing w:after="0" w:line="172"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220" w:type="dxa"/>
            <w:vAlign w:val="bottom"/>
            <w:gridSpan w:val="3"/>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4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gridSpan w:val="3"/>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6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00" w:type="dxa"/>
            <w:vAlign w:val="bottom"/>
          </w:tcPr>
          <w:p>
            <w:pPr>
              <w:spacing w:after="0"/>
              <w:rPr>
                <w:sz w:val="14"/>
                <w:szCs w:val="14"/>
                <w:color w:val="auto"/>
              </w:rPr>
            </w:pPr>
          </w:p>
        </w:tc>
        <w:tc>
          <w:tcPr>
            <w:tcW w:w="116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4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percentages)</w:t>
            </w:r>
          </w:p>
        </w:tc>
        <w:tc>
          <w:tcPr>
            <w:tcW w:w="240" w:type="dxa"/>
            <w:vAlign w:val="bottom"/>
          </w:tcPr>
          <w:p>
            <w:pPr>
              <w:spacing w:after="0"/>
              <w:rPr>
                <w:sz w:val="17"/>
                <w:szCs w:val="17"/>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0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8,394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6,047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14,818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12,134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$2.3 million and $2.7 million for the second quarter and the first six months of fiscal 2024, respectively, compared with the corresponding periods of fiscal 2023. The increase in research and development expenses was primarily due to increased product development activities and additional costs from the NEC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w:t>
            </w:r>
          </w:p>
        </w:tc>
        <w:tc>
          <w:tcPr>
            <w:tcW w:w="11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20" w:type="dxa"/>
            <w:vAlign w:val="bottom"/>
          </w:tcPr>
          <w:p>
            <w:pPr>
              <w:spacing w:after="0"/>
              <w:rPr>
                <w:sz w:val="14"/>
                <w:szCs w:val="14"/>
                <w:color w:val="auto"/>
              </w:rPr>
            </w:pPr>
          </w:p>
        </w:tc>
        <w:tc>
          <w:tcPr>
            <w:tcW w:w="11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20" w:type="dxa"/>
            <w:vAlign w:val="bottom"/>
            <w:gridSpan w:val="3"/>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00" w:type="dxa"/>
            <w:vAlign w:val="bottom"/>
          </w:tcPr>
          <w:p>
            <w:pPr>
              <w:spacing w:after="0"/>
              <w:rPr>
                <w:sz w:val="14"/>
                <w:szCs w:val="14"/>
                <w:color w:val="auto"/>
              </w:rPr>
            </w:pPr>
          </w:p>
        </w:tc>
        <w:tc>
          <w:tcPr>
            <w:tcW w:w="116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4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3"/>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percentages)</w:t>
            </w:r>
          </w:p>
        </w:tc>
        <w:tc>
          <w:tcPr>
            <w:tcW w:w="10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16,567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40,679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34,071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34"/>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increased by $4.9 million and $6.6 million for the second quarter and the first six months of fiscal 2024, respectively, compared with the corresponding periods of fiscal 2023. The increase in selling and administrative expenses was primarily due to merger and acquisition expenses related to the NEC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1160" w:type="dxa"/>
            <w:vAlign w:val="bottom"/>
            <w:gridSpan w:val="3"/>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180" w:type="dxa"/>
            <w:vAlign w:val="bottom"/>
            <w:gridSpan w:val="3"/>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80" w:type="dxa"/>
            <w:vAlign w:val="bottom"/>
            <w:gridSpan w:val="3"/>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180" w:type="dxa"/>
            <w:vAlign w:val="bottom"/>
            <w:gridSpan w:val="3"/>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6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4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In the second quarter of fiscal 2024, restructuring charges were $2.0 million, an increase of $1.1 million compared to the same period in fiscal 2023. The increase in restructuring charges was primarily due to restructuring activities associated with the NEC Transaction. The prior year includes non-recurring restructuring charges primarily associated with the Redline acquisition completed in the first quarter of fiscal 2023.</w:t>
      </w:r>
    </w:p>
    <w:p>
      <w:pPr>
        <w:spacing w:after="0" w:line="13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successfully executed restructuring initiatives have enabled it to restructure specific groups to optimize skill sets and align its organizational structure to execute on strategic deliverables, in addition to aligning cost structure with the core of the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13"/>
                <w:szCs w:val="13"/>
                <w:color w:val="auto"/>
              </w:rPr>
            </w:pPr>
          </w:p>
        </w:tc>
        <w:tc>
          <w:tcPr>
            <w:tcW w:w="11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1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60" w:type="dxa"/>
            <w:vAlign w:val="bottom"/>
            <w:gridSpan w:val="3"/>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200" w:type="dxa"/>
            <w:vAlign w:val="bottom"/>
            <w:gridSpan w:val="3"/>
          </w:tcPr>
          <w:p>
            <w:pPr>
              <w:jc w:val="right"/>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6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4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decreased by $0.2 million for the second quarter of fiscal 2024, primarily due to interest expense incurred on the Term Loan borrowings used to fund the NEC Transaction. Other expense, net decreased by $1.7 million for the first six months of fiscal 2024, primarily due to non-recurring losses of $1.7 million recognized on the sale of marketable securities included in the prior year.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1180" w:type="dxa"/>
            <w:vAlign w:val="bottom"/>
            <w:gridSpan w:val="3"/>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180" w:type="dxa"/>
            <w:vAlign w:val="bottom"/>
            <w:gridSpan w:val="3"/>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60" w:type="dxa"/>
            <w:vAlign w:val="bottom"/>
            <w:gridSpan w:val="3"/>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December 29,</w:t>
            </w:r>
          </w:p>
        </w:tc>
        <w:tc>
          <w:tcPr>
            <w:tcW w:w="120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6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60" w:type="dxa"/>
            <w:vAlign w:val="bottom"/>
          </w:tcPr>
          <w:p>
            <w:pPr>
              <w:spacing w:after="0"/>
              <w:rPr>
                <w:sz w:val="18"/>
                <w:szCs w:val="18"/>
                <w:color w:val="auto"/>
              </w:rPr>
            </w:pPr>
          </w:p>
        </w:tc>
        <w:tc>
          <w:tcPr>
            <w:tcW w:w="82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80" w:type="dxa"/>
            <w:vAlign w:val="bottom"/>
          </w:tcPr>
          <w:p>
            <w:pPr>
              <w:spacing w:after="0"/>
              <w:rPr>
                <w:sz w:val="20"/>
                <w:szCs w:val="20"/>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estimates its annual effective tax rate at the end of each quarterly period, and records the tax effect of certain discrete items in the interim period in which they occur, including changes in judgment about uncertain tax positions and deferred tax valuation allowances.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Tax expense for the first six months of fiscal 2024 was primarily attributable to tax expense for the U.S. entity and profitable foreign subsidiaries. Tax expense for the first six months of fiscal 2023 was primarily attributable to tax expense related to U.S. and profitable foreign subsidiaries, including deferred tax expense associated with the acquisition of Redline in July 2022 and the subsequent multi-step restructuring, in which two Canadian Redline corporations converted to unlimited liability companies and then amalgamated by the end of September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29, 2023, the Company’s total cash and cash equivalents were $45.9 million. Approximately $20.0 million was held in the United States. The remaining balance of $25.9 million was held by entities outside the United States. Of the amount of cash and cash equivalents held by the Company’s foreign subsidiaries on December 29, 2023, $25.4 million was held in jurisdictions where its undistributed earnings are indefinitely reinvested, and if repatriated, would be subject to foreign withholding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Operating cash flows is presented as net income adjusted for certain non-cash items and changes in operating assets and liabilities. Net cash provided by (used in) operating activities was $6.9 million for the first six months of fiscal 2024, compared with $(8.4) million in the prior year. The $15.3 million increase is primarily attributable to improvements in working capital and increased net income prior to non-cash adjustments compared to the prior year.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$33.5 million for the first six months of fiscal 2024, compared to $7.3 million in the prior year. The $26.2 million increase is primarily due to payments of the cash consideration associated with the NEC Transaction and increased capital expenditures, partially offset by non-recurring activity included in the prior year related to proceeds received on the sale of marketable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Financing cash flows consist primarily of borrowings and repayments under the Company’s Credit Facility and proceeds from the exercise of employee stock options. Net cash provided by financing activities was $50.3 million for the first six months of fiscal 2024, compared with $0.1 million in the prior year. The $50.2 million increase is primarily due to the $50.0 million of Term Loan borrowings primarily used to settle the cash portion of the consideration associated with the NEC Transaction.</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December 29, 2023, the Company’s principal sources of liquidity consisted of $45.9 million in cash and cash equivalents, $37.7 million of available credit under its Credit Facility, and future collections of receivables from customers. The Company regularly requires letters of credit from certain customers, and, from time to time, these letters of credit are discounted without recourse shortly after shipment occurs in order to meet immediate liquidity requirements and to reduce its credit and sovereign risk. Historically, the Company’s primary sources of liquidity have been cash flows from operations and credit facilities. Additionally, the Company has an effective shelf registration statement on Form S-3 allowing it to offer and sell, either individually or in combination, in one or more offerings, up to a total dollar amount of approximately $200.0 million of any combination of the securities described in the shelf registration statement or a related prospectus supplement.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8" w:name="page29"/>
    <w:bookmarkEnd w:id="28"/>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the available borrowings under its Credit Facility, the availability under its effective shelf registration statement and future cash collections from customers will be sufficient to provide for its anticipated requirements and plans for cash for at least the next 12 months. In addition, the Company believes these sources of liquidity will be sufficient to provide for its anticipated requirements and plans for cash beyond the next 12 months.</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borrowed and repaid $33.2 million against the Revolver during the first six months of fiscal 2024. In the second quarter of fiscal 2024, the Company borrowed $50.0 million against the Term Loan to primarily settle the cash portion of the consideration associated with the NEC Transaction. As of December 29, 2023, the Company had $50.0 million outstanding under its Term Loan and no borrowings under its Revolver and was in compliance with all financial covenants contained in the Credit Facility.</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29, 2023, the Company had commercial commitments outstanding of $57.3 million, that were not recorded on the unaudited condensed consolidated balance sheets. The Company does not believe, based on historical experience and information currently available, that it is probable that any significant amounts will be required to be paid on these performance guarantees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information about the Company’s critical accounting estimates, see the “Critical Accounting Estimates” section of “Item 7. Management’s Discussion and Analysis of Financial Condition and Results of Operations” in its fiscal 2023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normal course of doing business, the Company is exposed to risks associated with foreign currency exchange rates and changes in interest rates. The Company employs established policies and procedures governing the use of financial instruments to manage its exposure to such risks. Information about the Company’s market risk is presented in Part II, Item 7A in its fiscal 2023 Annual Report on Form 10-K. There have been no material changes to the Company’s market risk during the first six months of fiscal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conducts business globally in numerous currencies and is therefore exposed to foreign currency risks. From time to time, the Company uses derivative instruments to reduce the volatility of earnings and cash flows associated with changes in foreign currency exchange rates. The Company does not hold or issue derivatives for trading purposes or make speculative investments in foreign currencies.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enters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 The Company did not have any foreign exchange forward contracts outstanding as of December 29, 2023.</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of the Company’s international business are transacted in non-U.S. dollar (“USD”) currencies. From time to time, the Company utilizes foreign currency hedging instruments to minimize the currency risk of non-USD transactions. The impact of translating the assets and liabilities of foreign operations to USD is included as a component of stockholders’ equity. As of December 29, 2023 and June 30, 2023, the cumulative translation adjustment decreased stockholders’ equity by $15.4 million and $16.0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Company’s exposure to market risk for changes in interest rates relates primarily to its cash equivalents and borrowings under its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Cash Equivalents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had $45.9 million in total cash and cash equivalents as of December 29, 2023. Cash equivalents totaled $11.8 million as of December 29, 2023 and were comprised of money market funds and bank certificates of deposit. Cash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equivalents have been recorded at fair value. Fair value is measured using inputs that fall into a three-level hierarchy that prioritizes the inputs used to measure fair value based on observability of such inputs. For more information on the fair value measurements of cash equivalents, please refer to Note 6. Fair Value Measurements of Assets and Liabilities of the Notes to unaudited condensed consolidated financial statements in this Quarterly Report on Form 10-Q.</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cash equivalents earn interest at fixed rates; therefore, changes in interest rates will not generate a gain or loss on these investments unless they are sold prior to maturity. The weighted-average days to maturity for cash equivalents held as of December 29, 2023 was 47 days, and these investments had an average yield of approximately 4.7% per annum. A 10% change in interest rates on the Company’s cash equivalents is not expected to have a material impact on its financial position, results of operations,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Borrowings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29, 2023, the Company had $50.0 million outstanding under its Term Loan and no borrowings under its Revolver.</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borrowings under the current Credit Facility bear interest at either: (a) Adjusted Term SOFR plus the applicable margin; or (b) the Base Rate plus the applicable margin. The pricing levels for interest rate margins are determined based on the Consolidated Total Leverage Ratio as determined and adjusted quarterly. As of December 29, 2023, the applicable margin on Adjusted Term SOFR and Base Rate borrowings was 2.75% and 1.75%, respectively. The effective rate of interest on the Company’s outstanding Term Loan borrowings as of December 29, 2023 was 8.2%.</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10% change in interest rates is estimated to have a $0.4 million impact on annual interest expense on the Company’s outstanding long-term debt as of December 29,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Based on management’s evaluation, with the participation of our President and CEO, and Chief Financial Officer (“CFO”), as of December 29, 2023, our CEO and CFO have concluded that our disclosure controls and procedures, as defined in Rules 13a-15(e) and 15d-15(e) under the Exchange Act, are effective to provide reasonable assurance that the information required to be disclosed in reports that we file or submit under the Exchange Act is accumulated and communicated to management, including our CEO and CFO, in a manner that allows for timely decisions regarding required disclosures and is recorded, processed, summarized, and reported within the time periods specified in the SEC’s rules and forms.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controls over financial reporting as defined in Rules 13a-15(f) or 15d-15(f) that occurred during the quarter ended December 29, 2023 that have materially affected, or are reasonably likely to materially affect, our internal controls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p>
      <w:pPr>
        <w:spacing w:after="0" w:line="200" w:lineRule="exact"/>
        <w:rPr>
          <w:sz w:val="20"/>
          <w:szCs w:val="20"/>
          <w:color w:val="auto"/>
        </w:rPr>
      </w:pP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PART II.</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legal proceedings as of December 29, 2023, please refer to “Legal Proceedings” and “Contingent Liabilities” under Note 13. Commitments and Contingencies of the Notes to the unaudited condensed consolidated financial statements in this Quarterly Report on Form 10-Q, which are incorporated into this item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2023 Annual Report on Form 10-K filed with the SEC on August 30, 2023.</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approved a stock repurchase program to purchase up to $10.0 million of the Company’s common stock. As of December 29, 2023, $6.9 million remains available and Aviat may choose to suspend or discontinue the repurchase program at any time. Repurchased shares are recorded as treasury stock.</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 during the second quarter of fiscal 2024:</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23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2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of Shares that May Yet be</w:t>
            </w:r>
          </w:p>
        </w:tc>
        <w:tc>
          <w:tcPr>
            <w:tcW w:w="0" w:type="dxa"/>
            <w:vAlign w:val="bottom"/>
          </w:tcPr>
          <w:p>
            <w:pPr>
              <w:spacing w:after="0"/>
              <w:rPr>
                <w:sz w:val="1"/>
                <w:szCs w:val="1"/>
                <w:color w:val="auto"/>
              </w:rPr>
            </w:pPr>
          </w:p>
        </w:tc>
      </w:tr>
      <w:tr>
        <w:trPr>
          <w:trHeight w:val="184"/>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40" w:type="dxa"/>
            <w:vAlign w:val="bottom"/>
            <w:gridSpan w:val="3"/>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220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40" w:type="dxa"/>
            <w:vAlign w:val="bottom"/>
          </w:tcPr>
          <w:p>
            <w:pPr>
              <w:spacing w:after="0"/>
              <w:rPr>
                <w:sz w:val="16"/>
                <w:szCs w:val="16"/>
                <w:color w:val="auto"/>
              </w:rPr>
            </w:pPr>
          </w:p>
        </w:tc>
        <w:tc>
          <w:tcPr>
            <w:tcW w:w="198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30"/>
        </w:trPr>
        <w:tc>
          <w:tcPr>
            <w:tcW w:w="2460" w:type="dxa"/>
            <w:vAlign w:val="bottom"/>
            <w:vMerge w:val="continue"/>
          </w:tcPr>
          <w:p>
            <w:pPr>
              <w:spacing w:after="0"/>
              <w:rPr>
                <w:sz w:val="19"/>
                <w:szCs w:val="19"/>
                <w:color w:val="auto"/>
              </w:rPr>
            </w:pPr>
          </w:p>
        </w:tc>
        <w:tc>
          <w:tcPr>
            <w:tcW w:w="2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40" w:type="dxa"/>
            <w:vAlign w:val="bottom"/>
          </w:tcPr>
          <w:p>
            <w:pPr>
              <w:spacing w:after="0"/>
              <w:rPr>
                <w:sz w:val="19"/>
                <w:szCs w:val="19"/>
                <w:color w:val="auto"/>
              </w:rPr>
            </w:pPr>
          </w:p>
        </w:tc>
        <w:tc>
          <w:tcPr>
            <w:tcW w:w="1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Program (in thousands)</w:t>
            </w:r>
          </w:p>
        </w:tc>
        <w:tc>
          <w:tcPr>
            <w:tcW w:w="0" w:type="dxa"/>
            <w:vAlign w:val="bottom"/>
          </w:tcPr>
          <w:p>
            <w:pPr>
              <w:spacing w:after="0"/>
              <w:rPr>
                <w:sz w:val="1"/>
                <w:szCs w:val="1"/>
                <w:color w:val="auto"/>
              </w:rPr>
            </w:pPr>
          </w:p>
        </w:tc>
      </w:tr>
      <w:tr>
        <w:trPr>
          <w:trHeight w:val="155"/>
        </w:trPr>
        <w:tc>
          <w:tcPr>
            <w:tcW w:w="24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September 30, 2023 — October</w:t>
            </w:r>
          </w:p>
        </w:tc>
        <w:tc>
          <w:tcPr>
            <w:tcW w:w="2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27, 2023</w:t>
            </w:r>
          </w:p>
        </w:tc>
        <w:tc>
          <w:tcPr>
            <w:tcW w:w="23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October 28, 2023 — November</w:t>
            </w: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24, 2023</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November 25, 2023 —</w:t>
            </w: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29, 2023</w:t>
            </w:r>
          </w:p>
        </w:tc>
        <w:tc>
          <w:tcPr>
            <w:tcW w:w="23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0" w:type="dxa"/>
            <w:vAlign w:val="bottom"/>
          </w:tcPr>
          <w:p>
            <w:pPr>
              <w:spacing w:after="0"/>
              <w:rPr>
                <w:sz w:val="1"/>
                <w:szCs w:val="1"/>
                <w:color w:val="auto"/>
              </w:rPr>
            </w:pPr>
          </w:p>
        </w:tc>
      </w:tr>
      <w:tr>
        <w:trPr>
          <w:trHeight w:val="223"/>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filed or furnished herewith or are incorporated by reference to exhibits previously filed with the SEC:</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6020" w:type="dxa"/>
            <w:vAlign w:val="bottom"/>
            <w:gridSpan w:val="36"/>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Descriptions</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60" w:type="dxa"/>
            <w:vAlign w:val="bottom"/>
            <w:gridSpan w:val="37"/>
            <w:shd w:val="clear" w:color="auto" w:fill="CCEEFF"/>
          </w:tcPr>
          <w:p>
            <w:pPr>
              <w:spacing w:after="0" w:line="182"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Master Sale of Business Agreement, dated May 9, 2023, by and among the Company and NEC (incorporated by reference to Exhibit 2.1</w:t>
              </w:r>
            </w:hyperlink>
          </w:p>
        </w:tc>
      </w:tr>
      <w:tr>
        <w:trPr>
          <w:trHeight w:val="155"/>
        </w:trPr>
        <w:tc>
          <w:tcPr>
            <w:tcW w:w="1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33"/>
            <w:shd w:val="clear" w:color="auto" w:fill="CCEEFF"/>
          </w:tcPr>
          <w:p>
            <w:pPr>
              <w:spacing w:after="0" w:line="15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of Aviat’s Current Report on Form 8-K filed May 9, 2023, File No. 001-33278).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40" w:type="dxa"/>
            <w:vAlign w:val="bottom"/>
            <w:tcBorders>
              <w:top w:val="single" w:sz="8" w:color="0000FF"/>
            </w:tcBorders>
            <w:shd w:val="clear" w:color="auto" w:fill="CCEEFF"/>
          </w:tcPr>
          <w:p>
            <w:pPr>
              <w:spacing w:after="0"/>
              <w:rPr>
                <w:sz w:val="2"/>
                <w:szCs w:val="2"/>
                <w:color w:val="auto"/>
              </w:rPr>
            </w:pPr>
          </w:p>
        </w:tc>
        <w:tc>
          <w:tcPr>
            <w:tcW w:w="17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Amendment to the Master Sale of Business Agreement, dated November 30, 2023, by and between the Company and NEC (incorporated</w:t>
              </w:r>
            </w:hyperlink>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by reference to Exhibit 2.2 of Aviat’s Current Report on Form 8-K filed December 1, 2023, File No. 001-33279).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4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Amended and Restated Certificate of Incorporation of Aviat Networks, Inc., as amended (incorporated by reference to Exhibit 3.1 to the</w:t>
              </w:r>
            </w:hyperlink>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32"/>
            <w:shd w:val="clear" w:color="auto" w:fill="CCEEFF"/>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Current Report on Form 8-K filed with the SEC on November 13, 2023, File No. 001-33278).</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40" w:type="dxa"/>
            <w:vAlign w:val="bottom"/>
            <w:tcBorders>
              <w:top w:val="single" w:sz="8" w:color="0000FF"/>
            </w:tcBorders>
            <w:shd w:val="clear" w:color="auto" w:fill="CCEEFF"/>
          </w:tcPr>
          <w:p>
            <w:pPr>
              <w:spacing w:after="0"/>
              <w:rPr>
                <w:sz w:val="2"/>
                <w:szCs w:val="2"/>
                <w:color w:val="auto"/>
              </w:rPr>
            </w:pPr>
          </w:p>
        </w:tc>
        <w:tc>
          <w:tcPr>
            <w:tcW w:w="17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Amended and Restated Bylaws of Aviat Networks, Inc. (incorporated by reference to Exhibit 3.1 to the Current Report on Form 8-K filed</w:t>
              </w:r>
            </w:hyperlink>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with the SEC on August 24, 2023, File No. 001-33278).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40" w:type="dxa"/>
            <w:vAlign w:val="bottom"/>
            <w:tcBorders>
              <w:top w:val="single" w:sz="8" w:color="0000FF"/>
            </w:tcBorders>
          </w:tcPr>
          <w:p>
            <w:pPr>
              <w:spacing w:after="0"/>
              <w:rPr>
                <w:sz w:val="2"/>
                <w:szCs w:val="2"/>
                <w:color w:val="auto"/>
              </w:rPr>
            </w:pPr>
          </w:p>
        </w:tc>
        <w:tc>
          <w:tcPr>
            <w:tcW w:w="1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Registration Rights and Lock-Up Agreement, dated November 30, 2023, by and between the Company and NEC (incorporated by</w:t>
              </w:r>
            </w:hyperlink>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40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reference to Exhibit 10.1 to the Current Report on Form 8-K filed with the SEC on December 1, 2023, File No. 001-33278).</w:t>
              </w:r>
            </w:hyperlink>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40" w:type="dxa"/>
            <w:vAlign w:val="bottom"/>
            <w:tcBorders>
              <w:top w:val="single" w:sz="8" w:color="0000FF"/>
            </w:tcBorders>
            <w:shd w:val="clear" w:color="auto" w:fill="CCEEFF"/>
          </w:tcPr>
          <w:p>
            <w:pPr>
              <w:spacing w:after="0"/>
              <w:rPr>
                <w:sz w:val="2"/>
                <w:szCs w:val="2"/>
                <w:color w:val="auto"/>
              </w:rPr>
            </w:pPr>
          </w:p>
        </w:tc>
        <w:tc>
          <w:tcPr>
            <w:tcW w:w="17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Manufacturing and Supply Agreement, dated November 30, 2023, by and among the Company, NECPF and NEC (incorporated by</w:t>
              </w:r>
            </w:hyperlink>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reference to Exhibit 10.2 to the Current Report on Form 8-K filed with the SEC on December 1, 2023, File No. 001-33278).</w:t>
              </w:r>
            </w:hyperlink>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4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820" w:type="dxa"/>
            <w:vAlign w:val="bottom"/>
            <w:tcBorders>
              <w:bottom w:val="single" w:sz="8" w:color="0000FF"/>
            </w:tcBorders>
            <w:gridSpan w:val="27"/>
            <w:shd w:val="clear" w:color="auto" w:fill="CCEEFF"/>
          </w:tcPr>
          <w:p>
            <w:pPr>
              <w:spacing w:after="0" w:line="189"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Global Transition Services Agreement, dated November 30, 2023, by and between the Company and NEC (incorporated by reference to</w:t>
              </w:r>
            </w:hyperlink>
          </w:p>
        </w:tc>
        <w:tc>
          <w:tcPr>
            <w:tcW w:w="240" w:type="dxa"/>
            <w:vAlign w:val="bottom"/>
            <w:tcBorders>
              <w:bottom w:val="single" w:sz="8" w:color="CCEEFF"/>
            </w:tcBorders>
            <w:gridSpan w:val="10"/>
            <w:shd w:val="clear" w:color="auto" w:fill="CCEEFF"/>
          </w:tcPr>
          <w:p>
            <w:pPr>
              <w:spacing w:after="0"/>
              <w:rPr>
                <w:sz w:val="16"/>
                <w:szCs w:val="16"/>
                <w:color w:val="auto"/>
              </w:rPr>
            </w:pPr>
          </w:p>
        </w:tc>
      </w:tr>
      <w:tr>
        <w:trPr>
          <w:trHeight w:val="156"/>
        </w:trPr>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60" w:type="dxa"/>
            <w:vAlign w:val="bottom"/>
            <w:gridSpan w:val="37"/>
            <w:shd w:val="clear" w:color="auto" w:fill="CCEEFF"/>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Exhibit 10.3 to the Current Report on Form 8-K filed with the SEC on December 1, 2023, File No. 001-33278).</w:t>
              </w:r>
            </w:hyperlink>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40" w:type="dxa"/>
            <w:vAlign w:val="bottom"/>
            <w:tcBorders>
              <w:top w:val="single" w:sz="8" w:color="0000FF"/>
            </w:tcBorders>
            <w:shd w:val="clear" w:color="auto" w:fill="CCEEFF"/>
          </w:tcPr>
          <w:p>
            <w:pPr>
              <w:spacing w:after="0"/>
              <w:rPr>
                <w:sz w:val="2"/>
                <w:szCs w:val="2"/>
                <w:color w:val="auto"/>
              </w:rPr>
            </w:pPr>
          </w:p>
        </w:tc>
        <w:tc>
          <w:tcPr>
            <w:tcW w:w="17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Global Seller Transition Services Agreement, dated November 30, 2023, by and between the Company and NEC (incorporated by</w:t>
              </w:r>
            </w:hyperlink>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reference to Exhibit 10.4 to the Current Report on Form 8-K filed with the SEC on December 1, 2023, File No. 001-33278).</w:t>
              </w:r>
            </w:hyperlink>
          </w:p>
        </w:tc>
        <w:tc>
          <w:tcPr>
            <w:tcW w:w="2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4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Distribution Agreement, dated November 30, 2023, by and between Aviat Singapore and NEC South Africa (incorporated by reference to</w:t>
              </w:r>
            </w:hyperlink>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20" w:type="dxa"/>
            <w:vAlign w:val="bottom"/>
            <w:tcBorders>
              <w:top w:val="single" w:sz="8" w:color="0000FF"/>
            </w:tcBorders>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Exhibit 10.5 to the Current Report on Form 8-K filed with the SEC on December 1, 2023, File No. 001-33278).</w:t>
              </w:r>
            </w:hyperlink>
          </w:p>
        </w:tc>
        <w:tc>
          <w:tcPr>
            <w:tcW w:w="140" w:type="dxa"/>
            <w:vAlign w:val="bottom"/>
            <w:tcBorders>
              <w:top w:val="single" w:sz="8" w:color="CCEEFF"/>
            </w:tcBorders>
            <w:gridSpan w:val="7"/>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40" w:type="dxa"/>
            <w:vAlign w:val="bottom"/>
            <w:tcBorders>
              <w:top w:val="single" w:sz="8" w:color="0000FF"/>
            </w:tcBorders>
            <w:shd w:val="clear" w:color="auto" w:fill="CCEEFF"/>
          </w:tcPr>
          <w:p>
            <w:pPr>
              <w:spacing w:after="0"/>
              <w:rPr>
                <w:sz w:val="2"/>
                <w:szCs w:val="2"/>
                <w:color w:val="auto"/>
              </w:rPr>
            </w:pPr>
          </w:p>
        </w:tc>
        <w:tc>
          <w:tcPr>
            <w:tcW w:w="17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Framework Agreement, dated November 30, 2023, by and between Aviat Singapore and NEC Saudi Arabia (incorporated by reference to</w:t>
              </w:r>
            </w:hyperlink>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Exhibit 10.6 to the Current Report on Form 8-K filed with the SEC on December 1, 2023, File No. 001-33278).</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4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Distribution Agreement, dated November 30, 2023, by and between Aviat Singapore and NEC New Zealand (incorporated by reference to</w:t>
              </w:r>
            </w:hyperlink>
          </w:p>
        </w:tc>
      </w:tr>
      <w:tr>
        <w:trPr>
          <w:trHeight w:val="190"/>
        </w:trPr>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20" w:type="dxa"/>
            <w:vAlign w:val="bottom"/>
            <w:tcBorders>
              <w:top w:val="single" w:sz="8" w:color="0000FF"/>
              <w:bottom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exhibit 10.7 to the Current Report on Form 8-K filed with the SEC on December 1, 2023, File No. 001-33278).</w:t>
              </w:r>
            </w:hyperlink>
          </w:p>
        </w:tc>
        <w:tc>
          <w:tcPr>
            <w:tcW w:w="2020" w:type="dxa"/>
            <w:vAlign w:val="bottom"/>
            <w:tcBorders>
              <w:top w:val="single" w:sz="8" w:color="0000FF"/>
              <w:bottom w:val="single" w:sz="8" w:color="CCEEFF"/>
            </w:tcBorders>
            <w:gridSpan w:val="2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Distribution Agreement, dated November 30, 2023, by and between Aviat Singapore and NEC Malaysia (incorporated by reference to</w:t>
              </w:r>
            </w:hyperlink>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Exhibit 10.8 to the Current Report on Form 8-K filed with the SEC on December 1, 2023, File No. 001-</w:t>
              </w:r>
            </w:hyperlink>
          </w:p>
        </w:tc>
        <w:tc>
          <w:tcPr>
            <w:tcW w:w="540" w:type="dxa"/>
            <w:vAlign w:val="bottom"/>
            <w:tcBorders>
              <w:top w:val="single" w:sz="8" w:color="0000FF"/>
            </w:tcBorders>
            <w:gridSpan w:val="3"/>
          </w:tcPr>
          <w:p>
            <w:pPr>
              <w:jc w:val="center"/>
              <w:ind w:right="40"/>
              <w:spacing w:after="0" w:line="156" w:lineRule="exact"/>
              <w:rPr>
                <w:rFonts w:ascii="Times New Roman" w:cs="Times New Roman" w:eastAsia="Times New Roman" w:hAnsi="Times New Roman"/>
                <w:sz w:val="18"/>
                <w:szCs w:val="18"/>
                <w:color w:val="0000FF"/>
                <w:w w:val="82"/>
              </w:rPr>
            </w:pPr>
            <w:hyperlink r:id="rId54">
              <w:r>
                <w:rPr>
                  <w:rFonts w:ascii="Times New Roman" w:cs="Times New Roman" w:eastAsia="Times New Roman" w:hAnsi="Times New Roman"/>
                  <w:sz w:val="18"/>
                  <w:szCs w:val="18"/>
                  <w:color w:val="0000FF"/>
                  <w:w w:val="82"/>
                </w:rPr>
                <w:t>33278).</w:t>
              </w:r>
            </w:hyperlink>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gridSpan w:val="2"/>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gridSpan w:val="4"/>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4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Trademark License Agreement, dated November 30, 2023, by and between the Company and NEC (incorporated by reference to Exhibit</w:t>
              </w:r>
            </w:hyperlink>
          </w:p>
        </w:tc>
      </w:tr>
      <w:tr>
        <w:trPr>
          <w:trHeight w:val="155"/>
        </w:trPr>
        <w:tc>
          <w:tcPr>
            <w:tcW w:w="1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to the Current Report on Form 8-K filed with the SEC on December 1, 2023, File No. 001-33278).</w:t>
              </w:r>
            </w:hyperlink>
          </w:p>
        </w:tc>
        <w:tc>
          <w:tcPr>
            <w:tcW w:w="180" w:type="dxa"/>
            <w:vAlign w:val="bottom"/>
            <w:tcBorders>
              <w:top w:val="single" w:sz="8" w:color="CCEEFF"/>
            </w:tcBorders>
            <w:gridSpan w:val="7"/>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40" w:type="dxa"/>
            <w:vAlign w:val="bottom"/>
            <w:tcBorders>
              <w:top w:val="single" w:sz="8" w:color="0000FF"/>
            </w:tcBorders>
            <w:shd w:val="clear" w:color="auto" w:fill="CCEEFF"/>
          </w:tcPr>
          <w:p>
            <w:pPr>
              <w:spacing w:after="0"/>
              <w:rPr>
                <w:sz w:val="2"/>
                <w:szCs w:val="2"/>
                <w:color w:val="auto"/>
              </w:rPr>
            </w:pPr>
          </w:p>
        </w:tc>
        <w:tc>
          <w:tcPr>
            <w:tcW w:w="17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Intellectual Property License Agreement, dated November 30, 2023, by and between the Company and NEC (incorporated by reference</w:t>
              </w:r>
            </w:hyperlink>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to Exhibit 10.10 to the Current Report on Form 8-K filed with the SEC on December 1, 2023, File No. 001-33278).</w:t>
              </w:r>
            </w:hyperlink>
          </w:p>
        </w:tc>
        <w:tc>
          <w:tcPr>
            <w:tcW w:w="20" w:type="dxa"/>
            <w:vAlign w:val="bottom"/>
          </w:tcPr>
          <w:p>
            <w:pPr>
              <w:spacing w:after="0"/>
              <w:rPr>
                <w:sz w:val="13"/>
                <w:szCs w:val="13"/>
                <w:color w:val="auto"/>
              </w:rPr>
            </w:pPr>
          </w:p>
        </w:tc>
        <w:tc>
          <w:tcPr>
            <w:tcW w:w="22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4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Trademark Assignment Agreement, dated November 30, 2023, by and between the Company and NEC (incorporated by reference to</w:t>
              </w:r>
            </w:hyperlink>
          </w:p>
        </w:tc>
      </w:tr>
      <w:tr>
        <w:trPr>
          <w:trHeight w:val="170"/>
        </w:trPr>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480" w:type="dxa"/>
            <w:vAlign w:val="bottom"/>
            <w:tcBorders>
              <w:top w:val="single" w:sz="8" w:color="0000FF"/>
              <w:bottom w:val="single" w:sz="8" w:color="0000FF"/>
            </w:tcBorders>
            <w:gridSpan w:val="6"/>
            <w:shd w:val="clear" w:color="auto" w:fill="CCEEFF"/>
          </w:tcPr>
          <w:p>
            <w:pPr>
              <w:spacing w:after="0" w:line="136" w:lineRule="exact"/>
              <w:rPr>
                <w:rFonts w:ascii="Times New Roman" w:cs="Times New Roman" w:eastAsia="Times New Roman" w:hAnsi="Times New Roman"/>
                <w:sz w:val="15"/>
                <w:szCs w:val="15"/>
                <w:color w:val="0000FF"/>
              </w:rPr>
            </w:pPr>
            <w:hyperlink r:id="rId57">
              <w:r>
                <w:rPr>
                  <w:rFonts w:ascii="Times New Roman" w:cs="Times New Roman" w:eastAsia="Times New Roman" w:hAnsi="Times New Roman"/>
                  <w:sz w:val="15"/>
                  <w:szCs w:val="15"/>
                  <w:color w:val="0000FF"/>
                </w:rPr>
                <w:t>Exhibit 10.11 to the Current Report on Form 8-K filed with the SEC on December 1, 2023, File No. 001</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40" w:type="dxa"/>
            <w:vAlign w:val="bottom"/>
            <w:tcBorders>
              <w:top w:val="single" w:sz="8" w:color="0000FF"/>
              <w:bottom w:val="single" w:sz="8" w:color="0000FF"/>
            </w:tcBorders>
            <w:gridSpan w:val="6"/>
            <w:shd w:val="clear" w:color="auto" w:fill="CCEEFF"/>
          </w:tcPr>
          <w:p>
            <w:pPr>
              <w:jc w:val="center"/>
              <w:spacing w:after="0" w:line="136" w:lineRule="exact"/>
              <w:rPr>
                <w:rFonts w:ascii="Times New Roman" w:cs="Times New Roman" w:eastAsia="Times New Roman" w:hAnsi="Times New Roman"/>
                <w:sz w:val="15"/>
                <w:szCs w:val="15"/>
                <w:color w:val="0000FF"/>
              </w:rPr>
            </w:pPr>
            <w:hyperlink r:id="rId57">
              <w:r>
                <w:rPr>
                  <w:rFonts w:ascii="Times New Roman" w:cs="Times New Roman" w:eastAsia="Times New Roman" w:hAnsi="Times New Roman"/>
                  <w:sz w:val="15"/>
                  <w:szCs w:val="15"/>
                  <w:color w:val="0000FF"/>
                </w:rPr>
                <w:t>-33278).</w:t>
              </w:r>
            </w:hyperlink>
          </w:p>
        </w:tc>
        <w:tc>
          <w:tcPr>
            <w:tcW w:w="40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52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240" w:type="dxa"/>
            <w:vAlign w:val="bottom"/>
            <w:tcBorders>
              <w:top w:val="single" w:sz="8" w:color="0000FF"/>
              <w:bottom w:val="single" w:sz="8" w:color="CCEEFF"/>
            </w:tcBorders>
            <w:shd w:val="clear" w:color="auto" w:fill="CCEEFF"/>
          </w:tcPr>
          <w:p>
            <w:pPr>
              <w:spacing w:after="0"/>
              <w:rPr>
                <w:sz w:val="14"/>
                <w:szCs w:val="14"/>
                <w:color w:val="auto"/>
              </w:rPr>
            </w:pPr>
          </w:p>
        </w:tc>
        <w:tc>
          <w:tcPr>
            <w:tcW w:w="28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Development Services Agreement, dated November 30, 2023, by and between Opco and NEC (incorporated by reference to Exhibit 10.12</w:t>
              </w:r>
            </w:hyperlink>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to the Current Report on Form 8-K filed with the SEC on December 1, 2023, File No. 001-33278).</w:t>
              </w:r>
            </w:hyperlink>
          </w:p>
        </w:tc>
        <w:tc>
          <w:tcPr>
            <w:tcW w:w="40" w:type="dxa"/>
            <w:vAlign w:val="bottom"/>
            <w:gridSpan w:val="2"/>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4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Credit Agreement dated May 9, 2023, by and among the Company, the Opco, the Singapore Borrower and the Lenders (incorporated by</w:t>
              </w:r>
            </w:hyperlink>
          </w:p>
        </w:tc>
      </w:tr>
      <w:tr>
        <w:trPr>
          <w:trHeight w:val="190"/>
        </w:trPr>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540" w:type="dxa"/>
            <w:vAlign w:val="bottom"/>
            <w:tcBorders>
              <w:top w:val="single" w:sz="8" w:color="0000FF"/>
              <w:bottom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reference to Exhibit 10.1 to the Current Report on Form 8-K filed with the SEC on May 9, 2023, File No. 001-33278).</w:t>
              </w:r>
            </w:hyperlink>
          </w:p>
        </w:tc>
        <w:tc>
          <w:tcPr>
            <w:tcW w:w="126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260" w:type="dxa"/>
            <w:vAlign w:val="bottom"/>
            <w:tcBorders>
              <w:top w:val="single" w:sz="8" w:color="CCEEFF"/>
              <w:bottom w:val="single" w:sz="8" w:color="CCEEFF"/>
            </w:tcBorders>
            <w:gridSpan w:val="11"/>
            <w:shd w:val="clear" w:color="auto" w:fill="CCEEFF"/>
          </w:tcPr>
          <w:p>
            <w:pPr>
              <w:spacing w:after="0"/>
              <w:rPr>
                <w:sz w:val="16"/>
                <w:szCs w:val="16"/>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First Amendment to Credit Agreement, dated November 22, 2023, by and among the Borrowers and the Lender (incorporated by</w:t>
              </w:r>
            </w:hyperlink>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reference to Exhibit 10.1 to the Current Report on Form 8-K filed with the SEC on November 29, 2023, File No.</w:t>
              </w:r>
            </w:hyperlink>
          </w:p>
        </w:tc>
        <w:tc>
          <w:tcPr>
            <w:tcW w:w="20" w:type="dxa"/>
            <w:vAlign w:val="bottom"/>
            <w:tcBorders>
              <w:bottom w:val="single" w:sz="8" w:color="0000FF"/>
            </w:tcBorders>
          </w:tcPr>
          <w:p>
            <w:pPr>
              <w:spacing w:after="0"/>
              <w:rPr>
                <w:sz w:val="13"/>
                <w:szCs w:val="13"/>
                <w:color w:val="auto"/>
              </w:rPr>
            </w:pPr>
          </w:p>
        </w:tc>
        <w:tc>
          <w:tcPr>
            <w:tcW w:w="940" w:type="dxa"/>
            <w:vAlign w:val="bottom"/>
            <w:tcBorders>
              <w:top w:val="single" w:sz="8" w:color="0000FF"/>
              <w:bottom w:val="single" w:sz="8" w:color="0000FF"/>
            </w:tcBorders>
            <w:gridSpan w:val="6"/>
          </w:tcPr>
          <w:p>
            <w:pPr>
              <w:jc w:val="right"/>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001-33278).</w:t>
              </w:r>
            </w:hyperlink>
          </w:p>
        </w:tc>
        <w:tc>
          <w:tcPr>
            <w:tcW w:w="240" w:type="dxa"/>
            <w:vAlign w:val="bottom"/>
            <w:tcBorders>
              <w:top w:val="single" w:sz="8" w:color="0000FF"/>
            </w:tcBorders>
          </w:tcPr>
          <w:p>
            <w:pPr>
              <w:spacing w:after="0"/>
              <w:rPr>
                <w:sz w:val="13"/>
                <w:szCs w:val="13"/>
                <w:color w:val="auto"/>
              </w:rPr>
            </w:pPr>
          </w:p>
        </w:tc>
        <w:tc>
          <w:tcPr>
            <w:tcW w:w="760" w:type="dxa"/>
            <w:vAlign w:val="bottom"/>
            <w:gridSpan w:val="18"/>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980" w:type="dxa"/>
            <w:vAlign w:val="bottom"/>
            <w:gridSpan w:val="6"/>
            <w:shd w:val="clear" w:color="auto" w:fill="CCEEFF"/>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Independent Contractor Agreement dated October 3, 2023 between Aviat U.S., Inc. and Bryan Tucker (incorporated by reference to</w:t>
              </w:r>
            </w:hyperlink>
          </w:p>
        </w:tc>
      </w:tr>
      <w:tr>
        <w:trPr>
          <w:trHeight w:val="190"/>
        </w:trPr>
        <w:tc>
          <w:tcPr>
            <w:tcW w:w="1260" w:type="dxa"/>
            <w:vAlign w:val="bottom"/>
            <w:tcBorders>
              <w:top w:val="single" w:sz="8" w:color="CCEEFF"/>
              <w:bottom w:val="single" w:sz="8" w:color="CCEEFF"/>
            </w:tcBorders>
            <w:shd w:val="clear" w:color="auto" w:fill="CCEEFF"/>
          </w:tcPr>
          <w:p>
            <w:pPr>
              <w:spacing w:after="0"/>
              <w:rPr>
                <w:sz w:val="16"/>
                <w:szCs w:val="16"/>
                <w:color w:val="auto"/>
              </w:rPr>
            </w:pPr>
          </w:p>
        </w:tc>
        <w:tc>
          <w:tcPr>
            <w:tcW w:w="7840" w:type="dxa"/>
            <w:vAlign w:val="bottom"/>
            <w:tcBorders>
              <w:top w:val="single" w:sz="8" w:color="0000FF"/>
              <w:bottom w:val="single" w:sz="8" w:color="0000FF"/>
            </w:tcBorders>
            <w:gridSpan w:val="4"/>
            <w:shd w:val="clear" w:color="auto" w:fill="CCEEFF"/>
          </w:tcPr>
          <w:p>
            <w:pPr>
              <w:spacing w:after="0" w:line="15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Exhibit 10.2 to the Current Report on Form 8-K filed with the SEC on October 4, 2023 File No. 001-33278).</w:t>
              </w:r>
            </w:hyperlink>
          </w:p>
        </w:tc>
        <w:tc>
          <w:tcPr>
            <w:tcW w:w="1640" w:type="dxa"/>
            <w:vAlign w:val="bottom"/>
            <w:tcBorders>
              <w:top w:val="single" w:sz="8" w:color="0000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99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President and Chief Executive Officer</w:t>
            </w:r>
          </w:p>
        </w:tc>
      </w:tr>
      <w:tr>
        <w:trPr>
          <w:trHeight w:val="21"/>
        </w:trPr>
        <w:tc>
          <w:tcPr>
            <w:tcW w:w="1260" w:type="dxa"/>
            <w:vAlign w:val="bottom"/>
          </w:tcPr>
          <w:p>
            <w:pPr>
              <w:spacing w:after="0" w:line="20" w:lineRule="exact"/>
              <w:rPr>
                <w:sz w:val="1"/>
                <w:szCs w:val="1"/>
                <w:color w:val="auto"/>
              </w:rPr>
            </w:pPr>
          </w:p>
        </w:tc>
        <w:tc>
          <w:tcPr>
            <w:tcW w:w="472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9"/>
        </w:trPr>
        <w:tc>
          <w:tcPr>
            <w:tcW w:w="12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9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r>
      <w:tr>
        <w:trPr>
          <w:trHeight w:val="21"/>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9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Section 1350 Certification of Chief Executive Officer and Chief Financial Officer</w:t>
            </w:r>
          </w:p>
        </w:tc>
      </w:tr>
      <w:tr>
        <w:trPr>
          <w:trHeight w:val="21"/>
        </w:trPr>
        <w:tc>
          <w:tcPr>
            <w:tcW w:w="1260" w:type="dxa"/>
            <w:vAlign w:val="bottom"/>
          </w:tcPr>
          <w:p>
            <w:pPr>
              <w:spacing w:after="0" w:line="20" w:lineRule="exact"/>
              <w:rPr>
                <w:sz w:val="1"/>
                <w:szCs w:val="1"/>
                <w:color w:val="auto"/>
              </w:rPr>
            </w:pPr>
          </w:p>
        </w:tc>
        <w:tc>
          <w:tcPr>
            <w:tcW w:w="472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2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ind w:left="1260" w:hanging="1234"/>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260" w:hanging="1234"/>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1260" w:right="140" w:hanging="1234"/>
        <w:spacing w:after="0" w:line="234"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in accordance with Item 601(a)(5) of Regulation S-K. A copy of any omitted schedule and/or exhibit will be furnished to the SEC on request.</w:t>
      </w:r>
    </w:p>
    <w:p>
      <w:pPr>
        <w:spacing w:after="0" w:line="10" w:lineRule="exact"/>
        <w:rPr>
          <w:sz w:val="20"/>
          <w:szCs w:val="20"/>
          <w:color w:val="auto"/>
        </w:rPr>
      </w:pPr>
    </w:p>
    <w:p>
      <w:pPr>
        <w:ind w:left="1260" w:hanging="1234"/>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were redacted pursuant to Item 601(b)(2)(ii)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260" w:hanging="1234"/>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were redacted pursuant to Item 601(b)(10)(iv)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AVIAT NETWORKS, INC.</w:t>
      </w: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2024</w:t>
      </w:r>
    </w:p>
    <w:p>
      <w:pPr>
        <w:spacing w:after="0" w:line="32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David M.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34290</wp:posOffset>
            </wp:positionV>
            <wp:extent cx="32658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David M. Gray</w:t>
      </w:r>
    </w:p>
    <w:p>
      <w:pPr>
        <w:ind w:left="6120"/>
        <w:spacing w:after="0" w:line="219" w:lineRule="auto"/>
        <w:rPr>
          <w:sz w:val="20"/>
          <w:szCs w:val="20"/>
          <w:color w:val="auto"/>
        </w:rPr>
      </w:pPr>
      <w:r>
        <w:rPr>
          <w:rFonts w:ascii="Times New Roman" w:cs="Times New Roman" w:eastAsia="Times New Roman" w:hAnsi="Times New Roman"/>
          <w:sz w:val="18"/>
          <w:szCs w:val="18"/>
          <w:color w:val="auto"/>
        </w:rPr>
        <w:t>Senior Vice President and Chief Financial Officer (duly authorized</w:t>
      </w:r>
    </w:p>
    <w:p>
      <w:pPr>
        <w:ind w:left="61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332"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 Smith,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December 29, 2023,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2024</w:t>
            </w:r>
          </w:p>
        </w:tc>
        <w:tc>
          <w:tcPr>
            <w:tcW w:w="4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A. Smith</w:t>
            </w:r>
          </w:p>
        </w:tc>
      </w:tr>
      <w:tr>
        <w:trPr>
          <w:trHeight w:val="218"/>
        </w:trPr>
        <w:tc>
          <w:tcPr>
            <w:tcW w:w="63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Peter A. Smith</w:t>
            </w:r>
          </w:p>
        </w:tc>
      </w:tr>
      <w:tr>
        <w:trPr>
          <w:trHeight w:val="234"/>
        </w:trPr>
        <w:tc>
          <w:tcPr>
            <w:tcW w:w="63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 Gray,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December 29, 2023,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2024</w:t>
            </w:r>
          </w:p>
        </w:tc>
        <w:tc>
          <w:tcPr>
            <w:tcW w:w="5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David M. Gray</w:t>
            </w:r>
          </w:p>
        </w:tc>
      </w:tr>
      <w:tr>
        <w:trPr>
          <w:trHeight w:val="218"/>
        </w:trPr>
        <w:tc>
          <w:tcPr>
            <w:tcW w:w="552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David M. Gray</w:t>
            </w:r>
          </w:p>
        </w:tc>
      </w:tr>
      <w:tr>
        <w:trPr>
          <w:trHeight w:val="234"/>
        </w:trPr>
        <w:tc>
          <w:tcPr>
            <w:tcW w:w="55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06" w:lineRule="exact"/>
        <w:rPr>
          <w:sz w:val="20"/>
          <w:szCs w:val="20"/>
          <w:color w:val="auto"/>
        </w:rPr>
      </w:pPr>
    </w:p>
    <w:p>
      <w:pPr>
        <w:jc w:val="center"/>
        <w:spacing w:after="0" w:line="325" w:lineRule="auto"/>
        <w:rPr>
          <w:sz w:val="20"/>
          <w:szCs w:val="20"/>
          <w:color w:val="auto"/>
        </w:rPr>
      </w:pPr>
      <w:r>
        <w:rPr>
          <w:rFonts w:ascii="Times New Roman" w:cs="Times New Roman" w:eastAsia="Times New Roman" w:hAnsi="Times New Roman"/>
          <w:sz w:val="18"/>
          <w:szCs w:val="18"/>
          <w:b w:val="1"/>
          <w:bCs w:val="1"/>
          <w:color w:val="auto"/>
        </w:rPr>
        <w:t>CERTIFICATIONS OF CHIEF EXECUTIVE OFFICER AND PRINCIPAL FINANCIAL OFFICER OF AVIAT NETWORKS, INC. PURSUANT TO TITLE 18 OF THE UNITED STATES CODE SECTION 1350, AS ADOPTED PURSUANT TO SECTION 906 OF THE SARBANES-OXLEY ACT OF 2002</w:t>
      </w: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of Aviat Networks, Inc. (“Aviat Networks”) for the fiscal quarter ended December 29, 2023, as filed with the Securities and Exchange Commission on the date hereof (the “Report”), we, Peter A. Smith, President and Chief Executive Officer of Aviat Networks, and David M. Gray, Senior Vice President and Chief Financial Officer of Aviat Networks, hereby certify, pursuant to Section 906 of the Sarbanes-Oxley Act of 2002, 18 U.S.C. §1350, that:</w:t>
      </w:r>
    </w:p>
    <w:p>
      <w:pPr>
        <w:spacing w:after="0" w:line="13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389"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80" w:type="dxa"/>
            <w:vAlign w:val="bottom"/>
          </w:tcPr>
          <w:p>
            <w:pPr>
              <w:spacing w:after="0"/>
              <w:rPr>
                <w:sz w:val="17"/>
                <w:szCs w:val="17"/>
                <w:color w:val="auto"/>
              </w:rPr>
            </w:pPr>
          </w:p>
        </w:tc>
      </w:tr>
      <w:tr>
        <w:trPr>
          <w:trHeight w:val="234"/>
        </w:trPr>
        <w:tc>
          <w:tcPr>
            <w:tcW w:w="5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February 6, 2024</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A. Smith</w:t>
            </w:r>
          </w:p>
        </w:tc>
      </w:tr>
      <w:tr>
        <w:trPr>
          <w:trHeight w:val="218"/>
        </w:trPr>
        <w:tc>
          <w:tcPr>
            <w:tcW w:w="584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Peter A. Smith</w:t>
            </w:r>
          </w:p>
        </w:tc>
      </w:tr>
      <w:tr>
        <w:trPr>
          <w:trHeight w:val="234"/>
        </w:trPr>
        <w:tc>
          <w:tcPr>
            <w:tcW w:w="58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42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80" w:type="dxa"/>
            <w:vAlign w:val="bottom"/>
          </w:tcPr>
          <w:p>
            <w:pPr>
              <w:spacing w:after="0"/>
              <w:rPr>
                <w:sz w:val="24"/>
                <w:szCs w:val="24"/>
                <w:color w:val="auto"/>
              </w:rPr>
            </w:pPr>
          </w:p>
        </w:tc>
      </w:tr>
      <w:tr>
        <w:trPr>
          <w:trHeight w:val="234"/>
        </w:trPr>
        <w:tc>
          <w:tcPr>
            <w:tcW w:w="5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February 6, 2024</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M. Gray</w:t>
            </w:r>
          </w:p>
        </w:tc>
      </w:tr>
      <w:tr>
        <w:trPr>
          <w:trHeight w:val="218"/>
        </w:trPr>
        <w:tc>
          <w:tcPr>
            <w:tcW w:w="584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David M. Gray</w:t>
            </w:r>
          </w:p>
        </w:tc>
      </w:tr>
      <w:tr>
        <w:trPr>
          <w:trHeight w:val="234"/>
        </w:trPr>
        <w:tc>
          <w:tcPr>
            <w:tcW w:w="58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61"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43" Type="http://schemas.openxmlformats.org/officeDocument/2006/relationships/hyperlink" Target="http://www.sec.gov/Archives/edgar/data/1377789/000119312523139464/d496945dex21.htm" TargetMode="External"/><Relationship Id="rId44" Type="http://schemas.openxmlformats.org/officeDocument/2006/relationships/hyperlink" Target="https://www.sec.gov/Archives/edgar/data/1377789/000119312523286509/d37057dex22.htm" TargetMode="External"/><Relationship Id="rId45" Type="http://schemas.openxmlformats.org/officeDocument/2006/relationships/hyperlink" Target="https://www.sec.gov/Archives/edgar/data/1377789/000137778923000047/amendedrestatedcertificate.htm" TargetMode="External"/><Relationship Id="rId46" Type="http://schemas.openxmlformats.org/officeDocument/2006/relationships/hyperlink" Target="https://www.sec.gov/Archives/edgar/data/1377789/000137778923000020/amendedandrestatedbylaws08.htm" TargetMode="External"/><Relationship Id="rId47" Type="http://schemas.openxmlformats.org/officeDocument/2006/relationships/hyperlink" Target="https://www.sec.gov/Archives/edgar/data/1377789/000119312523286509/d37057dex101.htm" TargetMode="External"/><Relationship Id="rId48" Type="http://schemas.openxmlformats.org/officeDocument/2006/relationships/hyperlink" Target="https://www.sec.gov/Archives/edgar/data/1377789/000119312523286509/d37057dex102.htm" TargetMode="External"/><Relationship Id="rId49" Type="http://schemas.openxmlformats.org/officeDocument/2006/relationships/hyperlink" Target="https://www.sec.gov/Archives/edgar/data/1377789/000119312523286509/d37057dex103.htm" TargetMode="External"/><Relationship Id="rId50" Type="http://schemas.openxmlformats.org/officeDocument/2006/relationships/hyperlink" Target="https://www.sec.gov/Archives/edgar/data/1377789/000119312523286509/d37057dex104.htm" TargetMode="External"/><Relationship Id="rId51" Type="http://schemas.openxmlformats.org/officeDocument/2006/relationships/hyperlink" Target="https://www.sec.gov/Archives/edgar/data/1377789/000119312523286509/d37057dex105.htm" TargetMode="External"/><Relationship Id="rId52" Type="http://schemas.openxmlformats.org/officeDocument/2006/relationships/hyperlink" Target="https://www.sec.gov/Archives/edgar/data/1377789/000119312523286509/d37057dex106.htm" TargetMode="External"/><Relationship Id="rId53" Type="http://schemas.openxmlformats.org/officeDocument/2006/relationships/hyperlink" Target="https://www.sec.gov/Archives/edgar/data/1377789/000119312523286509/d37057dex107.htm" TargetMode="External"/><Relationship Id="rId54" Type="http://schemas.openxmlformats.org/officeDocument/2006/relationships/hyperlink" Target="https://www.sec.gov/Archives/edgar/data/1377789/000119312523286509/d37057dex108.htm" TargetMode="External"/><Relationship Id="rId55" Type="http://schemas.openxmlformats.org/officeDocument/2006/relationships/hyperlink" Target="https://www.sec.gov/Archives/edgar/data/1377789/000119312523286509/d37057dex109.htm" TargetMode="External"/><Relationship Id="rId56" Type="http://schemas.openxmlformats.org/officeDocument/2006/relationships/hyperlink" Target="https://www.sec.gov/Archives/edgar/data/1377789/000119312523286509/d37057dex1010.htm" TargetMode="External"/><Relationship Id="rId57" Type="http://schemas.openxmlformats.org/officeDocument/2006/relationships/hyperlink" Target="https://www.sec.gov/Archives/edgar/data/1377789/000119312523286509/d37057dex1011.htm" TargetMode="External"/><Relationship Id="rId58" Type="http://schemas.openxmlformats.org/officeDocument/2006/relationships/hyperlink" Target="https://www.sec.gov/Archives/edgar/data/1377789/000119312523286509/d37057dex1012.htm" TargetMode="External"/><Relationship Id="rId59" Type="http://schemas.openxmlformats.org/officeDocument/2006/relationships/hyperlink" Target="https://www.sec.gov/Archives/edgar/data/1377789/000119312523138929/d312982dex101.htm" TargetMode="External"/><Relationship Id="rId60" Type="http://schemas.openxmlformats.org/officeDocument/2006/relationships/hyperlink" Target="https://www.sec.gov/Archives/edgar/data/1377789/000137778923000050/firstamendmenttocreditagre.htm" TargetMode="External"/><Relationship Id="rId62" Type="http://schemas.openxmlformats.org/officeDocument/2006/relationships/hyperlink" Target="https://www.sec.gov/Archives/edgar/data/1377789/000137778923000037/independentcontractor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2024-02-06T15:52:06Z</dcterms:created>
  <dcterms:modified xsi:type="dcterms:W3CDTF">2024-02-06T15:52:06Z</dcterms:modified>
</cp:coreProperties>
</file>