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Arial" w:cs="Arial" w:eastAsia="Arial" w:hAnsi="Arial"/>
          <w:sz w:val="20"/>
          <w:szCs w:val="20"/>
          <w:b w:val="1"/>
          <w:bCs w:val="1"/>
          <w:color w:val="auto"/>
        </w:rPr>
        <w:t>SECURITIES AND EXCHANGE COMMISSION</w:t>
      </w:r>
    </w:p>
    <w:p>
      <w:pPr>
        <w:spacing w:after="0" w:line="22" w:lineRule="exact"/>
        <w:rPr>
          <w:sz w:val="24"/>
          <w:szCs w:val="24"/>
          <w:color w:val="auto"/>
        </w:rPr>
      </w:pPr>
    </w:p>
    <w:p>
      <w:pPr>
        <w:jc w:val="center"/>
        <w:ind w:right="1779"/>
        <w:spacing w:after="0"/>
        <w:rPr>
          <w:sz w:val="20"/>
          <w:szCs w:val="20"/>
          <w:color w:val="auto"/>
        </w:rPr>
      </w:pPr>
      <w:r>
        <w:rPr>
          <w:rFonts w:ascii="Arial" w:cs="Arial" w:eastAsia="Arial" w:hAnsi="Arial"/>
          <w:sz w:val="20"/>
          <w:szCs w:val="20"/>
          <w:b w:val="1"/>
          <w:bCs w:val="1"/>
          <w:color w:val="auto"/>
        </w:rPr>
        <w:t>Washington, D.C. 20549</w:t>
      </w:r>
    </w:p>
    <w:p>
      <w:pPr>
        <w:spacing w:after="0" w:line="59" w:lineRule="exact"/>
        <w:rPr>
          <w:sz w:val="24"/>
          <w:szCs w:val="24"/>
          <w:color w:val="auto"/>
        </w:rPr>
      </w:pPr>
    </w:p>
    <w:p>
      <w:pPr>
        <w:ind w:left="3480"/>
        <w:spacing w:after="0"/>
        <w:rPr>
          <w:sz w:val="20"/>
          <w:szCs w:val="20"/>
          <w:color w:val="auto"/>
        </w:rPr>
      </w:pPr>
      <w:r>
        <w:rPr>
          <w:rFonts w:ascii="Arial" w:cs="Arial" w:eastAsia="Arial" w:hAnsi="Arial"/>
          <w:sz w:val="20"/>
          <w:szCs w:val="20"/>
          <w:b w:val="1"/>
          <w:bCs w:val="1"/>
          <w:color w:val="auto"/>
        </w:rPr>
        <w:t>SCHEDULE 13D</w:t>
      </w:r>
    </w:p>
    <w:p>
      <w:pPr>
        <w:spacing w:after="0" w:line="87" w:lineRule="exact"/>
        <w:rPr>
          <w:sz w:val="24"/>
          <w:szCs w:val="24"/>
          <w:color w:val="auto"/>
        </w:rPr>
      </w:pPr>
    </w:p>
    <w:p>
      <w:pPr>
        <w:ind w:left="2500"/>
        <w:spacing w:after="0"/>
        <w:rPr>
          <w:sz w:val="20"/>
          <w:szCs w:val="20"/>
          <w:color w:val="auto"/>
        </w:rPr>
      </w:pPr>
      <w:r>
        <w:rPr>
          <w:rFonts w:ascii="Arial" w:cs="Arial" w:eastAsia="Arial" w:hAnsi="Arial"/>
          <w:sz w:val="20"/>
          <w:szCs w:val="20"/>
          <w:color w:val="auto"/>
        </w:rPr>
        <w:t>Under the Securities Exchange Act of 1934</w:t>
      </w:r>
    </w:p>
    <w:p>
      <w:pPr>
        <w:spacing w:after="0" w:line="16" w:lineRule="exact"/>
        <w:rPr>
          <w:sz w:val="24"/>
          <w:szCs w:val="24"/>
          <w:color w:val="auto"/>
        </w:rPr>
      </w:pPr>
    </w:p>
    <w:p>
      <w:pPr>
        <w:ind w:left="3380"/>
        <w:spacing w:after="0"/>
        <w:rPr>
          <w:sz w:val="20"/>
          <w:szCs w:val="20"/>
          <w:color w:val="auto"/>
        </w:rPr>
      </w:pPr>
      <w:r>
        <w:rPr>
          <w:rFonts w:ascii="Arial" w:cs="Arial" w:eastAsia="Arial" w:hAnsi="Arial"/>
          <w:sz w:val="20"/>
          <w:szCs w:val="20"/>
          <w:color w:val="auto"/>
        </w:rPr>
        <w:t>(Amendment No. 1)*</w:t>
      </w:r>
    </w:p>
    <w:p>
      <w:pPr>
        <w:spacing w:after="0" w:line="180" w:lineRule="exact"/>
        <w:rPr>
          <w:sz w:val="24"/>
          <w:szCs w:val="24"/>
          <w:color w:val="auto"/>
        </w:rPr>
      </w:pPr>
    </w:p>
    <w:p>
      <w:pPr>
        <w:ind w:left="2480"/>
        <w:spacing w:after="0"/>
        <w:rPr>
          <w:sz w:val="20"/>
          <w:szCs w:val="20"/>
          <w:color w:val="auto"/>
        </w:rPr>
      </w:pPr>
      <w:r>
        <w:rPr>
          <w:rFonts w:ascii="Arial" w:cs="Arial" w:eastAsia="Arial" w:hAnsi="Arial"/>
          <w:sz w:val="20"/>
          <w:szCs w:val="20"/>
          <w:b w:val="1"/>
          <w:bCs w:val="1"/>
          <w:u w:val="single" w:color="auto"/>
          <w:color w:val="auto"/>
        </w:rPr>
        <w:t>HARRIS STRATEX NETWORKS, INC.</w:t>
      </w:r>
    </w:p>
    <w:p>
      <w:pPr>
        <w:spacing w:after="0" w:line="22" w:lineRule="exact"/>
        <w:rPr>
          <w:sz w:val="24"/>
          <w:szCs w:val="24"/>
          <w:color w:val="auto"/>
        </w:rPr>
      </w:pPr>
    </w:p>
    <w:p>
      <w:pPr>
        <w:ind w:left="3560"/>
        <w:spacing w:after="0"/>
        <w:rPr>
          <w:sz w:val="20"/>
          <w:szCs w:val="20"/>
          <w:color w:val="auto"/>
        </w:rPr>
      </w:pPr>
      <w:r>
        <w:rPr>
          <w:rFonts w:ascii="Arial" w:cs="Arial" w:eastAsia="Arial" w:hAnsi="Arial"/>
          <w:sz w:val="20"/>
          <w:szCs w:val="20"/>
          <w:color w:val="auto"/>
        </w:rPr>
        <w:t>(Name of Issuer)</w:t>
      </w:r>
    </w:p>
    <w:p>
      <w:pPr>
        <w:spacing w:after="0" w:line="180" w:lineRule="exact"/>
        <w:rPr>
          <w:sz w:val="24"/>
          <w:szCs w:val="24"/>
          <w:color w:val="auto"/>
        </w:rPr>
      </w:pPr>
    </w:p>
    <w:p>
      <w:pPr>
        <w:ind w:left="3580"/>
        <w:spacing w:after="0"/>
        <w:rPr>
          <w:sz w:val="20"/>
          <w:szCs w:val="20"/>
          <w:color w:val="auto"/>
        </w:rPr>
      </w:pPr>
      <w:r>
        <w:rPr>
          <w:rFonts w:ascii="Arial" w:cs="Arial" w:eastAsia="Arial" w:hAnsi="Arial"/>
          <w:sz w:val="20"/>
          <w:szCs w:val="20"/>
          <w:b w:val="1"/>
          <w:bCs w:val="1"/>
          <w:u w:val="single" w:color="auto"/>
          <w:color w:val="auto"/>
        </w:rPr>
        <w:t>Common Stock</w:t>
      </w:r>
    </w:p>
    <w:p>
      <w:pPr>
        <w:spacing w:after="0" w:line="22" w:lineRule="exact"/>
        <w:rPr>
          <w:sz w:val="24"/>
          <w:szCs w:val="24"/>
          <w:color w:val="auto"/>
        </w:rPr>
      </w:pPr>
    </w:p>
    <w:p>
      <w:pPr>
        <w:ind w:left="3100"/>
        <w:spacing w:after="0"/>
        <w:rPr>
          <w:sz w:val="20"/>
          <w:szCs w:val="20"/>
          <w:color w:val="auto"/>
        </w:rPr>
      </w:pPr>
      <w:r>
        <w:rPr>
          <w:rFonts w:ascii="Arial" w:cs="Arial" w:eastAsia="Arial" w:hAnsi="Arial"/>
          <w:sz w:val="20"/>
          <w:szCs w:val="20"/>
          <w:color w:val="auto"/>
        </w:rPr>
        <w:t>(Title of Class of Securities)</w:t>
      </w:r>
    </w:p>
    <w:p>
      <w:pPr>
        <w:spacing w:after="0" w:line="167" w:lineRule="exact"/>
        <w:rPr>
          <w:sz w:val="24"/>
          <w:szCs w:val="24"/>
          <w:color w:val="auto"/>
        </w:rPr>
      </w:pPr>
    </w:p>
    <w:p>
      <w:pPr>
        <w:ind w:left="3760"/>
        <w:spacing w:after="0"/>
        <w:rPr>
          <w:sz w:val="20"/>
          <w:szCs w:val="20"/>
          <w:color w:val="auto"/>
        </w:rPr>
      </w:pPr>
      <w:r>
        <w:rPr>
          <w:rFonts w:ascii="Arial" w:cs="Arial" w:eastAsia="Arial" w:hAnsi="Arial"/>
          <w:sz w:val="20"/>
          <w:szCs w:val="20"/>
          <w:b w:val="1"/>
          <w:bCs w:val="1"/>
          <w:u w:val="single" w:color="auto"/>
          <w:color w:val="auto"/>
        </w:rPr>
        <w:t>41457P106</w:t>
      </w:r>
    </w:p>
    <w:p>
      <w:pPr>
        <w:spacing w:after="0" w:line="22" w:lineRule="exact"/>
        <w:rPr>
          <w:sz w:val="24"/>
          <w:szCs w:val="24"/>
          <w:color w:val="auto"/>
        </w:rPr>
      </w:pPr>
    </w:p>
    <w:p>
      <w:pPr>
        <w:ind w:left="3520"/>
        <w:spacing w:after="0"/>
        <w:rPr>
          <w:sz w:val="20"/>
          <w:szCs w:val="20"/>
          <w:color w:val="auto"/>
        </w:rPr>
      </w:pPr>
      <w:r>
        <w:rPr>
          <w:rFonts w:ascii="Arial" w:cs="Arial" w:eastAsia="Arial" w:hAnsi="Arial"/>
          <w:sz w:val="20"/>
          <w:szCs w:val="20"/>
          <w:color w:val="auto"/>
        </w:rPr>
        <w:t>(CUSIP Number)</w:t>
      </w:r>
    </w:p>
    <w:p>
      <w:pPr>
        <w:spacing w:after="0" w:line="180" w:lineRule="exact"/>
        <w:rPr>
          <w:sz w:val="24"/>
          <w:szCs w:val="24"/>
          <w:color w:val="auto"/>
        </w:rPr>
      </w:pPr>
    </w:p>
    <w:p>
      <w:pPr>
        <w:ind w:left="3600"/>
        <w:spacing w:after="0"/>
        <w:rPr>
          <w:sz w:val="20"/>
          <w:szCs w:val="20"/>
          <w:color w:val="auto"/>
        </w:rPr>
      </w:pPr>
      <w:r>
        <w:rPr>
          <w:rFonts w:ascii="Arial" w:cs="Arial" w:eastAsia="Arial" w:hAnsi="Arial"/>
          <w:sz w:val="20"/>
          <w:szCs w:val="20"/>
          <w:b w:val="1"/>
          <w:bCs w:val="1"/>
          <w:color w:val="auto"/>
        </w:rPr>
        <w:t>John P. Flakne</w:t>
      </w:r>
    </w:p>
    <w:p>
      <w:pPr>
        <w:spacing w:after="0" w:line="21" w:lineRule="exact"/>
        <w:rPr>
          <w:sz w:val="24"/>
          <w:szCs w:val="24"/>
          <w:color w:val="auto"/>
        </w:rPr>
      </w:pPr>
    </w:p>
    <w:p>
      <w:pPr>
        <w:jc w:val="center"/>
        <w:ind w:right="1779"/>
        <w:spacing w:after="0"/>
        <w:rPr>
          <w:sz w:val="20"/>
          <w:szCs w:val="20"/>
          <w:color w:val="auto"/>
        </w:rPr>
      </w:pPr>
      <w:r>
        <w:rPr>
          <w:rFonts w:ascii="Arial" w:cs="Arial" w:eastAsia="Arial" w:hAnsi="Arial"/>
          <w:sz w:val="20"/>
          <w:szCs w:val="20"/>
          <w:b w:val="1"/>
          <w:bCs w:val="1"/>
          <w:color w:val="auto"/>
        </w:rPr>
        <w:t>Kopp Investment Advisors, LLC</w:t>
      </w:r>
    </w:p>
    <w:p>
      <w:pPr>
        <w:jc w:val="center"/>
        <w:ind w:right="1779"/>
        <w:spacing w:after="0"/>
        <w:rPr>
          <w:sz w:val="20"/>
          <w:szCs w:val="20"/>
          <w:color w:val="auto"/>
        </w:rPr>
      </w:pPr>
      <w:r>
        <w:rPr>
          <w:rFonts w:ascii="Arial" w:cs="Arial" w:eastAsia="Arial" w:hAnsi="Arial"/>
          <w:sz w:val="20"/>
          <w:szCs w:val="20"/>
          <w:b w:val="1"/>
          <w:bCs w:val="1"/>
          <w:color w:val="auto"/>
        </w:rPr>
        <w:t>7701 France Avenue South, Suite 500</w:t>
      </w:r>
    </w:p>
    <w:p>
      <w:pPr>
        <w:jc w:val="center"/>
        <w:ind w:right="1779"/>
        <w:spacing w:after="0"/>
        <w:rPr>
          <w:sz w:val="20"/>
          <w:szCs w:val="20"/>
          <w:color w:val="auto"/>
        </w:rPr>
      </w:pPr>
      <w:r>
        <w:rPr>
          <w:rFonts w:ascii="Arial" w:cs="Arial" w:eastAsia="Arial" w:hAnsi="Arial"/>
          <w:sz w:val="20"/>
          <w:szCs w:val="20"/>
          <w:b w:val="1"/>
          <w:bCs w:val="1"/>
          <w:color w:val="auto"/>
        </w:rPr>
        <w:t>Edina, MN 55435</w:t>
      </w:r>
    </w:p>
    <w:p>
      <w:pPr>
        <w:jc w:val="center"/>
        <w:ind w:right="1779"/>
        <w:spacing w:after="0"/>
        <w:rPr>
          <w:sz w:val="20"/>
          <w:szCs w:val="20"/>
          <w:color w:val="auto"/>
        </w:rPr>
      </w:pPr>
      <w:r>
        <w:rPr>
          <w:rFonts w:ascii="Arial" w:cs="Arial" w:eastAsia="Arial" w:hAnsi="Arial"/>
          <w:sz w:val="20"/>
          <w:szCs w:val="20"/>
          <w:b w:val="1"/>
          <w:bCs w:val="1"/>
          <w:color w:val="auto"/>
        </w:rPr>
        <w:t>(952) 841-0400</w:t>
      </w:r>
    </w:p>
    <w:p>
      <w:pPr>
        <w:spacing w:after="0" w:line="186" w:lineRule="exact"/>
        <w:rPr>
          <w:sz w:val="24"/>
          <w:szCs w:val="24"/>
          <w:color w:val="auto"/>
        </w:rPr>
      </w:pPr>
    </w:p>
    <w:p>
      <w:pPr>
        <w:jc w:val="center"/>
        <w:ind w:right="1779"/>
        <w:spacing w:after="0"/>
        <w:rPr>
          <w:sz w:val="20"/>
          <w:szCs w:val="20"/>
          <w:color w:val="auto"/>
        </w:rPr>
      </w:pPr>
      <w:r>
        <w:rPr>
          <w:rFonts w:ascii="Arial" w:cs="Arial" w:eastAsia="Arial" w:hAnsi="Arial"/>
          <w:sz w:val="20"/>
          <w:szCs w:val="20"/>
          <w:color w:val="auto"/>
        </w:rPr>
        <w:t>Copy to:</w:t>
      </w:r>
    </w:p>
    <w:p>
      <w:pPr>
        <w:spacing w:after="0" w:line="15" w:lineRule="exact"/>
        <w:rPr>
          <w:sz w:val="24"/>
          <w:szCs w:val="24"/>
          <w:color w:val="auto"/>
        </w:rPr>
      </w:pPr>
    </w:p>
    <w:p>
      <w:pPr>
        <w:jc w:val="center"/>
        <w:ind w:right="1779"/>
        <w:spacing w:after="0"/>
        <w:rPr>
          <w:sz w:val="20"/>
          <w:szCs w:val="20"/>
          <w:color w:val="auto"/>
        </w:rPr>
      </w:pPr>
      <w:r>
        <w:rPr>
          <w:rFonts w:ascii="Arial" w:cs="Arial" w:eastAsia="Arial" w:hAnsi="Arial"/>
          <w:sz w:val="20"/>
          <w:szCs w:val="20"/>
          <w:b w:val="1"/>
          <w:bCs w:val="1"/>
          <w:color w:val="auto"/>
        </w:rPr>
        <w:t>Carol A. Gehl</w:t>
      </w:r>
    </w:p>
    <w:p>
      <w:pPr>
        <w:jc w:val="center"/>
        <w:ind w:right="1779"/>
        <w:spacing w:after="0"/>
        <w:rPr>
          <w:sz w:val="20"/>
          <w:szCs w:val="20"/>
          <w:color w:val="auto"/>
        </w:rPr>
      </w:pPr>
      <w:r>
        <w:rPr>
          <w:rFonts w:ascii="Arial" w:cs="Arial" w:eastAsia="Arial" w:hAnsi="Arial"/>
          <w:sz w:val="20"/>
          <w:szCs w:val="20"/>
          <w:b w:val="1"/>
          <w:bCs w:val="1"/>
          <w:color w:val="auto"/>
        </w:rPr>
        <w:t>Godfrey &amp; Kahn, S.C.</w:t>
      </w:r>
    </w:p>
    <w:p>
      <w:pPr>
        <w:jc w:val="center"/>
        <w:ind w:right="1779"/>
        <w:spacing w:after="0"/>
        <w:rPr>
          <w:sz w:val="20"/>
          <w:szCs w:val="20"/>
          <w:color w:val="auto"/>
        </w:rPr>
      </w:pPr>
      <w:r>
        <w:rPr>
          <w:rFonts w:ascii="Arial" w:cs="Arial" w:eastAsia="Arial" w:hAnsi="Arial"/>
          <w:sz w:val="20"/>
          <w:szCs w:val="20"/>
          <w:b w:val="1"/>
          <w:bCs w:val="1"/>
          <w:color w:val="auto"/>
        </w:rPr>
        <w:t>780 North Water Street</w:t>
      </w:r>
    </w:p>
    <w:p>
      <w:pPr>
        <w:jc w:val="center"/>
        <w:ind w:right="1779"/>
        <w:spacing w:after="0"/>
        <w:rPr>
          <w:sz w:val="20"/>
          <w:szCs w:val="20"/>
          <w:color w:val="auto"/>
        </w:rPr>
      </w:pPr>
      <w:r>
        <w:rPr>
          <w:rFonts w:ascii="Arial" w:cs="Arial" w:eastAsia="Arial" w:hAnsi="Arial"/>
          <w:sz w:val="20"/>
          <w:szCs w:val="20"/>
          <w:b w:val="1"/>
          <w:bCs w:val="1"/>
          <w:color w:val="auto"/>
        </w:rPr>
        <w:t>Milwaukee, WI 53202</w:t>
      </w:r>
    </w:p>
    <w:p>
      <w:pPr>
        <w:jc w:val="center"/>
        <w:ind w:right="1779"/>
        <w:spacing w:after="0"/>
        <w:rPr>
          <w:sz w:val="20"/>
          <w:szCs w:val="20"/>
          <w:color w:val="auto"/>
        </w:rPr>
      </w:pPr>
      <w:r>
        <w:rPr>
          <w:rFonts w:ascii="Arial" w:cs="Arial" w:eastAsia="Arial" w:hAnsi="Arial"/>
          <w:sz w:val="20"/>
          <w:szCs w:val="20"/>
          <w:b w:val="1"/>
          <w:bCs w:val="1"/>
          <w:color w:val="auto"/>
        </w:rPr>
        <w:t>(414) 273-3500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2131060</wp:posOffset>
            </wp:positionH>
            <wp:positionV relativeFrom="paragraph">
              <wp:posOffset>-24765</wp:posOffset>
            </wp:positionV>
            <wp:extent cx="10998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99820" cy="8890"/>
                    </a:xfrm>
                    <a:prstGeom prst="rect">
                      <a:avLst/>
                    </a:prstGeom>
                    <a:noFill/>
                  </pic:spPr>
                </pic:pic>
              </a:graphicData>
            </a:graphic>
          </wp:anchor>
        </w:drawing>
      </w:r>
    </w:p>
    <w:p>
      <w:pPr>
        <w:jc w:val="center"/>
        <w:ind w:right="1779"/>
        <w:spacing w:after="0"/>
        <w:rPr>
          <w:sz w:val="20"/>
          <w:szCs w:val="20"/>
          <w:color w:val="auto"/>
        </w:rPr>
      </w:pPr>
      <w:r>
        <w:rPr>
          <w:rFonts w:ascii="Arial" w:cs="Arial" w:eastAsia="Arial" w:hAnsi="Arial"/>
          <w:sz w:val="16"/>
          <w:szCs w:val="16"/>
          <w:color w:val="auto"/>
        </w:rPr>
        <w:t>(Name, Address and Telephone Number of Persons Authorized to Receive Notices and Communications)</w:t>
      </w:r>
    </w:p>
    <w:p>
      <w:pPr>
        <w:spacing w:after="0" w:line="213" w:lineRule="exact"/>
        <w:rPr>
          <w:sz w:val="24"/>
          <w:szCs w:val="24"/>
          <w:color w:val="auto"/>
        </w:rPr>
      </w:pPr>
    </w:p>
    <w:p>
      <w:pPr>
        <w:jc w:val="center"/>
        <w:ind w:right="1779"/>
        <w:spacing w:after="0"/>
        <w:rPr>
          <w:sz w:val="20"/>
          <w:szCs w:val="20"/>
          <w:color w:val="auto"/>
        </w:rPr>
      </w:pPr>
      <w:r>
        <w:rPr>
          <w:rFonts w:ascii="Arial" w:cs="Arial" w:eastAsia="Arial" w:hAnsi="Arial"/>
          <w:sz w:val="20"/>
          <w:szCs w:val="20"/>
          <w:b w:val="1"/>
          <w:bCs w:val="1"/>
          <w:u w:val="single" w:color="auto"/>
          <w:color w:val="auto"/>
        </w:rPr>
        <w:t>August 24, 2007</w:t>
      </w:r>
    </w:p>
    <w:p>
      <w:pPr>
        <w:spacing w:after="0" w:line="22" w:lineRule="exact"/>
        <w:rPr>
          <w:sz w:val="24"/>
          <w:szCs w:val="24"/>
          <w:color w:val="auto"/>
        </w:rPr>
      </w:pPr>
    </w:p>
    <w:p>
      <w:pPr>
        <w:jc w:val="center"/>
        <w:ind w:right="1779"/>
        <w:spacing w:after="0"/>
        <w:rPr>
          <w:sz w:val="20"/>
          <w:szCs w:val="20"/>
          <w:color w:val="auto"/>
        </w:rPr>
      </w:pPr>
      <w:r>
        <w:rPr>
          <w:rFonts w:ascii="Arial" w:cs="Arial" w:eastAsia="Arial" w:hAnsi="Arial"/>
          <w:sz w:val="20"/>
          <w:szCs w:val="20"/>
          <w:color w:val="auto"/>
        </w:rPr>
        <w:t>(Date of Event which Requires Filing of this Statement)</w:t>
      </w:r>
    </w:p>
    <w:p>
      <w:pPr>
        <w:spacing w:after="0" w:line="186" w:lineRule="exact"/>
        <w:rPr>
          <w:sz w:val="24"/>
          <w:szCs w:val="24"/>
          <w:color w:val="auto"/>
        </w:rPr>
      </w:pPr>
    </w:p>
    <w:p>
      <w:pPr>
        <w:jc w:val="both"/>
        <w:ind w:right="1999"/>
        <w:spacing w:after="0" w:line="250" w:lineRule="auto"/>
        <w:rPr>
          <w:sz w:val="20"/>
          <w:szCs w:val="20"/>
          <w:color w:val="auto"/>
        </w:rPr>
      </w:pPr>
      <w:r>
        <w:rPr>
          <w:rFonts w:ascii="Arial" w:cs="Arial" w:eastAsia="Arial" w:hAnsi="Arial"/>
          <w:sz w:val="20"/>
          <w:szCs w:val="20"/>
          <w:color w:val="auto"/>
        </w:rPr>
        <w:t>If the filing person has previously filed a statement on Schedule 13G to report the acquisition that is the subject of this Schedule 13D, and is filing this schedule because of Rule 13d-1(e), 13d-1(f) or 13d-1(g), check the following box [ ].</w:t>
      </w:r>
    </w:p>
    <w:p>
      <w:pPr>
        <w:spacing w:after="0" w:line="173" w:lineRule="exact"/>
        <w:rPr>
          <w:sz w:val="24"/>
          <w:szCs w:val="24"/>
          <w:color w:val="auto"/>
        </w:rPr>
      </w:pPr>
    </w:p>
    <w:p>
      <w:pPr>
        <w:ind w:right="1919" w:firstLine="8"/>
        <w:spacing w:after="0" w:line="250" w:lineRule="auto"/>
        <w:tabs>
          <w:tab w:leader="none" w:pos="148" w:val="left"/>
        </w:tabs>
        <w:numPr>
          <w:ilvl w:val="0"/>
          <w:numId w:val="1"/>
        </w:numPr>
        <w:rPr>
          <w:rFonts w:ascii="Arial" w:cs="Arial" w:eastAsia="Arial" w:hAnsi="Arial"/>
          <w:sz w:val="20"/>
          <w:szCs w:val="20"/>
          <w:color w:val="auto"/>
        </w:rPr>
      </w:pPr>
      <w:r>
        <w:rPr>
          <w:rFonts w:ascii="Arial" w:cs="Arial" w:eastAsia="Arial" w:hAnsi="Arial"/>
          <w:sz w:val="20"/>
          <w:szCs w:val="20"/>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9" w:lineRule="exact"/>
        <w:rPr>
          <w:sz w:val="24"/>
          <w:szCs w:val="24"/>
          <w:color w:val="auto"/>
        </w:rPr>
      </w:pPr>
    </w:p>
    <w:p>
      <w:pPr>
        <w:ind w:right="1839"/>
        <w:spacing w:after="0" w:line="246" w:lineRule="auto"/>
        <w:rPr>
          <w:sz w:val="20"/>
          <w:szCs w:val="20"/>
          <w:color w:val="auto"/>
        </w:rPr>
      </w:pPr>
      <w:r>
        <w:rPr>
          <w:rFonts w:ascii="Arial" w:cs="Arial" w:eastAsia="Arial" w:hAnsi="Arial"/>
          <w:sz w:val="20"/>
          <w:szCs w:val="20"/>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225" w:right="1440" w:bottom="1440" w:gutter="0" w:footer="0" w:header="0"/>
        </w:sectPr>
      </w:pPr>
    </w:p>
    <w:bookmarkStart w:id="1" w:name="page2"/>
    <w:bookmarkEnd w:id="1"/>
    <w:p>
      <w:pPr>
        <w:ind w:left="3480"/>
        <w:spacing w:after="0"/>
        <w:rPr>
          <w:sz w:val="20"/>
          <w:szCs w:val="20"/>
          <w:color w:val="auto"/>
        </w:rPr>
      </w:pPr>
      <w:r>
        <w:rPr>
          <w:rFonts w:ascii="Arial" w:cs="Arial" w:eastAsia="Arial" w:hAnsi="Arial"/>
          <w:sz w:val="20"/>
          <w:szCs w:val="20"/>
          <w:b w:val="1"/>
          <w:bCs w:val="1"/>
          <w:color w:val="auto"/>
        </w:rPr>
        <w:t>SCHEDULE 13D</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CUSIP No. </w:t>
      </w:r>
      <w:r>
        <w:rPr>
          <w:rFonts w:ascii="Arial" w:cs="Arial" w:eastAsia="Arial" w:hAnsi="Arial"/>
          <w:sz w:val="20"/>
          <w:szCs w:val="20"/>
          <w:b w:val="1"/>
          <w:bCs w:val="1"/>
          <w:u w:val="single" w:color="auto"/>
          <w:color w:val="auto"/>
        </w:rPr>
        <w:t>41457P106</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l) Name of Reporting Person</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Kopp Investment Advisors, LLC</w:t>
      </w:r>
    </w:p>
    <w:p>
      <w:pPr>
        <w:spacing w:after="0" w:line="195" w:lineRule="exact"/>
        <w:rPr>
          <w:sz w:val="20"/>
          <w:szCs w:val="20"/>
          <w:color w:val="auto"/>
        </w:rPr>
      </w:pPr>
    </w:p>
    <w:p>
      <w:pPr>
        <w:ind w:left="220" w:hanging="212"/>
        <w:spacing w:after="0"/>
        <w:tabs>
          <w:tab w:leader="none" w:pos="220" w:val="left"/>
        </w:tabs>
        <w:numPr>
          <w:ilvl w:val="0"/>
          <w:numId w:val="2"/>
        </w:numPr>
        <w:rPr>
          <w:rFonts w:ascii="Arial" w:cs="Arial" w:eastAsia="Arial" w:hAnsi="Arial"/>
          <w:sz w:val="20"/>
          <w:szCs w:val="20"/>
          <w:color w:val="auto"/>
        </w:rPr>
      </w:pPr>
      <w:r>
        <w:rPr>
          <w:rFonts w:ascii="Arial" w:cs="Arial" w:eastAsia="Arial" w:hAnsi="Arial"/>
          <w:sz w:val="20"/>
          <w:szCs w:val="20"/>
          <w:color w:val="auto"/>
        </w:rPr>
        <w:t>Check the Appropriate Box if a Member of a Group</w:t>
      </w:r>
    </w:p>
    <w:p>
      <w:pPr>
        <w:spacing w:after="0" w:line="202" w:lineRule="exact"/>
        <w:rPr>
          <w:rFonts w:ascii="Arial" w:cs="Arial" w:eastAsia="Arial" w:hAnsi="Arial"/>
          <w:sz w:val="20"/>
          <w:szCs w:val="20"/>
          <w:color w:val="auto"/>
        </w:rPr>
      </w:pPr>
    </w:p>
    <w:p>
      <w:pPr>
        <w:ind w:left="1020" w:hanging="364"/>
        <w:spacing w:after="0"/>
        <w:tabs>
          <w:tab w:leader="none" w:pos="1020" w:val="left"/>
        </w:tabs>
        <w:numPr>
          <w:ilvl w:val="1"/>
          <w:numId w:val="2"/>
        </w:numPr>
        <w:rPr>
          <w:rFonts w:ascii="Arial" w:cs="Arial" w:eastAsia="Arial" w:hAnsi="Arial"/>
          <w:sz w:val="20"/>
          <w:szCs w:val="20"/>
          <w:color w:val="auto"/>
        </w:rPr>
      </w:pPr>
      <w:r>
        <w:rPr>
          <w:rFonts w:ascii="Arial" w:cs="Arial" w:eastAsia="Arial" w:hAnsi="Arial"/>
          <w:sz w:val="20"/>
          <w:szCs w:val="20"/>
          <w:color w:val="auto"/>
        </w:rPr>
        <w:t>[  ]</w:t>
      </w:r>
    </w:p>
    <w:p>
      <w:pPr>
        <w:spacing w:after="0" w:line="202" w:lineRule="exact"/>
        <w:rPr>
          <w:rFonts w:ascii="Arial" w:cs="Arial" w:eastAsia="Arial" w:hAnsi="Arial"/>
          <w:sz w:val="20"/>
          <w:szCs w:val="20"/>
          <w:color w:val="auto"/>
        </w:rPr>
      </w:pPr>
    </w:p>
    <w:p>
      <w:pPr>
        <w:ind w:left="1040" w:hanging="384"/>
        <w:spacing w:after="0"/>
        <w:tabs>
          <w:tab w:leader="none" w:pos="1040" w:val="left"/>
        </w:tabs>
        <w:numPr>
          <w:ilvl w:val="1"/>
          <w:numId w:val="2"/>
        </w:numPr>
        <w:rPr>
          <w:rFonts w:ascii="Arial" w:cs="Arial" w:eastAsia="Arial" w:hAnsi="Arial"/>
          <w:sz w:val="20"/>
          <w:szCs w:val="20"/>
          <w:color w:val="auto"/>
        </w:rPr>
      </w:pPr>
      <w:r>
        <w:rPr>
          <w:rFonts w:ascii="Arial" w:cs="Arial" w:eastAsia="Arial" w:hAnsi="Arial"/>
          <w:sz w:val="20"/>
          <w:szCs w:val="20"/>
          <w:color w:val="auto"/>
        </w:rPr>
        <w:t>[  ]</w:t>
      </w:r>
    </w:p>
    <w:p>
      <w:pPr>
        <w:spacing w:after="0" w:line="188" w:lineRule="exact"/>
        <w:rPr>
          <w:rFonts w:ascii="Arial" w:cs="Arial" w:eastAsia="Arial" w:hAnsi="Arial"/>
          <w:sz w:val="20"/>
          <w:szCs w:val="20"/>
          <w:color w:val="auto"/>
        </w:rPr>
      </w:pPr>
    </w:p>
    <w:p>
      <w:pPr>
        <w:ind w:left="220" w:hanging="212"/>
        <w:spacing w:after="0"/>
        <w:tabs>
          <w:tab w:leader="none" w:pos="220" w:val="left"/>
        </w:tabs>
        <w:numPr>
          <w:ilvl w:val="0"/>
          <w:numId w:val="2"/>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02" w:lineRule="exact"/>
        <w:rPr>
          <w:rFonts w:ascii="Arial" w:cs="Arial" w:eastAsia="Arial" w:hAnsi="Arial"/>
          <w:sz w:val="20"/>
          <w:szCs w:val="20"/>
          <w:color w:val="auto"/>
        </w:rPr>
      </w:pPr>
    </w:p>
    <w:p>
      <w:pPr>
        <w:ind w:left="220" w:hanging="212"/>
        <w:spacing w:after="0"/>
        <w:tabs>
          <w:tab w:leader="none" w:pos="220" w:val="left"/>
        </w:tabs>
        <w:numPr>
          <w:ilvl w:val="0"/>
          <w:numId w:val="2"/>
        </w:numPr>
        <w:rPr>
          <w:rFonts w:ascii="Arial" w:cs="Arial" w:eastAsia="Arial" w:hAnsi="Arial"/>
          <w:sz w:val="20"/>
          <w:szCs w:val="20"/>
          <w:color w:val="auto"/>
        </w:rPr>
      </w:pPr>
      <w:r>
        <w:rPr>
          <w:rFonts w:ascii="Arial" w:cs="Arial" w:eastAsia="Arial" w:hAnsi="Arial"/>
          <w:sz w:val="20"/>
          <w:szCs w:val="20"/>
          <w:color w:val="auto"/>
        </w:rPr>
        <w:t>Source of Funds</w:t>
      </w:r>
    </w:p>
    <w:p>
      <w:pPr>
        <w:spacing w:after="0" w:line="196" w:lineRule="exact"/>
        <w:rPr>
          <w:sz w:val="20"/>
          <w:szCs w:val="20"/>
          <w:color w:val="auto"/>
        </w:rPr>
      </w:pPr>
    </w:p>
    <w:p>
      <w:pPr>
        <w:ind w:left="1080" w:hanging="424"/>
        <w:spacing w:after="0"/>
        <w:tabs>
          <w:tab w:leader="none" w:pos="1080" w:val="left"/>
        </w:tabs>
        <w:numPr>
          <w:ilvl w:val="1"/>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Client Funds</w:t>
      </w:r>
    </w:p>
    <w:p>
      <w:pPr>
        <w:spacing w:after="0" w:line="194" w:lineRule="exact"/>
        <w:rPr>
          <w:rFonts w:ascii="Arial" w:cs="Arial" w:eastAsia="Arial" w:hAnsi="Arial"/>
          <w:sz w:val="20"/>
          <w:szCs w:val="20"/>
          <w:b w:val="1"/>
          <w:bCs w:val="1"/>
          <w:color w:val="auto"/>
        </w:rPr>
      </w:pPr>
    </w:p>
    <w:p>
      <w:pPr>
        <w:ind w:left="220" w:hanging="212"/>
        <w:spacing w:after="0"/>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 ]</w:t>
      </w:r>
    </w:p>
    <w:p>
      <w:pPr>
        <w:spacing w:after="0" w:line="225" w:lineRule="exact"/>
        <w:rPr>
          <w:rFonts w:ascii="Arial" w:cs="Arial" w:eastAsia="Arial" w:hAnsi="Arial"/>
          <w:sz w:val="18"/>
          <w:szCs w:val="18"/>
          <w:color w:val="auto"/>
        </w:rPr>
      </w:pPr>
    </w:p>
    <w:p>
      <w:pPr>
        <w:ind w:left="220" w:hanging="212"/>
        <w:spacing w:after="0"/>
        <w:tabs>
          <w:tab w:leader="none" w:pos="220" w:val="left"/>
        </w:tabs>
        <w:numPr>
          <w:ilvl w:val="0"/>
          <w:numId w:val="4"/>
        </w:numPr>
        <w:rPr>
          <w:rFonts w:ascii="Arial" w:cs="Arial" w:eastAsia="Arial" w:hAnsi="Arial"/>
          <w:sz w:val="20"/>
          <w:szCs w:val="20"/>
          <w:color w:val="auto"/>
        </w:rPr>
      </w:pPr>
      <w:r>
        <w:rPr>
          <w:rFonts w:ascii="Arial" w:cs="Arial" w:eastAsia="Arial" w:hAnsi="Arial"/>
          <w:sz w:val="20"/>
          <w:szCs w:val="20"/>
          <w:color w:val="auto"/>
        </w:rPr>
        <w:t>Citizenship or Place of Organization</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Minnesota</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Number of Shares Beneficially Owned By Each Reporting Person With:</w:t>
      </w:r>
    </w:p>
    <w:p>
      <w:pPr>
        <w:spacing w:after="0" w:line="318"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380" w:type="dxa"/>
            <w:vAlign w:val="bottom"/>
          </w:tcPr>
          <w:p>
            <w:pPr>
              <w:spacing w:after="0"/>
              <w:rPr>
                <w:sz w:val="20"/>
                <w:szCs w:val="20"/>
                <w:color w:val="auto"/>
              </w:rPr>
            </w:pPr>
            <w:r>
              <w:rPr>
                <w:rFonts w:ascii="Arial" w:cs="Arial" w:eastAsia="Arial" w:hAnsi="Arial"/>
                <w:sz w:val="20"/>
                <w:szCs w:val="20"/>
                <w:color w:val="auto"/>
              </w:rPr>
              <w:t>7)</w:t>
            </w:r>
          </w:p>
        </w:tc>
        <w:tc>
          <w:tcPr>
            <w:tcW w:w="2600" w:type="dxa"/>
            <w:vAlign w:val="bottom"/>
          </w:tcPr>
          <w:p>
            <w:pPr>
              <w:ind w:left="100"/>
              <w:spacing w:after="0"/>
              <w:rPr>
                <w:sz w:val="20"/>
                <w:szCs w:val="20"/>
                <w:color w:val="auto"/>
              </w:rPr>
            </w:pPr>
            <w:r>
              <w:rPr>
                <w:rFonts w:ascii="Arial" w:cs="Arial" w:eastAsia="Arial" w:hAnsi="Arial"/>
                <w:sz w:val="20"/>
                <w:szCs w:val="20"/>
                <w:color w:val="auto"/>
              </w:rPr>
              <w:t>Sole Voting Power:</w:t>
            </w: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1,070,989</w:t>
            </w:r>
          </w:p>
        </w:tc>
      </w:tr>
      <w:tr>
        <w:trPr>
          <w:trHeight w:val="486"/>
        </w:trPr>
        <w:tc>
          <w:tcPr>
            <w:tcW w:w="380" w:type="dxa"/>
            <w:vAlign w:val="bottom"/>
          </w:tcPr>
          <w:p>
            <w:pPr>
              <w:spacing w:after="0"/>
              <w:rPr>
                <w:sz w:val="20"/>
                <w:szCs w:val="20"/>
                <w:color w:val="auto"/>
              </w:rPr>
            </w:pPr>
            <w:r>
              <w:rPr>
                <w:rFonts w:ascii="Arial" w:cs="Arial" w:eastAsia="Arial" w:hAnsi="Arial"/>
                <w:sz w:val="20"/>
                <w:szCs w:val="20"/>
                <w:color w:val="auto"/>
              </w:rPr>
              <w:t>8)</w:t>
            </w:r>
          </w:p>
        </w:tc>
        <w:tc>
          <w:tcPr>
            <w:tcW w:w="2600" w:type="dxa"/>
            <w:vAlign w:val="bottom"/>
          </w:tcPr>
          <w:p>
            <w:pPr>
              <w:ind w:left="100"/>
              <w:spacing w:after="0"/>
              <w:rPr>
                <w:sz w:val="20"/>
                <w:szCs w:val="20"/>
                <w:color w:val="auto"/>
              </w:rPr>
            </w:pPr>
            <w:r>
              <w:rPr>
                <w:rFonts w:ascii="Arial" w:cs="Arial" w:eastAsia="Arial" w:hAnsi="Arial"/>
                <w:sz w:val="20"/>
                <w:szCs w:val="20"/>
                <w:color w:val="auto"/>
              </w:rPr>
              <w:t>Shared Voting Power</w:t>
            </w: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None</w:t>
            </w:r>
          </w:p>
        </w:tc>
      </w:tr>
      <w:tr>
        <w:trPr>
          <w:trHeight w:val="486"/>
        </w:trPr>
        <w:tc>
          <w:tcPr>
            <w:tcW w:w="380" w:type="dxa"/>
            <w:vAlign w:val="bottom"/>
          </w:tcPr>
          <w:p>
            <w:pPr>
              <w:spacing w:after="0"/>
              <w:rPr>
                <w:sz w:val="20"/>
                <w:szCs w:val="20"/>
                <w:color w:val="auto"/>
              </w:rPr>
            </w:pPr>
            <w:r>
              <w:rPr>
                <w:rFonts w:ascii="Arial" w:cs="Arial" w:eastAsia="Arial" w:hAnsi="Arial"/>
                <w:sz w:val="20"/>
                <w:szCs w:val="20"/>
                <w:color w:val="auto"/>
              </w:rPr>
              <w:t>9)</w:t>
            </w:r>
          </w:p>
        </w:tc>
        <w:tc>
          <w:tcPr>
            <w:tcW w:w="2600" w:type="dxa"/>
            <w:vAlign w:val="bottom"/>
          </w:tcPr>
          <w:p>
            <w:pPr>
              <w:ind w:left="100"/>
              <w:spacing w:after="0"/>
              <w:rPr>
                <w:sz w:val="20"/>
                <w:szCs w:val="20"/>
                <w:color w:val="auto"/>
              </w:rPr>
            </w:pPr>
            <w:r>
              <w:rPr>
                <w:rFonts w:ascii="Arial" w:cs="Arial" w:eastAsia="Arial" w:hAnsi="Arial"/>
                <w:sz w:val="20"/>
                <w:szCs w:val="20"/>
                <w:color w:val="auto"/>
              </w:rPr>
              <w:t>Sole Dispositive Power:</w:t>
            </w: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None</w:t>
            </w:r>
          </w:p>
        </w:tc>
      </w:tr>
      <w:tr>
        <w:trPr>
          <w:trHeight w:val="486"/>
        </w:trPr>
        <w:tc>
          <w:tcPr>
            <w:tcW w:w="380" w:type="dxa"/>
            <w:vAlign w:val="bottom"/>
          </w:tcPr>
          <w:p>
            <w:pPr>
              <w:spacing w:after="0"/>
              <w:rPr>
                <w:sz w:val="20"/>
                <w:szCs w:val="20"/>
                <w:color w:val="auto"/>
              </w:rPr>
            </w:pPr>
            <w:r>
              <w:rPr>
                <w:rFonts w:ascii="Arial" w:cs="Arial" w:eastAsia="Arial" w:hAnsi="Arial"/>
                <w:sz w:val="20"/>
                <w:szCs w:val="20"/>
                <w:color w:val="auto"/>
              </w:rPr>
              <w:t>10)</w:t>
            </w:r>
          </w:p>
        </w:tc>
        <w:tc>
          <w:tcPr>
            <w:tcW w:w="2600" w:type="dxa"/>
            <w:vAlign w:val="bottom"/>
          </w:tcPr>
          <w:p>
            <w:pPr>
              <w:ind w:left="100"/>
              <w:spacing w:after="0"/>
              <w:rPr>
                <w:sz w:val="20"/>
                <w:szCs w:val="20"/>
                <w:color w:val="auto"/>
              </w:rPr>
            </w:pPr>
            <w:r>
              <w:rPr>
                <w:rFonts w:ascii="Arial" w:cs="Arial" w:eastAsia="Arial" w:hAnsi="Arial"/>
                <w:sz w:val="20"/>
                <w:szCs w:val="20"/>
                <w:color w:val="auto"/>
              </w:rPr>
              <w:t>Shared Dispositive Power:</w:t>
            </w: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831,151</w:t>
            </w:r>
          </w:p>
        </w:tc>
      </w:tr>
    </w:tbl>
    <w:p>
      <w:pPr>
        <w:spacing w:after="0" w:line="263" w:lineRule="exact"/>
        <w:rPr>
          <w:sz w:val="20"/>
          <w:szCs w:val="20"/>
          <w:color w:val="auto"/>
        </w:rPr>
      </w:pPr>
    </w:p>
    <w:p>
      <w:pPr>
        <w:ind w:left="320" w:hanging="312"/>
        <w:spacing w:after="0"/>
        <w:tabs>
          <w:tab w:leader="none" w:pos="320" w:val="left"/>
        </w:tabs>
        <w:numPr>
          <w:ilvl w:val="0"/>
          <w:numId w:val="5"/>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w:t>
      </w:r>
    </w:p>
    <w:p>
      <w:pPr>
        <w:spacing w:after="0" w:line="196"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b w:val="1"/>
          <w:bCs w:val="1"/>
          <w:color w:val="auto"/>
        </w:rPr>
        <w:t>1,070,989</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12) Check if the Aggregate Amount in Row (11) Excludes Certain Shares [  ]</w:t>
      </w:r>
    </w:p>
    <w:p>
      <w:pPr>
        <w:spacing w:after="0" w:line="189" w:lineRule="exact"/>
        <w:rPr>
          <w:sz w:val="20"/>
          <w:szCs w:val="20"/>
          <w:color w:val="auto"/>
        </w:rPr>
      </w:pPr>
    </w:p>
    <w:p>
      <w:pPr>
        <w:ind w:left="320" w:hanging="312"/>
        <w:spacing w:after="0"/>
        <w:tabs>
          <w:tab w:leader="none" w:pos="320" w:val="left"/>
        </w:tabs>
        <w:numPr>
          <w:ilvl w:val="0"/>
          <w:numId w:val="6"/>
        </w:numPr>
        <w:rPr>
          <w:rFonts w:ascii="Arial" w:cs="Arial" w:eastAsia="Arial" w:hAnsi="Arial"/>
          <w:sz w:val="20"/>
          <w:szCs w:val="20"/>
          <w:color w:val="auto"/>
        </w:rPr>
      </w:pPr>
      <w:r>
        <w:rPr>
          <w:rFonts w:ascii="Arial" w:cs="Arial" w:eastAsia="Arial" w:hAnsi="Arial"/>
          <w:sz w:val="20"/>
          <w:szCs w:val="20"/>
          <w:color w:val="auto"/>
        </w:rPr>
        <w:t>Percent of Class Represented By Amount in Row (11)</w:t>
      </w:r>
    </w:p>
    <w:p>
      <w:pPr>
        <w:spacing w:after="0" w:line="196"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b w:val="1"/>
          <w:bCs w:val="1"/>
          <w:color w:val="auto"/>
        </w:rPr>
        <w:t>4.24%</w:t>
      </w:r>
    </w:p>
    <w:p>
      <w:pPr>
        <w:spacing w:after="0" w:line="208" w:lineRule="exact"/>
        <w:rPr>
          <w:rFonts w:ascii="Arial" w:cs="Arial" w:eastAsia="Arial" w:hAnsi="Arial"/>
          <w:sz w:val="20"/>
          <w:szCs w:val="20"/>
          <w:color w:val="auto"/>
        </w:rPr>
      </w:pPr>
    </w:p>
    <w:p>
      <w:pPr>
        <w:ind w:left="320" w:hanging="312"/>
        <w:spacing w:after="0"/>
        <w:tabs>
          <w:tab w:leader="none" w:pos="320" w:val="left"/>
        </w:tabs>
        <w:numPr>
          <w:ilvl w:val="0"/>
          <w:numId w:val="6"/>
        </w:numPr>
        <w:rPr>
          <w:rFonts w:ascii="Arial" w:cs="Arial" w:eastAsia="Arial" w:hAnsi="Arial"/>
          <w:sz w:val="20"/>
          <w:szCs w:val="20"/>
          <w:color w:val="auto"/>
        </w:rPr>
      </w:pPr>
      <w:r>
        <w:rPr>
          <w:rFonts w:ascii="Arial" w:cs="Arial" w:eastAsia="Arial" w:hAnsi="Arial"/>
          <w:sz w:val="20"/>
          <w:szCs w:val="20"/>
          <w:color w:val="auto"/>
        </w:rPr>
        <w:t>Type of Reporting Person</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18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219"/>
          </w:cols>
          <w:pgMar w:left="240" w:top="684" w:right="1440" w:bottom="1440" w:gutter="0" w:footer="0" w:header="0"/>
        </w:sectPr>
      </w:pPr>
    </w:p>
    <w:bookmarkStart w:id="2" w:name="page3"/>
    <w:bookmarkEnd w:id="2"/>
    <w:p>
      <w:pPr>
        <w:ind w:left="3480"/>
        <w:spacing w:after="0"/>
        <w:rPr>
          <w:sz w:val="20"/>
          <w:szCs w:val="20"/>
          <w:color w:val="auto"/>
        </w:rPr>
      </w:pPr>
      <w:r>
        <w:rPr>
          <w:rFonts w:ascii="Arial" w:cs="Arial" w:eastAsia="Arial" w:hAnsi="Arial"/>
          <w:sz w:val="20"/>
          <w:szCs w:val="20"/>
          <w:b w:val="1"/>
          <w:bCs w:val="1"/>
          <w:color w:val="auto"/>
        </w:rPr>
        <w:t>SCHEDULE 13D</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CUSIP No. </w:t>
      </w:r>
      <w:r>
        <w:rPr>
          <w:rFonts w:ascii="Arial" w:cs="Arial" w:eastAsia="Arial" w:hAnsi="Arial"/>
          <w:sz w:val="20"/>
          <w:szCs w:val="20"/>
          <w:b w:val="1"/>
          <w:bCs w:val="1"/>
          <w:u w:val="single" w:color="auto"/>
          <w:color w:val="auto"/>
        </w:rPr>
        <w:t>41457P106</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l) Name of Reporting Person</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Kopp Holding Company, LLC</w:t>
      </w:r>
    </w:p>
    <w:p>
      <w:pPr>
        <w:spacing w:after="0" w:line="195" w:lineRule="exact"/>
        <w:rPr>
          <w:sz w:val="20"/>
          <w:szCs w:val="20"/>
          <w:color w:val="auto"/>
        </w:rPr>
      </w:pPr>
    </w:p>
    <w:p>
      <w:pPr>
        <w:ind w:left="220" w:hanging="212"/>
        <w:spacing w:after="0"/>
        <w:tabs>
          <w:tab w:leader="none" w:pos="220" w:val="left"/>
        </w:tabs>
        <w:numPr>
          <w:ilvl w:val="0"/>
          <w:numId w:val="7"/>
        </w:numPr>
        <w:rPr>
          <w:rFonts w:ascii="Arial" w:cs="Arial" w:eastAsia="Arial" w:hAnsi="Arial"/>
          <w:sz w:val="20"/>
          <w:szCs w:val="20"/>
          <w:color w:val="auto"/>
        </w:rPr>
      </w:pPr>
      <w:r>
        <w:rPr>
          <w:rFonts w:ascii="Arial" w:cs="Arial" w:eastAsia="Arial" w:hAnsi="Arial"/>
          <w:sz w:val="20"/>
          <w:szCs w:val="20"/>
          <w:color w:val="auto"/>
        </w:rPr>
        <w:t>Check the Appropriate Box if a Member of a Group</w:t>
      </w:r>
    </w:p>
    <w:p>
      <w:pPr>
        <w:spacing w:after="0" w:line="202" w:lineRule="exact"/>
        <w:rPr>
          <w:rFonts w:ascii="Arial" w:cs="Arial" w:eastAsia="Arial" w:hAnsi="Arial"/>
          <w:sz w:val="20"/>
          <w:szCs w:val="20"/>
          <w:color w:val="auto"/>
        </w:rPr>
      </w:pPr>
    </w:p>
    <w:p>
      <w:pPr>
        <w:ind w:left="1020" w:hanging="364"/>
        <w:spacing w:after="0"/>
        <w:tabs>
          <w:tab w:leader="none" w:pos="1020" w:val="left"/>
        </w:tabs>
        <w:numPr>
          <w:ilvl w:val="1"/>
          <w:numId w:val="7"/>
        </w:numPr>
        <w:rPr>
          <w:rFonts w:ascii="Arial" w:cs="Arial" w:eastAsia="Arial" w:hAnsi="Arial"/>
          <w:sz w:val="20"/>
          <w:szCs w:val="20"/>
          <w:color w:val="auto"/>
        </w:rPr>
      </w:pPr>
      <w:r>
        <w:rPr>
          <w:rFonts w:ascii="Arial" w:cs="Arial" w:eastAsia="Arial" w:hAnsi="Arial"/>
          <w:sz w:val="20"/>
          <w:szCs w:val="20"/>
          <w:color w:val="auto"/>
        </w:rPr>
        <w:t>[  ]</w:t>
      </w:r>
    </w:p>
    <w:p>
      <w:pPr>
        <w:spacing w:after="0" w:line="202" w:lineRule="exact"/>
        <w:rPr>
          <w:rFonts w:ascii="Arial" w:cs="Arial" w:eastAsia="Arial" w:hAnsi="Arial"/>
          <w:sz w:val="20"/>
          <w:szCs w:val="20"/>
          <w:color w:val="auto"/>
        </w:rPr>
      </w:pPr>
    </w:p>
    <w:p>
      <w:pPr>
        <w:ind w:left="1040" w:hanging="384"/>
        <w:spacing w:after="0"/>
        <w:tabs>
          <w:tab w:leader="none" w:pos="1040" w:val="left"/>
        </w:tabs>
        <w:numPr>
          <w:ilvl w:val="1"/>
          <w:numId w:val="7"/>
        </w:numPr>
        <w:rPr>
          <w:rFonts w:ascii="Arial" w:cs="Arial" w:eastAsia="Arial" w:hAnsi="Arial"/>
          <w:sz w:val="20"/>
          <w:szCs w:val="20"/>
          <w:color w:val="auto"/>
        </w:rPr>
      </w:pPr>
      <w:r>
        <w:rPr>
          <w:rFonts w:ascii="Arial" w:cs="Arial" w:eastAsia="Arial" w:hAnsi="Arial"/>
          <w:sz w:val="20"/>
          <w:szCs w:val="20"/>
          <w:color w:val="auto"/>
        </w:rPr>
        <w:t>[  ]</w:t>
      </w:r>
    </w:p>
    <w:p>
      <w:pPr>
        <w:spacing w:after="0" w:line="188" w:lineRule="exact"/>
        <w:rPr>
          <w:rFonts w:ascii="Arial" w:cs="Arial" w:eastAsia="Arial" w:hAnsi="Arial"/>
          <w:sz w:val="20"/>
          <w:szCs w:val="20"/>
          <w:color w:val="auto"/>
        </w:rPr>
      </w:pPr>
    </w:p>
    <w:p>
      <w:pPr>
        <w:ind w:left="220" w:hanging="212"/>
        <w:spacing w:after="0"/>
        <w:tabs>
          <w:tab w:leader="none" w:pos="220" w:val="left"/>
        </w:tabs>
        <w:numPr>
          <w:ilvl w:val="0"/>
          <w:numId w:val="7"/>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02" w:lineRule="exact"/>
        <w:rPr>
          <w:rFonts w:ascii="Arial" w:cs="Arial" w:eastAsia="Arial" w:hAnsi="Arial"/>
          <w:sz w:val="20"/>
          <w:szCs w:val="20"/>
          <w:color w:val="auto"/>
        </w:rPr>
      </w:pPr>
    </w:p>
    <w:p>
      <w:pPr>
        <w:ind w:left="220" w:hanging="212"/>
        <w:spacing w:after="0"/>
        <w:tabs>
          <w:tab w:leader="none" w:pos="220" w:val="left"/>
        </w:tabs>
        <w:numPr>
          <w:ilvl w:val="0"/>
          <w:numId w:val="7"/>
        </w:numPr>
        <w:rPr>
          <w:rFonts w:ascii="Arial" w:cs="Arial" w:eastAsia="Arial" w:hAnsi="Arial"/>
          <w:sz w:val="20"/>
          <w:szCs w:val="20"/>
          <w:color w:val="auto"/>
        </w:rPr>
      </w:pPr>
      <w:r>
        <w:rPr>
          <w:rFonts w:ascii="Arial" w:cs="Arial" w:eastAsia="Arial" w:hAnsi="Arial"/>
          <w:sz w:val="20"/>
          <w:szCs w:val="20"/>
          <w:color w:val="auto"/>
        </w:rPr>
        <w:t>Source of Funds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Not applicable – indirect beneficial ownership</w:t>
      </w:r>
    </w:p>
    <w:p>
      <w:pPr>
        <w:spacing w:after="0" w:line="195" w:lineRule="exact"/>
        <w:rPr>
          <w:sz w:val="20"/>
          <w:szCs w:val="20"/>
          <w:color w:val="auto"/>
        </w:rPr>
      </w:pPr>
    </w:p>
    <w:p>
      <w:pPr>
        <w:ind w:left="220" w:hanging="212"/>
        <w:spacing w:after="0"/>
        <w:tabs>
          <w:tab w:leader="none" w:pos="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 ]</w:t>
      </w:r>
    </w:p>
    <w:p>
      <w:pPr>
        <w:spacing w:after="0" w:line="225" w:lineRule="exact"/>
        <w:rPr>
          <w:rFonts w:ascii="Arial" w:cs="Arial" w:eastAsia="Arial" w:hAnsi="Arial"/>
          <w:sz w:val="18"/>
          <w:szCs w:val="18"/>
          <w:color w:val="auto"/>
        </w:rPr>
      </w:pPr>
    </w:p>
    <w:p>
      <w:pPr>
        <w:ind w:left="220" w:hanging="212"/>
        <w:spacing w:after="0"/>
        <w:tabs>
          <w:tab w:leader="none" w:pos="220" w:val="left"/>
        </w:tabs>
        <w:numPr>
          <w:ilvl w:val="0"/>
          <w:numId w:val="8"/>
        </w:numPr>
        <w:rPr>
          <w:rFonts w:ascii="Arial" w:cs="Arial" w:eastAsia="Arial" w:hAnsi="Arial"/>
          <w:sz w:val="20"/>
          <w:szCs w:val="20"/>
          <w:color w:val="auto"/>
        </w:rPr>
      </w:pPr>
      <w:r>
        <w:rPr>
          <w:rFonts w:ascii="Arial" w:cs="Arial" w:eastAsia="Arial" w:hAnsi="Arial"/>
          <w:sz w:val="20"/>
          <w:szCs w:val="20"/>
          <w:color w:val="auto"/>
        </w:rPr>
        <w:t>Citizenship or Place of Organization</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Minnesota</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Number of Shares Beneficially Owned By Each Reporting Person With:</w:t>
      </w:r>
    </w:p>
    <w:p>
      <w:pPr>
        <w:spacing w:after="0" w:line="318"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320" w:type="dxa"/>
            <w:vAlign w:val="bottom"/>
          </w:tcPr>
          <w:p>
            <w:pPr>
              <w:jc w:val="right"/>
              <w:ind w:right="61"/>
              <w:spacing w:after="0"/>
              <w:rPr>
                <w:sz w:val="20"/>
                <w:szCs w:val="20"/>
                <w:color w:val="auto"/>
              </w:rPr>
            </w:pPr>
            <w:r>
              <w:rPr>
                <w:rFonts w:ascii="Arial" w:cs="Arial" w:eastAsia="Arial" w:hAnsi="Arial"/>
                <w:sz w:val="20"/>
                <w:szCs w:val="20"/>
                <w:color w:val="auto"/>
                <w:w w:val="78"/>
              </w:rPr>
              <w:t>7)</w:t>
            </w:r>
          </w:p>
        </w:tc>
        <w:tc>
          <w:tcPr>
            <w:tcW w:w="2340" w:type="dxa"/>
            <w:vAlign w:val="bottom"/>
          </w:tcPr>
          <w:p>
            <w:pPr>
              <w:ind w:left="160"/>
              <w:spacing w:after="0"/>
              <w:rPr>
                <w:sz w:val="20"/>
                <w:szCs w:val="20"/>
                <w:color w:val="auto"/>
              </w:rPr>
            </w:pPr>
            <w:r>
              <w:rPr>
                <w:rFonts w:ascii="Arial" w:cs="Arial" w:eastAsia="Arial" w:hAnsi="Arial"/>
                <w:sz w:val="20"/>
                <w:szCs w:val="20"/>
                <w:color w:val="auto"/>
              </w:rPr>
              <w:t>Sole Voting Power:</w:t>
            </w:r>
          </w:p>
        </w:tc>
        <w:tc>
          <w:tcPr>
            <w:tcW w:w="680" w:type="dxa"/>
            <w:vAlign w:val="bottom"/>
          </w:tcPr>
          <w:p>
            <w:pPr>
              <w:ind w:left="240"/>
              <w:spacing w:after="0"/>
              <w:rPr>
                <w:sz w:val="20"/>
                <w:szCs w:val="20"/>
                <w:color w:val="auto"/>
              </w:rPr>
            </w:pPr>
            <w:r>
              <w:rPr>
                <w:rFonts w:ascii="Arial" w:cs="Arial" w:eastAsia="Arial" w:hAnsi="Arial"/>
                <w:sz w:val="20"/>
                <w:szCs w:val="20"/>
                <w:b w:val="1"/>
                <w:bCs w:val="1"/>
                <w:color w:val="auto"/>
                <w:w w:val="83"/>
              </w:rPr>
              <w:t>None</w:t>
            </w:r>
          </w:p>
        </w:tc>
      </w:tr>
      <w:tr>
        <w:trPr>
          <w:trHeight w:val="486"/>
        </w:trPr>
        <w:tc>
          <w:tcPr>
            <w:tcW w:w="320" w:type="dxa"/>
            <w:vAlign w:val="bottom"/>
          </w:tcPr>
          <w:p>
            <w:pPr>
              <w:jc w:val="right"/>
              <w:ind w:right="61"/>
              <w:spacing w:after="0"/>
              <w:rPr>
                <w:sz w:val="20"/>
                <w:szCs w:val="20"/>
                <w:color w:val="auto"/>
              </w:rPr>
            </w:pPr>
            <w:r>
              <w:rPr>
                <w:rFonts w:ascii="Arial" w:cs="Arial" w:eastAsia="Arial" w:hAnsi="Arial"/>
                <w:sz w:val="20"/>
                <w:szCs w:val="20"/>
                <w:color w:val="auto"/>
                <w:w w:val="78"/>
              </w:rPr>
              <w:t>8)</w:t>
            </w:r>
          </w:p>
        </w:tc>
        <w:tc>
          <w:tcPr>
            <w:tcW w:w="2340" w:type="dxa"/>
            <w:vAlign w:val="bottom"/>
          </w:tcPr>
          <w:p>
            <w:pPr>
              <w:ind w:left="160"/>
              <w:spacing w:after="0"/>
              <w:rPr>
                <w:sz w:val="20"/>
                <w:szCs w:val="20"/>
                <w:color w:val="auto"/>
              </w:rPr>
            </w:pPr>
            <w:r>
              <w:rPr>
                <w:rFonts w:ascii="Arial" w:cs="Arial" w:eastAsia="Arial" w:hAnsi="Arial"/>
                <w:sz w:val="20"/>
                <w:szCs w:val="20"/>
                <w:color w:val="auto"/>
              </w:rPr>
              <w:t>Shared Voting Power</w:t>
            </w:r>
          </w:p>
        </w:tc>
        <w:tc>
          <w:tcPr>
            <w:tcW w:w="680" w:type="dxa"/>
            <w:vAlign w:val="bottom"/>
          </w:tcPr>
          <w:p>
            <w:pPr>
              <w:ind w:left="240"/>
              <w:spacing w:after="0"/>
              <w:rPr>
                <w:sz w:val="20"/>
                <w:szCs w:val="20"/>
                <w:color w:val="auto"/>
              </w:rPr>
            </w:pPr>
            <w:r>
              <w:rPr>
                <w:rFonts w:ascii="Arial" w:cs="Arial" w:eastAsia="Arial" w:hAnsi="Arial"/>
                <w:sz w:val="20"/>
                <w:szCs w:val="20"/>
                <w:b w:val="1"/>
                <w:bCs w:val="1"/>
                <w:color w:val="auto"/>
                <w:w w:val="83"/>
              </w:rPr>
              <w:t>None</w:t>
            </w:r>
          </w:p>
        </w:tc>
      </w:tr>
      <w:tr>
        <w:trPr>
          <w:trHeight w:val="486"/>
        </w:trPr>
        <w:tc>
          <w:tcPr>
            <w:tcW w:w="320" w:type="dxa"/>
            <w:vAlign w:val="bottom"/>
          </w:tcPr>
          <w:p>
            <w:pPr>
              <w:jc w:val="right"/>
              <w:ind w:right="61"/>
              <w:spacing w:after="0"/>
              <w:rPr>
                <w:sz w:val="20"/>
                <w:szCs w:val="20"/>
                <w:color w:val="auto"/>
              </w:rPr>
            </w:pPr>
            <w:r>
              <w:rPr>
                <w:rFonts w:ascii="Arial" w:cs="Arial" w:eastAsia="Arial" w:hAnsi="Arial"/>
                <w:sz w:val="20"/>
                <w:szCs w:val="20"/>
                <w:color w:val="auto"/>
                <w:w w:val="78"/>
              </w:rPr>
              <w:t>9)</w:t>
            </w:r>
          </w:p>
        </w:tc>
        <w:tc>
          <w:tcPr>
            <w:tcW w:w="2340" w:type="dxa"/>
            <w:vAlign w:val="bottom"/>
          </w:tcPr>
          <w:p>
            <w:pPr>
              <w:ind w:left="160"/>
              <w:spacing w:after="0"/>
              <w:rPr>
                <w:sz w:val="20"/>
                <w:szCs w:val="20"/>
                <w:color w:val="auto"/>
              </w:rPr>
            </w:pPr>
            <w:r>
              <w:rPr>
                <w:rFonts w:ascii="Arial" w:cs="Arial" w:eastAsia="Arial" w:hAnsi="Arial"/>
                <w:sz w:val="20"/>
                <w:szCs w:val="20"/>
                <w:color w:val="auto"/>
              </w:rPr>
              <w:t>Sole Dispositive Power:</w:t>
            </w:r>
          </w:p>
        </w:tc>
        <w:tc>
          <w:tcPr>
            <w:tcW w:w="680" w:type="dxa"/>
            <w:vAlign w:val="bottom"/>
          </w:tcPr>
          <w:p>
            <w:pPr>
              <w:ind w:left="240"/>
              <w:spacing w:after="0"/>
              <w:rPr>
                <w:sz w:val="20"/>
                <w:szCs w:val="20"/>
                <w:color w:val="auto"/>
              </w:rPr>
            </w:pPr>
            <w:r>
              <w:rPr>
                <w:rFonts w:ascii="Arial" w:cs="Arial" w:eastAsia="Arial" w:hAnsi="Arial"/>
                <w:sz w:val="20"/>
                <w:szCs w:val="20"/>
                <w:b w:val="1"/>
                <w:bCs w:val="1"/>
                <w:color w:val="auto"/>
                <w:w w:val="83"/>
              </w:rPr>
              <w:t>None</w:t>
            </w:r>
          </w:p>
        </w:tc>
      </w:tr>
    </w:tbl>
    <w:p>
      <w:pPr>
        <w:spacing w:after="0" w:line="230" w:lineRule="exact"/>
        <w:rPr>
          <w:sz w:val="20"/>
          <w:szCs w:val="20"/>
          <w:color w:val="auto"/>
        </w:rPr>
      </w:pPr>
    </w:p>
    <w:p>
      <w:pPr>
        <w:ind w:left="500" w:hanging="478"/>
        <w:spacing w:after="0"/>
        <w:tabs>
          <w:tab w:leader="none" w:pos="500" w:val="left"/>
        </w:tabs>
        <w:numPr>
          <w:ilvl w:val="1"/>
          <w:numId w:val="9"/>
        </w:numPr>
        <w:rPr>
          <w:rFonts w:ascii="Arial" w:cs="Arial" w:eastAsia="Arial" w:hAnsi="Arial"/>
          <w:sz w:val="20"/>
          <w:szCs w:val="20"/>
          <w:color w:val="auto"/>
        </w:rPr>
      </w:pPr>
      <w:r>
        <w:rPr>
          <w:rFonts w:ascii="Arial" w:cs="Arial" w:eastAsia="Arial" w:hAnsi="Arial"/>
          <w:sz w:val="20"/>
          <w:szCs w:val="20"/>
          <w:color w:val="auto"/>
        </w:rPr>
        <w:t xml:space="preserve">Shared Dispositive Power:   </w:t>
      </w:r>
      <w:r>
        <w:rPr>
          <w:rFonts w:ascii="Arial" w:cs="Arial" w:eastAsia="Arial" w:hAnsi="Arial"/>
          <w:sz w:val="20"/>
          <w:szCs w:val="20"/>
          <w:b w:val="1"/>
          <w:bCs w:val="1"/>
          <w:color w:val="auto"/>
        </w:rPr>
        <w:t>None</w:t>
      </w:r>
    </w:p>
    <w:p>
      <w:pPr>
        <w:spacing w:after="0" w:line="289" w:lineRule="exact"/>
        <w:rPr>
          <w:rFonts w:ascii="Arial" w:cs="Arial" w:eastAsia="Arial" w:hAnsi="Arial"/>
          <w:sz w:val="20"/>
          <w:szCs w:val="20"/>
          <w:color w:val="auto"/>
        </w:rPr>
      </w:pPr>
    </w:p>
    <w:p>
      <w:pPr>
        <w:ind w:left="320" w:hanging="312"/>
        <w:spacing w:after="0"/>
        <w:tabs>
          <w:tab w:leader="none" w:pos="3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w:t>
      </w:r>
    </w:p>
    <w:p>
      <w:pPr>
        <w:spacing w:after="0" w:line="196"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b w:val="1"/>
          <w:bCs w:val="1"/>
          <w:color w:val="auto"/>
        </w:rPr>
        <w:t>1,070,989</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12) Check if the Aggregate Amount in Row (11) Excludes Certain Shares [  ]</w:t>
      </w:r>
    </w:p>
    <w:p>
      <w:pPr>
        <w:spacing w:after="0" w:line="189"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Percent of Class Represented By Amount in Row (11)</w:t>
      </w:r>
    </w:p>
    <w:p>
      <w:pPr>
        <w:spacing w:after="0" w:line="196"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b w:val="1"/>
          <w:bCs w:val="1"/>
          <w:color w:val="auto"/>
        </w:rPr>
        <w:t>4.24%</w:t>
      </w:r>
    </w:p>
    <w:p>
      <w:pPr>
        <w:spacing w:after="0" w:line="208" w:lineRule="exact"/>
        <w:rPr>
          <w:rFonts w:ascii="Arial" w:cs="Arial" w:eastAsia="Arial" w:hAnsi="Arial"/>
          <w:sz w:val="20"/>
          <w:szCs w:val="20"/>
          <w:color w:val="auto"/>
        </w:rPr>
      </w:pPr>
    </w:p>
    <w:p>
      <w:pPr>
        <w:ind w:left="320" w:hanging="312"/>
        <w:spacing w:after="0"/>
        <w:tabs>
          <w:tab w:leader="none" w:pos="3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Type of Reporting Person</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18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219"/>
          </w:cols>
          <w:pgMar w:left="240" w:top="684" w:right="1440" w:bottom="1440" w:gutter="0" w:footer="0" w:header="0"/>
        </w:sectPr>
      </w:pPr>
    </w:p>
    <w:bookmarkStart w:id="3" w:name="page4"/>
    <w:bookmarkEnd w:id="3"/>
    <w:p>
      <w:pPr>
        <w:ind w:left="3480"/>
        <w:spacing w:after="0"/>
        <w:rPr>
          <w:sz w:val="20"/>
          <w:szCs w:val="20"/>
          <w:color w:val="auto"/>
        </w:rPr>
      </w:pPr>
      <w:r>
        <w:rPr>
          <w:rFonts w:ascii="Arial" w:cs="Arial" w:eastAsia="Arial" w:hAnsi="Arial"/>
          <w:sz w:val="20"/>
          <w:szCs w:val="20"/>
          <w:b w:val="1"/>
          <w:bCs w:val="1"/>
          <w:color w:val="auto"/>
        </w:rPr>
        <w:t>SCHEDULE 13D</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CUSIP No. </w:t>
      </w:r>
      <w:r>
        <w:rPr>
          <w:rFonts w:ascii="Arial" w:cs="Arial" w:eastAsia="Arial" w:hAnsi="Arial"/>
          <w:sz w:val="20"/>
          <w:szCs w:val="20"/>
          <w:b w:val="1"/>
          <w:bCs w:val="1"/>
          <w:u w:val="single" w:color="auto"/>
          <w:color w:val="auto"/>
        </w:rPr>
        <w:t>41457P106</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l) Name of Reporting Person</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Kopp Holding Company</w:t>
      </w:r>
    </w:p>
    <w:p>
      <w:pPr>
        <w:spacing w:after="0" w:line="195" w:lineRule="exact"/>
        <w:rPr>
          <w:sz w:val="20"/>
          <w:szCs w:val="20"/>
          <w:color w:val="auto"/>
        </w:rPr>
      </w:pPr>
    </w:p>
    <w:p>
      <w:pPr>
        <w:ind w:left="220" w:hanging="212"/>
        <w:spacing w:after="0"/>
        <w:tabs>
          <w:tab w:leader="none" w:pos="2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Check the Appropriate Box if a Member of a Group</w:t>
      </w:r>
    </w:p>
    <w:p>
      <w:pPr>
        <w:spacing w:after="0" w:line="202" w:lineRule="exact"/>
        <w:rPr>
          <w:rFonts w:ascii="Arial" w:cs="Arial" w:eastAsia="Arial" w:hAnsi="Arial"/>
          <w:sz w:val="20"/>
          <w:szCs w:val="20"/>
          <w:color w:val="auto"/>
        </w:rPr>
      </w:pPr>
    </w:p>
    <w:p>
      <w:pPr>
        <w:ind w:left="1020" w:hanging="364"/>
        <w:spacing w:after="0"/>
        <w:tabs>
          <w:tab w:leader="none" w:pos="1020" w:val="left"/>
        </w:tabs>
        <w:numPr>
          <w:ilvl w:val="1"/>
          <w:numId w:val="12"/>
        </w:numPr>
        <w:rPr>
          <w:rFonts w:ascii="Arial" w:cs="Arial" w:eastAsia="Arial" w:hAnsi="Arial"/>
          <w:sz w:val="20"/>
          <w:szCs w:val="20"/>
          <w:color w:val="auto"/>
        </w:rPr>
      </w:pPr>
      <w:r>
        <w:rPr>
          <w:rFonts w:ascii="Arial" w:cs="Arial" w:eastAsia="Arial" w:hAnsi="Arial"/>
          <w:sz w:val="20"/>
          <w:szCs w:val="20"/>
          <w:color w:val="auto"/>
        </w:rPr>
        <w:t>[  ]</w:t>
      </w:r>
    </w:p>
    <w:p>
      <w:pPr>
        <w:spacing w:after="0" w:line="202" w:lineRule="exact"/>
        <w:rPr>
          <w:rFonts w:ascii="Arial" w:cs="Arial" w:eastAsia="Arial" w:hAnsi="Arial"/>
          <w:sz w:val="20"/>
          <w:szCs w:val="20"/>
          <w:color w:val="auto"/>
        </w:rPr>
      </w:pPr>
    </w:p>
    <w:p>
      <w:pPr>
        <w:ind w:left="1040" w:hanging="384"/>
        <w:spacing w:after="0"/>
        <w:tabs>
          <w:tab w:leader="none" w:pos="1040" w:val="left"/>
        </w:tabs>
        <w:numPr>
          <w:ilvl w:val="1"/>
          <w:numId w:val="12"/>
        </w:numPr>
        <w:rPr>
          <w:rFonts w:ascii="Arial" w:cs="Arial" w:eastAsia="Arial" w:hAnsi="Arial"/>
          <w:sz w:val="20"/>
          <w:szCs w:val="20"/>
          <w:color w:val="auto"/>
        </w:rPr>
      </w:pPr>
      <w:r>
        <w:rPr>
          <w:rFonts w:ascii="Arial" w:cs="Arial" w:eastAsia="Arial" w:hAnsi="Arial"/>
          <w:sz w:val="20"/>
          <w:szCs w:val="20"/>
          <w:color w:val="auto"/>
        </w:rPr>
        <w:t>[  ]</w:t>
      </w:r>
    </w:p>
    <w:p>
      <w:pPr>
        <w:spacing w:after="0" w:line="188" w:lineRule="exact"/>
        <w:rPr>
          <w:rFonts w:ascii="Arial" w:cs="Arial" w:eastAsia="Arial" w:hAnsi="Arial"/>
          <w:sz w:val="20"/>
          <w:szCs w:val="20"/>
          <w:color w:val="auto"/>
        </w:rPr>
      </w:pPr>
    </w:p>
    <w:p>
      <w:pPr>
        <w:ind w:left="220" w:hanging="212"/>
        <w:spacing w:after="0"/>
        <w:tabs>
          <w:tab w:leader="none" w:pos="2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02" w:lineRule="exact"/>
        <w:rPr>
          <w:rFonts w:ascii="Arial" w:cs="Arial" w:eastAsia="Arial" w:hAnsi="Arial"/>
          <w:sz w:val="20"/>
          <w:szCs w:val="20"/>
          <w:color w:val="auto"/>
        </w:rPr>
      </w:pPr>
    </w:p>
    <w:p>
      <w:pPr>
        <w:ind w:left="220" w:hanging="212"/>
        <w:spacing w:after="0"/>
        <w:tabs>
          <w:tab w:leader="none" w:pos="2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Source of Funds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Not applicable – indirect beneficial ownership</w:t>
      </w:r>
    </w:p>
    <w:p>
      <w:pPr>
        <w:spacing w:after="0" w:line="195" w:lineRule="exact"/>
        <w:rPr>
          <w:sz w:val="20"/>
          <w:szCs w:val="20"/>
          <w:color w:val="auto"/>
        </w:rPr>
      </w:pPr>
    </w:p>
    <w:p>
      <w:pPr>
        <w:ind w:left="220" w:hanging="212"/>
        <w:spacing w:after="0"/>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 ]</w:t>
      </w:r>
    </w:p>
    <w:p>
      <w:pPr>
        <w:spacing w:after="0" w:line="225" w:lineRule="exact"/>
        <w:rPr>
          <w:rFonts w:ascii="Arial" w:cs="Arial" w:eastAsia="Arial" w:hAnsi="Arial"/>
          <w:sz w:val="18"/>
          <w:szCs w:val="18"/>
          <w:color w:val="auto"/>
        </w:rPr>
      </w:pPr>
    </w:p>
    <w:p>
      <w:pPr>
        <w:ind w:left="220" w:hanging="212"/>
        <w:spacing w:after="0"/>
        <w:tabs>
          <w:tab w:leader="none" w:pos="2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Citizenship or Place of Organization</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Minnesota</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Number of Shares Beneficially Owned By Each Reporting Person With:</w:t>
      </w:r>
    </w:p>
    <w:p>
      <w:pPr>
        <w:spacing w:after="0" w:line="318"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320" w:type="dxa"/>
            <w:vAlign w:val="bottom"/>
          </w:tcPr>
          <w:p>
            <w:pPr>
              <w:jc w:val="right"/>
              <w:ind w:right="61"/>
              <w:spacing w:after="0"/>
              <w:rPr>
                <w:sz w:val="20"/>
                <w:szCs w:val="20"/>
                <w:color w:val="auto"/>
              </w:rPr>
            </w:pPr>
            <w:r>
              <w:rPr>
                <w:rFonts w:ascii="Arial" w:cs="Arial" w:eastAsia="Arial" w:hAnsi="Arial"/>
                <w:sz w:val="20"/>
                <w:szCs w:val="20"/>
                <w:color w:val="auto"/>
                <w:w w:val="78"/>
              </w:rPr>
              <w:t>7)</w:t>
            </w:r>
          </w:p>
        </w:tc>
        <w:tc>
          <w:tcPr>
            <w:tcW w:w="2340" w:type="dxa"/>
            <w:vAlign w:val="bottom"/>
          </w:tcPr>
          <w:p>
            <w:pPr>
              <w:ind w:left="160"/>
              <w:spacing w:after="0"/>
              <w:rPr>
                <w:sz w:val="20"/>
                <w:szCs w:val="20"/>
                <w:color w:val="auto"/>
              </w:rPr>
            </w:pPr>
            <w:r>
              <w:rPr>
                <w:rFonts w:ascii="Arial" w:cs="Arial" w:eastAsia="Arial" w:hAnsi="Arial"/>
                <w:sz w:val="20"/>
                <w:szCs w:val="20"/>
                <w:color w:val="auto"/>
              </w:rPr>
              <w:t>Sole Voting Power:</w:t>
            </w:r>
          </w:p>
        </w:tc>
        <w:tc>
          <w:tcPr>
            <w:tcW w:w="680" w:type="dxa"/>
            <w:vAlign w:val="bottom"/>
          </w:tcPr>
          <w:p>
            <w:pPr>
              <w:ind w:left="240"/>
              <w:spacing w:after="0"/>
              <w:rPr>
                <w:sz w:val="20"/>
                <w:szCs w:val="20"/>
                <w:color w:val="auto"/>
              </w:rPr>
            </w:pPr>
            <w:r>
              <w:rPr>
                <w:rFonts w:ascii="Arial" w:cs="Arial" w:eastAsia="Arial" w:hAnsi="Arial"/>
                <w:sz w:val="20"/>
                <w:szCs w:val="20"/>
                <w:b w:val="1"/>
                <w:bCs w:val="1"/>
                <w:color w:val="auto"/>
                <w:w w:val="83"/>
              </w:rPr>
              <w:t>None</w:t>
            </w:r>
          </w:p>
        </w:tc>
      </w:tr>
      <w:tr>
        <w:trPr>
          <w:trHeight w:val="486"/>
        </w:trPr>
        <w:tc>
          <w:tcPr>
            <w:tcW w:w="320" w:type="dxa"/>
            <w:vAlign w:val="bottom"/>
          </w:tcPr>
          <w:p>
            <w:pPr>
              <w:jc w:val="right"/>
              <w:ind w:right="61"/>
              <w:spacing w:after="0"/>
              <w:rPr>
                <w:sz w:val="20"/>
                <w:szCs w:val="20"/>
                <w:color w:val="auto"/>
              </w:rPr>
            </w:pPr>
            <w:r>
              <w:rPr>
                <w:rFonts w:ascii="Arial" w:cs="Arial" w:eastAsia="Arial" w:hAnsi="Arial"/>
                <w:sz w:val="20"/>
                <w:szCs w:val="20"/>
                <w:color w:val="auto"/>
                <w:w w:val="78"/>
              </w:rPr>
              <w:t>8)</w:t>
            </w:r>
          </w:p>
        </w:tc>
        <w:tc>
          <w:tcPr>
            <w:tcW w:w="2340" w:type="dxa"/>
            <w:vAlign w:val="bottom"/>
          </w:tcPr>
          <w:p>
            <w:pPr>
              <w:ind w:left="160"/>
              <w:spacing w:after="0"/>
              <w:rPr>
                <w:sz w:val="20"/>
                <w:szCs w:val="20"/>
                <w:color w:val="auto"/>
              </w:rPr>
            </w:pPr>
            <w:r>
              <w:rPr>
                <w:rFonts w:ascii="Arial" w:cs="Arial" w:eastAsia="Arial" w:hAnsi="Arial"/>
                <w:sz w:val="20"/>
                <w:szCs w:val="20"/>
                <w:color w:val="auto"/>
              </w:rPr>
              <w:t>Shared Voting Power</w:t>
            </w:r>
          </w:p>
        </w:tc>
        <w:tc>
          <w:tcPr>
            <w:tcW w:w="680" w:type="dxa"/>
            <w:vAlign w:val="bottom"/>
          </w:tcPr>
          <w:p>
            <w:pPr>
              <w:ind w:left="240"/>
              <w:spacing w:after="0"/>
              <w:rPr>
                <w:sz w:val="20"/>
                <w:szCs w:val="20"/>
                <w:color w:val="auto"/>
              </w:rPr>
            </w:pPr>
            <w:r>
              <w:rPr>
                <w:rFonts w:ascii="Arial" w:cs="Arial" w:eastAsia="Arial" w:hAnsi="Arial"/>
                <w:sz w:val="20"/>
                <w:szCs w:val="20"/>
                <w:b w:val="1"/>
                <w:bCs w:val="1"/>
                <w:color w:val="auto"/>
                <w:w w:val="83"/>
              </w:rPr>
              <w:t>None</w:t>
            </w:r>
          </w:p>
        </w:tc>
      </w:tr>
      <w:tr>
        <w:trPr>
          <w:trHeight w:val="486"/>
        </w:trPr>
        <w:tc>
          <w:tcPr>
            <w:tcW w:w="320" w:type="dxa"/>
            <w:vAlign w:val="bottom"/>
          </w:tcPr>
          <w:p>
            <w:pPr>
              <w:jc w:val="right"/>
              <w:ind w:right="61"/>
              <w:spacing w:after="0"/>
              <w:rPr>
                <w:sz w:val="20"/>
                <w:szCs w:val="20"/>
                <w:color w:val="auto"/>
              </w:rPr>
            </w:pPr>
            <w:r>
              <w:rPr>
                <w:rFonts w:ascii="Arial" w:cs="Arial" w:eastAsia="Arial" w:hAnsi="Arial"/>
                <w:sz w:val="20"/>
                <w:szCs w:val="20"/>
                <w:color w:val="auto"/>
                <w:w w:val="78"/>
              </w:rPr>
              <w:t>9)</w:t>
            </w:r>
          </w:p>
        </w:tc>
        <w:tc>
          <w:tcPr>
            <w:tcW w:w="2340" w:type="dxa"/>
            <w:vAlign w:val="bottom"/>
          </w:tcPr>
          <w:p>
            <w:pPr>
              <w:ind w:left="160"/>
              <w:spacing w:after="0"/>
              <w:rPr>
                <w:sz w:val="20"/>
                <w:szCs w:val="20"/>
                <w:color w:val="auto"/>
              </w:rPr>
            </w:pPr>
            <w:r>
              <w:rPr>
                <w:rFonts w:ascii="Arial" w:cs="Arial" w:eastAsia="Arial" w:hAnsi="Arial"/>
                <w:sz w:val="20"/>
                <w:szCs w:val="20"/>
                <w:color w:val="auto"/>
              </w:rPr>
              <w:t>Sole Dispositive Power:</w:t>
            </w:r>
          </w:p>
        </w:tc>
        <w:tc>
          <w:tcPr>
            <w:tcW w:w="680" w:type="dxa"/>
            <w:vAlign w:val="bottom"/>
          </w:tcPr>
          <w:p>
            <w:pPr>
              <w:ind w:left="240"/>
              <w:spacing w:after="0"/>
              <w:rPr>
                <w:sz w:val="20"/>
                <w:szCs w:val="20"/>
                <w:color w:val="auto"/>
              </w:rPr>
            </w:pPr>
            <w:r>
              <w:rPr>
                <w:rFonts w:ascii="Arial" w:cs="Arial" w:eastAsia="Arial" w:hAnsi="Arial"/>
                <w:sz w:val="20"/>
                <w:szCs w:val="20"/>
                <w:b w:val="1"/>
                <w:bCs w:val="1"/>
                <w:color w:val="auto"/>
                <w:w w:val="83"/>
              </w:rPr>
              <w:t>None</w:t>
            </w:r>
          </w:p>
        </w:tc>
      </w:tr>
    </w:tbl>
    <w:p>
      <w:pPr>
        <w:spacing w:after="0" w:line="230" w:lineRule="exact"/>
        <w:rPr>
          <w:sz w:val="20"/>
          <w:szCs w:val="20"/>
          <w:color w:val="auto"/>
        </w:rPr>
      </w:pPr>
    </w:p>
    <w:p>
      <w:pPr>
        <w:ind w:left="500" w:hanging="478"/>
        <w:spacing w:after="0"/>
        <w:tabs>
          <w:tab w:leader="none" w:pos="500" w:val="left"/>
        </w:tabs>
        <w:numPr>
          <w:ilvl w:val="1"/>
          <w:numId w:val="14"/>
        </w:numPr>
        <w:rPr>
          <w:rFonts w:ascii="Arial" w:cs="Arial" w:eastAsia="Arial" w:hAnsi="Arial"/>
          <w:sz w:val="20"/>
          <w:szCs w:val="20"/>
          <w:color w:val="auto"/>
        </w:rPr>
      </w:pPr>
      <w:r>
        <w:rPr>
          <w:rFonts w:ascii="Arial" w:cs="Arial" w:eastAsia="Arial" w:hAnsi="Arial"/>
          <w:sz w:val="20"/>
          <w:szCs w:val="20"/>
          <w:color w:val="auto"/>
        </w:rPr>
        <w:t xml:space="preserve">Shared Dispositive Power:   </w:t>
      </w:r>
      <w:r>
        <w:rPr>
          <w:rFonts w:ascii="Arial" w:cs="Arial" w:eastAsia="Arial" w:hAnsi="Arial"/>
          <w:sz w:val="20"/>
          <w:szCs w:val="20"/>
          <w:b w:val="1"/>
          <w:bCs w:val="1"/>
          <w:color w:val="auto"/>
        </w:rPr>
        <w:t>None</w:t>
      </w:r>
    </w:p>
    <w:p>
      <w:pPr>
        <w:spacing w:after="0" w:line="289" w:lineRule="exact"/>
        <w:rPr>
          <w:rFonts w:ascii="Arial" w:cs="Arial" w:eastAsia="Arial" w:hAnsi="Arial"/>
          <w:sz w:val="20"/>
          <w:szCs w:val="20"/>
          <w:color w:val="auto"/>
        </w:rPr>
      </w:pPr>
    </w:p>
    <w:p>
      <w:pPr>
        <w:ind w:left="320" w:hanging="312"/>
        <w:spacing w:after="0"/>
        <w:tabs>
          <w:tab w:leader="none" w:pos="3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w:t>
      </w:r>
    </w:p>
    <w:p>
      <w:pPr>
        <w:spacing w:after="0" w:line="196"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b w:val="1"/>
          <w:bCs w:val="1"/>
          <w:color w:val="auto"/>
        </w:rPr>
        <w:t>1,070,989</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12) Check if the Aggregate Amount in Row (11) Excludes Certain Shares [  ]</w:t>
      </w:r>
    </w:p>
    <w:p>
      <w:pPr>
        <w:spacing w:after="0" w:line="189"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Percent of Class Represented By Amount in Row (11)</w:t>
      </w:r>
    </w:p>
    <w:p>
      <w:pPr>
        <w:spacing w:after="0" w:line="196"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b w:val="1"/>
          <w:bCs w:val="1"/>
          <w:color w:val="auto"/>
        </w:rPr>
        <w:t>4.24%</w:t>
      </w:r>
    </w:p>
    <w:p>
      <w:pPr>
        <w:spacing w:after="0" w:line="208" w:lineRule="exact"/>
        <w:rPr>
          <w:rFonts w:ascii="Arial" w:cs="Arial" w:eastAsia="Arial" w:hAnsi="Arial"/>
          <w:sz w:val="20"/>
          <w:szCs w:val="20"/>
          <w:color w:val="auto"/>
        </w:rPr>
      </w:pPr>
    </w:p>
    <w:p>
      <w:pPr>
        <w:ind w:left="320" w:hanging="312"/>
        <w:spacing w:after="0"/>
        <w:tabs>
          <w:tab w:leader="none" w:pos="3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Type of Reporting Person</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18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219"/>
          </w:cols>
          <w:pgMar w:left="240" w:top="684" w:right="1440" w:bottom="1440" w:gutter="0" w:footer="0" w:header="0"/>
        </w:sectPr>
      </w:pPr>
    </w:p>
    <w:bookmarkStart w:id="4" w:name="page5"/>
    <w:bookmarkEnd w:id="4"/>
    <w:p>
      <w:pPr>
        <w:ind w:left="3800"/>
        <w:spacing w:after="0"/>
        <w:rPr>
          <w:sz w:val="20"/>
          <w:szCs w:val="20"/>
          <w:color w:val="auto"/>
        </w:rPr>
      </w:pPr>
      <w:r>
        <w:rPr>
          <w:rFonts w:ascii="Arial" w:cs="Arial" w:eastAsia="Arial" w:hAnsi="Arial"/>
          <w:sz w:val="20"/>
          <w:szCs w:val="20"/>
          <w:b w:val="1"/>
          <w:bCs w:val="1"/>
          <w:color w:val="auto"/>
        </w:rPr>
        <w:t>SCHEDULE 13D</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CUSIP No. </w:t>
      </w:r>
      <w:r>
        <w:rPr>
          <w:rFonts w:ascii="Arial" w:cs="Arial" w:eastAsia="Arial" w:hAnsi="Arial"/>
          <w:sz w:val="20"/>
          <w:szCs w:val="20"/>
          <w:b w:val="1"/>
          <w:bCs w:val="1"/>
          <w:u w:val="single" w:color="auto"/>
          <w:color w:val="auto"/>
        </w:rPr>
        <w:t>41457P106</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l) Name of Reporting Person</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LeRoy C. Kopp</w:t>
      </w:r>
    </w:p>
    <w:p>
      <w:pPr>
        <w:spacing w:after="0" w:line="195" w:lineRule="exact"/>
        <w:rPr>
          <w:sz w:val="20"/>
          <w:szCs w:val="20"/>
          <w:color w:val="auto"/>
        </w:rPr>
      </w:pPr>
    </w:p>
    <w:p>
      <w:pPr>
        <w:ind w:left="220" w:hanging="212"/>
        <w:spacing w:after="0"/>
        <w:tabs>
          <w:tab w:leader="none" w:pos="2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Check the Appropriate Box if a Member of a Group</w:t>
      </w:r>
    </w:p>
    <w:p>
      <w:pPr>
        <w:spacing w:after="0" w:line="202" w:lineRule="exact"/>
        <w:rPr>
          <w:rFonts w:ascii="Arial" w:cs="Arial" w:eastAsia="Arial" w:hAnsi="Arial"/>
          <w:sz w:val="20"/>
          <w:szCs w:val="20"/>
          <w:color w:val="auto"/>
        </w:rPr>
      </w:pPr>
    </w:p>
    <w:p>
      <w:pPr>
        <w:ind w:left="1180" w:hanging="524"/>
        <w:spacing w:after="0"/>
        <w:tabs>
          <w:tab w:leader="none" w:pos="1180" w:val="left"/>
        </w:tabs>
        <w:numPr>
          <w:ilvl w:val="1"/>
          <w:numId w:val="17"/>
        </w:numPr>
        <w:rPr>
          <w:rFonts w:ascii="Arial" w:cs="Arial" w:eastAsia="Arial" w:hAnsi="Arial"/>
          <w:sz w:val="20"/>
          <w:szCs w:val="20"/>
          <w:color w:val="auto"/>
        </w:rPr>
      </w:pPr>
      <w:r>
        <w:rPr>
          <w:rFonts w:ascii="Arial" w:cs="Arial" w:eastAsia="Arial" w:hAnsi="Arial"/>
          <w:sz w:val="20"/>
          <w:szCs w:val="20"/>
          <w:color w:val="auto"/>
        </w:rPr>
        <w:t>[  ]</w:t>
      </w:r>
    </w:p>
    <w:p>
      <w:pPr>
        <w:spacing w:after="0" w:line="202" w:lineRule="exact"/>
        <w:rPr>
          <w:rFonts w:ascii="Arial" w:cs="Arial" w:eastAsia="Arial" w:hAnsi="Arial"/>
          <w:sz w:val="20"/>
          <w:szCs w:val="20"/>
          <w:color w:val="auto"/>
        </w:rPr>
      </w:pPr>
    </w:p>
    <w:p>
      <w:pPr>
        <w:ind w:left="1140" w:hanging="484"/>
        <w:spacing w:after="0"/>
        <w:tabs>
          <w:tab w:leader="none" w:pos="1140" w:val="left"/>
        </w:tabs>
        <w:numPr>
          <w:ilvl w:val="1"/>
          <w:numId w:val="17"/>
        </w:numPr>
        <w:rPr>
          <w:rFonts w:ascii="Arial" w:cs="Arial" w:eastAsia="Arial" w:hAnsi="Arial"/>
          <w:sz w:val="20"/>
          <w:szCs w:val="20"/>
          <w:color w:val="auto"/>
        </w:rPr>
      </w:pPr>
      <w:r>
        <w:rPr>
          <w:rFonts w:ascii="Arial" w:cs="Arial" w:eastAsia="Arial" w:hAnsi="Arial"/>
          <w:sz w:val="20"/>
          <w:szCs w:val="20"/>
          <w:color w:val="auto"/>
        </w:rPr>
        <w:t>[  ]</w:t>
      </w:r>
    </w:p>
    <w:p>
      <w:pPr>
        <w:spacing w:after="0" w:line="188" w:lineRule="exact"/>
        <w:rPr>
          <w:rFonts w:ascii="Arial" w:cs="Arial" w:eastAsia="Arial" w:hAnsi="Arial"/>
          <w:sz w:val="20"/>
          <w:szCs w:val="20"/>
          <w:color w:val="auto"/>
        </w:rPr>
      </w:pPr>
    </w:p>
    <w:p>
      <w:pPr>
        <w:ind w:left="220" w:hanging="212"/>
        <w:spacing w:after="0"/>
        <w:tabs>
          <w:tab w:leader="none" w:pos="2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02" w:lineRule="exact"/>
        <w:rPr>
          <w:rFonts w:ascii="Arial" w:cs="Arial" w:eastAsia="Arial" w:hAnsi="Arial"/>
          <w:sz w:val="20"/>
          <w:szCs w:val="20"/>
          <w:color w:val="auto"/>
        </w:rPr>
      </w:pPr>
    </w:p>
    <w:p>
      <w:pPr>
        <w:ind w:left="220" w:hanging="212"/>
        <w:spacing w:after="0"/>
        <w:tabs>
          <w:tab w:leader="none" w:pos="2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Source of Funds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PF; OO (501(c)(3) corporation funds)</w:t>
      </w:r>
    </w:p>
    <w:p>
      <w:pPr>
        <w:spacing w:after="0" w:line="195" w:lineRule="exact"/>
        <w:rPr>
          <w:sz w:val="20"/>
          <w:szCs w:val="20"/>
          <w:color w:val="auto"/>
        </w:rPr>
      </w:pPr>
    </w:p>
    <w:p>
      <w:pPr>
        <w:ind w:left="220" w:hanging="212"/>
        <w:spacing w:after="0"/>
        <w:tabs>
          <w:tab w:leader="none" w:pos="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 ]</w:t>
      </w:r>
    </w:p>
    <w:p>
      <w:pPr>
        <w:spacing w:after="0" w:line="225" w:lineRule="exact"/>
        <w:rPr>
          <w:rFonts w:ascii="Arial" w:cs="Arial" w:eastAsia="Arial" w:hAnsi="Arial"/>
          <w:sz w:val="18"/>
          <w:szCs w:val="18"/>
          <w:color w:val="auto"/>
        </w:rPr>
      </w:pPr>
    </w:p>
    <w:p>
      <w:pPr>
        <w:ind w:left="220" w:hanging="212"/>
        <w:spacing w:after="0"/>
        <w:tabs>
          <w:tab w:leader="none" w:pos="2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Citizenship or Place of Organization</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United States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Number of Shares Beneficially Owned By Each Reporting Person With:</w:t>
      </w:r>
    </w:p>
    <w:p>
      <w:pPr>
        <w:spacing w:after="0" w:line="318"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380" w:type="dxa"/>
            <w:vAlign w:val="bottom"/>
          </w:tcPr>
          <w:p>
            <w:pPr>
              <w:spacing w:after="0"/>
              <w:rPr>
                <w:sz w:val="20"/>
                <w:szCs w:val="20"/>
                <w:color w:val="auto"/>
              </w:rPr>
            </w:pPr>
            <w:r>
              <w:rPr>
                <w:rFonts w:ascii="Arial" w:cs="Arial" w:eastAsia="Arial" w:hAnsi="Arial"/>
                <w:sz w:val="20"/>
                <w:szCs w:val="20"/>
                <w:color w:val="auto"/>
              </w:rPr>
              <w:t>7)</w:t>
            </w:r>
          </w:p>
        </w:tc>
        <w:tc>
          <w:tcPr>
            <w:tcW w:w="2580" w:type="dxa"/>
            <w:vAlign w:val="bottom"/>
          </w:tcPr>
          <w:p>
            <w:pPr>
              <w:ind w:left="100"/>
              <w:spacing w:after="0"/>
              <w:rPr>
                <w:sz w:val="20"/>
                <w:szCs w:val="20"/>
                <w:color w:val="auto"/>
              </w:rPr>
            </w:pPr>
            <w:r>
              <w:rPr>
                <w:rFonts w:ascii="Arial" w:cs="Arial" w:eastAsia="Arial" w:hAnsi="Arial"/>
                <w:sz w:val="20"/>
                <w:szCs w:val="20"/>
                <w:color w:val="auto"/>
              </w:rPr>
              <w:t>Sole Voting Power:</w:t>
            </w:r>
          </w:p>
        </w:tc>
        <w:tc>
          <w:tcPr>
            <w:tcW w:w="1020" w:type="dxa"/>
            <w:vAlign w:val="bottom"/>
          </w:tcPr>
          <w:p>
            <w:pPr>
              <w:jc w:val="right"/>
              <w:spacing w:after="0"/>
              <w:rPr>
                <w:sz w:val="20"/>
                <w:szCs w:val="20"/>
                <w:color w:val="auto"/>
              </w:rPr>
            </w:pPr>
            <w:r>
              <w:rPr>
                <w:rFonts w:ascii="Arial" w:cs="Arial" w:eastAsia="Arial" w:hAnsi="Arial"/>
                <w:sz w:val="20"/>
                <w:szCs w:val="20"/>
                <w:b w:val="1"/>
                <w:bCs w:val="1"/>
                <w:color w:val="auto"/>
              </w:rPr>
              <w:t>None</w:t>
            </w:r>
          </w:p>
        </w:tc>
      </w:tr>
      <w:tr>
        <w:trPr>
          <w:trHeight w:val="486"/>
        </w:trPr>
        <w:tc>
          <w:tcPr>
            <w:tcW w:w="380" w:type="dxa"/>
            <w:vAlign w:val="bottom"/>
          </w:tcPr>
          <w:p>
            <w:pPr>
              <w:spacing w:after="0"/>
              <w:rPr>
                <w:sz w:val="20"/>
                <w:szCs w:val="20"/>
                <w:color w:val="auto"/>
              </w:rPr>
            </w:pPr>
            <w:r>
              <w:rPr>
                <w:rFonts w:ascii="Arial" w:cs="Arial" w:eastAsia="Arial" w:hAnsi="Arial"/>
                <w:sz w:val="20"/>
                <w:szCs w:val="20"/>
                <w:color w:val="auto"/>
              </w:rPr>
              <w:t>8)</w:t>
            </w:r>
          </w:p>
        </w:tc>
        <w:tc>
          <w:tcPr>
            <w:tcW w:w="2580" w:type="dxa"/>
            <w:vAlign w:val="bottom"/>
          </w:tcPr>
          <w:p>
            <w:pPr>
              <w:ind w:left="100"/>
              <w:spacing w:after="0"/>
              <w:rPr>
                <w:sz w:val="20"/>
                <w:szCs w:val="20"/>
                <w:color w:val="auto"/>
              </w:rPr>
            </w:pPr>
            <w:r>
              <w:rPr>
                <w:rFonts w:ascii="Arial" w:cs="Arial" w:eastAsia="Arial" w:hAnsi="Arial"/>
                <w:sz w:val="20"/>
                <w:szCs w:val="20"/>
                <w:color w:val="auto"/>
              </w:rPr>
              <w:t>Shared Voting Power</w:t>
            </w:r>
          </w:p>
        </w:tc>
        <w:tc>
          <w:tcPr>
            <w:tcW w:w="1020" w:type="dxa"/>
            <w:vAlign w:val="bottom"/>
          </w:tcPr>
          <w:p>
            <w:pPr>
              <w:jc w:val="right"/>
              <w:spacing w:after="0"/>
              <w:rPr>
                <w:sz w:val="20"/>
                <w:szCs w:val="20"/>
                <w:color w:val="auto"/>
              </w:rPr>
            </w:pPr>
            <w:r>
              <w:rPr>
                <w:rFonts w:ascii="Arial" w:cs="Arial" w:eastAsia="Arial" w:hAnsi="Arial"/>
                <w:sz w:val="20"/>
                <w:szCs w:val="20"/>
                <w:b w:val="1"/>
                <w:bCs w:val="1"/>
                <w:color w:val="auto"/>
              </w:rPr>
              <w:t>None</w:t>
            </w:r>
          </w:p>
        </w:tc>
      </w:tr>
      <w:tr>
        <w:trPr>
          <w:trHeight w:val="486"/>
        </w:trPr>
        <w:tc>
          <w:tcPr>
            <w:tcW w:w="380" w:type="dxa"/>
            <w:vAlign w:val="bottom"/>
          </w:tcPr>
          <w:p>
            <w:pPr>
              <w:spacing w:after="0"/>
              <w:rPr>
                <w:sz w:val="20"/>
                <w:szCs w:val="20"/>
                <w:color w:val="auto"/>
              </w:rPr>
            </w:pPr>
            <w:r>
              <w:rPr>
                <w:rFonts w:ascii="Arial" w:cs="Arial" w:eastAsia="Arial" w:hAnsi="Arial"/>
                <w:sz w:val="20"/>
                <w:szCs w:val="20"/>
                <w:color w:val="auto"/>
              </w:rPr>
              <w:t>9)</w:t>
            </w:r>
          </w:p>
        </w:tc>
        <w:tc>
          <w:tcPr>
            <w:tcW w:w="2580" w:type="dxa"/>
            <w:vAlign w:val="bottom"/>
          </w:tcPr>
          <w:p>
            <w:pPr>
              <w:ind w:left="100"/>
              <w:spacing w:after="0"/>
              <w:rPr>
                <w:sz w:val="20"/>
                <w:szCs w:val="20"/>
                <w:color w:val="auto"/>
              </w:rPr>
            </w:pPr>
            <w:r>
              <w:rPr>
                <w:rFonts w:ascii="Arial" w:cs="Arial" w:eastAsia="Arial" w:hAnsi="Arial"/>
                <w:sz w:val="20"/>
                <w:szCs w:val="20"/>
                <w:color w:val="auto"/>
              </w:rPr>
              <w:t>Sole Dispositive Power:</w:t>
            </w:r>
          </w:p>
        </w:tc>
        <w:tc>
          <w:tcPr>
            <w:tcW w:w="1020" w:type="dxa"/>
            <w:vAlign w:val="bottom"/>
          </w:tcPr>
          <w:p>
            <w:pPr>
              <w:jc w:val="right"/>
              <w:spacing w:after="0"/>
              <w:rPr>
                <w:sz w:val="20"/>
                <w:szCs w:val="20"/>
                <w:color w:val="auto"/>
              </w:rPr>
            </w:pPr>
            <w:r>
              <w:rPr>
                <w:rFonts w:ascii="Arial" w:cs="Arial" w:eastAsia="Arial" w:hAnsi="Arial"/>
                <w:sz w:val="20"/>
                <w:szCs w:val="20"/>
                <w:b w:val="1"/>
                <w:bCs w:val="1"/>
                <w:color w:val="auto"/>
              </w:rPr>
              <w:t>321,250</w:t>
            </w:r>
          </w:p>
        </w:tc>
      </w:tr>
      <w:tr>
        <w:trPr>
          <w:trHeight w:val="486"/>
        </w:trPr>
        <w:tc>
          <w:tcPr>
            <w:tcW w:w="380" w:type="dxa"/>
            <w:vAlign w:val="bottom"/>
          </w:tcPr>
          <w:p>
            <w:pPr>
              <w:spacing w:after="0"/>
              <w:rPr>
                <w:sz w:val="20"/>
                <w:szCs w:val="20"/>
                <w:color w:val="auto"/>
              </w:rPr>
            </w:pPr>
            <w:r>
              <w:rPr>
                <w:rFonts w:ascii="Arial" w:cs="Arial" w:eastAsia="Arial" w:hAnsi="Arial"/>
                <w:sz w:val="20"/>
                <w:szCs w:val="20"/>
                <w:color w:val="auto"/>
              </w:rPr>
              <w:t>10)</w:t>
            </w:r>
          </w:p>
        </w:tc>
        <w:tc>
          <w:tcPr>
            <w:tcW w:w="2580" w:type="dxa"/>
            <w:vAlign w:val="bottom"/>
          </w:tcPr>
          <w:p>
            <w:pPr>
              <w:ind w:left="100"/>
              <w:spacing w:after="0"/>
              <w:rPr>
                <w:sz w:val="20"/>
                <w:szCs w:val="20"/>
                <w:color w:val="auto"/>
              </w:rPr>
            </w:pPr>
            <w:r>
              <w:rPr>
                <w:rFonts w:ascii="Arial" w:cs="Arial" w:eastAsia="Arial" w:hAnsi="Arial"/>
                <w:sz w:val="20"/>
                <w:szCs w:val="20"/>
                <w:color w:val="auto"/>
              </w:rPr>
              <w:t>Shared Dispositive Power:</w:t>
            </w:r>
          </w:p>
        </w:tc>
        <w:tc>
          <w:tcPr>
            <w:tcW w:w="1020" w:type="dxa"/>
            <w:vAlign w:val="bottom"/>
          </w:tcPr>
          <w:p>
            <w:pPr>
              <w:jc w:val="right"/>
              <w:spacing w:after="0"/>
              <w:rPr>
                <w:sz w:val="20"/>
                <w:szCs w:val="20"/>
                <w:color w:val="auto"/>
              </w:rPr>
            </w:pPr>
            <w:r>
              <w:rPr>
                <w:rFonts w:ascii="Arial" w:cs="Arial" w:eastAsia="Arial" w:hAnsi="Arial"/>
                <w:sz w:val="20"/>
                <w:szCs w:val="20"/>
                <w:b w:val="1"/>
                <w:bCs w:val="1"/>
                <w:color w:val="auto"/>
              </w:rPr>
              <w:t>None</w:t>
            </w:r>
          </w:p>
        </w:tc>
      </w:tr>
    </w:tbl>
    <w:p>
      <w:pPr>
        <w:spacing w:after="0" w:line="263"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w:t>
      </w:r>
    </w:p>
    <w:p>
      <w:pPr>
        <w:spacing w:after="0" w:line="196"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b w:val="1"/>
          <w:bCs w:val="1"/>
          <w:color w:val="auto"/>
        </w:rPr>
        <w:t>1,152,401</w:t>
      </w: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12) Check Box if the Aggregate Amount in Row (11) Excludes Certain Shares [  ]</w:t>
      </w:r>
    </w:p>
    <w:p>
      <w:pPr>
        <w:spacing w:after="0" w:line="200"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Percent of Class Represented By Amount in Row (11)</w:t>
      </w:r>
    </w:p>
    <w:p>
      <w:pPr>
        <w:spacing w:after="0" w:line="196"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b w:val="1"/>
          <w:bCs w:val="1"/>
          <w:color w:val="auto"/>
        </w:rPr>
        <w:t>4.56%</w:t>
      </w:r>
    </w:p>
    <w:p>
      <w:pPr>
        <w:spacing w:after="0" w:line="208" w:lineRule="exact"/>
        <w:rPr>
          <w:rFonts w:ascii="Arial" w:cs="Arial" w:eastAsia="Arial" w:hAnsi="Arial"/>
          <w:sz w:val="20"/>
          <w:szCs w:val="20"/>
          <w:color w:val="auto"/>
        </w:rPr>
      </w:pPr>
    </w:p>
    <w:p>
      <w:pPr>
        <w:ind w:left="320" w:hanging="312"/>
        <w:spacing w:after="0"/>
        <w:tabs>
          <w:tab w:leader="none" w:pos="3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Type of Reporting Person</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18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219"/>
          </w:cols>
          <w:pgMar w:left="240" w:top="684" w:right="1440"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Item 1. Security and Issuer</w:t>
      </w:r>
    </w:p>
    <w:p>
      <w:pPr>
        <w:spacing w:after="0" w:line="208" w:lineRule="exact"/>
        <w:rPr>
          <w:sz w:val="20"/>
          <w:szCs w:val="20"/>
          <w:color w:val="auto"/>
        </w:rPr>
      </w:pPr>
    </w:p>
    <w:p>
      <w:pPr>
        <w:ind w:right="1819"/>
        <w:spacing w:after="0" w:line="250" w:lineRule="auto"/>
        <w:rPr>
          <w:sz w:val="20"/>
          <w:szCs w:val="20"/>
          <w:color w:val="auto"/>
        </w:rPr>
      </w:pPr>
      <w:r>
        <w:rPr>
          <w:rFonts w:ascii="Arial" w:cs="Arial" w:eastAsia="Arial" w:hAnsi="Arial"/>
          <w:sz w:val="20"/>
          <w:szCs w:val="20"/>
          <w:color w:val="auto"/>
        </w:rPr>
        <w:t>This statement relates to the common stock (“Common Stock”), $0.01 par value, of Harris Stratex Networks, Inc., a Delaware corporation (the “Company”), whose principal executive offices are located at 637 Davis Drive, Morrisville, North Carolina 27560.</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Identity and Background</w:t>
      </w:r>
    </w:p>
    <w:p>
      <w:pPr>
        <w:spacing w:after="0" w:line="208" w:lineRule="exact"/>
        <w:rPr>
          <w:sz w:val="20"/>
          <w:szCs w:val="20"/>
          <w:color w:val="auto"/>
        </w:rPr>
      </w:pPr>
    </w:p>
    <w:p>
      <w:pPr>
        <w:ind w:right="1859" w:firstLine="8"/>
        <w:spacing w:after="0" w:line="255" w:lineRule="auto"/>
        <w:tabs>
          <w:tab w:leader="none" w:pos="486" w:val="left"/>
        </w:tabs>
        <w:numPr>
          <w:ilvl w:val="0"/>
          <w:numId w:val="21"/>
        </w:numPr>
        <w:rPr>
          <w:rFonts w:ascii="Arial" w:cs="Arial" w:eastAsia="Arial" w:hAnsi="Arial"/>
          <w:sz w:val="19"/>
          <w:szCs w:val="19"/>
          <w:color w:val="auto"/>
        </w:rPr>
      </w:pPr>
      <w:r>
        <w:rPr>
          <w:rFonts w:ascii="Arial" w:cs="Arial" w:eastAsia="Arial" w:hAnsi="Arial"/>
          <w:sz w:val="19"/>
          <w:szCs w:val="19"/>
          <w:color w:val="auto"/>
        </w:rPr>
        <w:t>This statement is filed by Kopp Investment Advisors, LLC (“KIA”) with respect to shares of Common Stock owned by clients and held in discretionary accounts managed by KIA; Kopp Holding Company, LLC (“KHCLLC”) solely as the parent entity of KIA and indirect beneficial owner of the shares of Common Stock beneficially owned by KIA; Kopp Holding Company (“KHC”) solely as the parent entity of KHCLLC and indirect beneficial owner of the shares of Common Stock beneficially owned by KHCLLC; and LeRoy C. Kopp individually with respect to shares of Common Stock that may be deemed beneficially owned directly by him and indirectly, including by virtue of his position as the control person of KHC. The foregoing persons are sometimes referred to as “Reporting Persons.” Certain information concerning the directors and executive officers of the corporate Reporting Persons is set forth on Schedule A attached hereto and incorporated herein by reference. Any disclosures with respect to persons other than the Reporting Persons are made on information and belief after making inquiry to the appropriate party.</w:t>
      </w:r>
    </w:p>
    <w:p>
      <w:pPr>
        <w:spacing w:after="0" w:line="158" w:lineRule="exact"/>
        <w:rPr>
          <w:rFonts w:ascii="Arial" w:cs="Arial" w:eastAsia="Arial" w:hAnsi="Arial"/>
          <w:sz w:val="19"/>
          <w:szCs w:val="19"/>
          <w:color w:val="auto"/>
        </w:rPr>
      </w:pPr>
    </w:p>
    <w:p>
      <w:pPr>
        <w:ind w:right="1919" w:firstLine="8"/>
        <w:spacing w:after="0" w:line="260" w:lineRule="auto"/>
        <w:tabs>
          <w:tab w:leader="none" w:pos="486"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business address of each of the Reporting Persons and directors and executive officers is 7701 France Avenue South, Suite 500, Edina, Minnesota 55435.</w:t>
      </w:r>
    </w:p>
    <w:p>
      <w:pPr>
        <w:spacing w:after="0" w:line="149" w:lineRule="exact"/>
        <w:rPr>
          <w:rFonts w:ascii="Arial" w:cs="Arial" w:eastAsia="Arial" w:hAnsi="Arial"/>
          <w:sz w:val="20"/>
          <w:szCs w:val="20"/>
          <w:color w:val="auto"/>
        </w:rPr>
      </w:pPr>
    </w:p>
    <w:p>
      <w:pPr>
        <w:jc w:val="both"/>
        <w:ind w:right="2139" w:firstLine="8"/>
        <w:spacing w:after="0" w:line="246" w:lineRule="auto"/>
        <w:tabs>
          <w:tab w:leader="none" w:pos="486"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principal business of KIA is that of an investment adviser managing discretionary accounts owned by numerous third-party clients. KHCLLC and KHC are holding companies engaged, through subsidiaries, in the investment industry. The principal occupation of Mr. Kopp is serving as the chief executive officer of KHCLLC, KHC and KIA.</w:t>
      </w:r>
    </w:p>
    <w:p>
      <w:pPr>
        <w:spacing w:after="0" w:line="178" w:lineRule="exact"/>
        <w:rPr>
          <w:rFonts w:ascii="Arial" w:cs="Arial" w:eastAsia="Arial" w:hAnsi="Arial"/>
          <w:sz w:val="20"/>
          <w:szCs w:val="20"/>
          <w:color w:val="auto"/>
        </w:rPr>
      </w:pPr>
    </w:p>
    <w:p>
      <w:pPr>
        <w:ind w:right="2579" w:firstLine="8"/>
        <w:spacing w:after="0" w:line="386" w:lineRule="auto"/>
        <w:tabs>
          <w:tab w:leader="none" w:pos="486" w:val="left"/>
        </w:tabs>
        <w:numPr>
          <w:ilvl w:val="0"/>
          <w:numId w:val="21"/>
        </w:numPr>
        <w:rPr>
          <w:rFonts w:ascii="Arial" w:cs="Arial" w:eastAsia="Arial" w:hAnsi="Arial"/>
          <w:sz w:val="16"/>
          <w:szCs w:val="16"/>
          <w:color w:val="auto"/>
        </w:rPr>
      </w:pPr>
      <w:r>
        <w:rPr>
          <w:rFonts w:ascii="Arial" w:cs="Arial" w:eastAsia="Arial" w:hAnsi="Arial"/>
          <w:sz w:val="16"/>
          <w:szCs w:val="16"/>
          <w:color w:val="auto"/>
        </w:rPr>
        <w:t>None of the persons referred to in paragraph (a) above has, during the last five years, been convicted in a criminal proceeding (excluding traffic violations and/or similar misdemeanors).</w:t>
      </w:r>
    </w:p>
    <w:p>
      <w:pPr>
        <w:spacing w:after="0" w:line="56" w:lineRule="exact"/>
        <w:rPr>
          <w:rFonts w:ascii="Arial" w:cs="Arial" w:eastAsia="Arial" w:hAnsi="Arial"/>
          <w:sz w:val="16"/>
          <w:szCs w:val="16"/>
          <w:color w:val="auto"/>
        </w:rPr>
      </w:pPr>
    </w:p>
    <w:p>
      <w:pPr>
        <w:ind w:right="1839" w:firstLine="8"/>
        <w:spacing w:after="0" w:line="244" w:lineRule="auto"/>
        <w:tabs>
          <w:tab w:leader="none" w:pos="486" w:val="left"/>
        </w:tabs>
        <w:numPr>
          <w:ilvl w:val="0"/>
          <w:numId w:val="21"/>
        </w:numPr>
        <w:rPr>
          <w:rFonts w:ascii="Arial" w:cs="Arial" w:eastAsia="Arial" w:hAnsi="Arial"/>
          <w:sz w:val="20"/>
          <w:szCs w:val="20"/>
          <w:color w:val="auto"/>
        </w:rPr>
      </w:pPr>
      <w:r>
        <w:rPr>
          <w:rFonts w:ascii="Arial" w:cs="Arial" w:eastAsia="Arial" w:hAnsi="Arial"/>
          <w:sz w:val="20"/>
          <w:szCs w:val="20"/>
          <w:color w:val="auto"/>
        </w:rPr>
        <w:t>None of the persons referred to in paragraph (a) above has, during the last five years,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67" w:lineRule="exact"/>
        <w:rPr>
          <w:rFonts w:ascii="Arial" w:cs="Arial" w:eastAsia="Arial" w:hAnsi="Arial"/>
          <w:sz w:val="20"/>
          <w:szCs w:val="20"/>
          <w:color w:val="auto"/>
        </w:rPr>
      </w:pPr>
    </w:p>
    <w:p>
      <w:pPr>
        <w:ind w:right="2059" w:firstLine="8"/>
        <w:spacing w:after="0" w:line="250" w:lineRule="auto"/>
        <w:tabs>
          <w:tab w:leader="none" w:pos="486" w:val="left"/>
        </w:tabs>
        <w:numPr>
          <w:ilvl w:val="0"/>
          <w:numId w:val="21"/>
        </w:numPr>
        <w:rPr>
          <w:rFonts w:ascii="Arial" w:cs="Arial" w:eastAsia="Arial" w:hAnsi="Arial"/>
          <w:sz w:val="20"/>
          <w:szCs w:val="20"/>
          <w:color w:val="auto"/>
        </w:rPr>
      </w:pPr>
      <w:r>
        <w:rPr>
          <w:rFonts w:ascii="Arial" w:cs="Arial" w:eastAsia="Arial" w:hAnsi="Arial"/>
          <w:sz w:val="20"/>
          <w:szCs w:val="20"/>
          <w:color w:val="auto"/>
        </w:rPr>
        <w:t>KIA and KHCLLC are Minnesota limited liability companies. KHC is a Minnesota corporation. Mr. Kopp and all other directors and executive officers of the Reporting Persons are citizens of the United States.</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Source and Amount of Funds or Other Consideration</w:t>
      </w:r>
    </w:p>
    <w:p>
      <w:pPr>
        <w:spacing w:after="0" w:line="208" w:lineRule="exact"/>
        <w:rPr>
          <w:sz w:val="20"/>
          <w:szCs w:val="20"/>
          <w:color w:val="auto"/>
        </w:rPr>
      </w:pPr>
    </w:p>
    <w:p>
      <w:pPr>
        <w:ind w:right="2099"/>
        <w:spacing w:after="0" w:line="276" w:lineRule="auto"/>
        <w:rPr>
          <w:sz w:val="20"/>
          <w:szCs w:val="20"/>
          <w:color w:val="auto"/>
        </w:rPr>
      </w:pPr>
      <w:r>
        <w:rPr>
          <w:rFonts w:ascii="Arial" w:cs="Arial" w:eastAsia="Arial" w:hAnsi="Arial"/>
          <w:sz w:val="18"/>
          <w:szCs w:val="18"/>
          <w:color w:val="auto"/>
        </w:rPr>
        <w:t>The net investment cost (including commissions, if any) of the shares of Common Stock directly or indirectly beneficially owned by Mr. Kopp, which includes shares beneficially owned by the other Reporting Persons, at August 24, 2007, was $578,165. The shares beneficially owned by KIA were purchased with the investment capital of the owners of the discretionary client accounts. The shares beneficially owned directly and indirectly (other than through KIA) by Mr. Kopp were purchased with Mr. Kopp’s investment capital or the funds of a 501(c)(3) corporation. See Item 5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18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0219"/>
          </w:cols>
          <w:pgMar w:left="240" w:top="603" w:right="1440"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Item 4. Purpose of Transaction</w:t>
      </w:r>
    </w:p>
    <w:p>
      <w:pPr>
        <w:spacing w:after="0" w:line="208" w:lineRule="exact"/>
        <w:rPr>
          <w:sz w:val="20"/>
          <w:szCs w:val="20"/>
          <w:color w:val="auto"/>
        </w:rPr>
      </w:pPr>
    </w:p>
    <w:p>
      <w:pPr>
        <w:ind w:right="1859"/>
        <w:spacing w:after="0" w:line="243" w:lineRule="auto"/>
        <w:rPr>
          <w:sz w:val="20"/>
          <w:szCs w:val="20"/>
          <w:color w:val="auto"/>
        </w:rPr>
      </w:pPr>
      <w:r>
        <w:rPr>
          <w:rFonts w:ascii="Arial" w:cs="Arial" w:eastAsia="Arial" w:hAnsi="Arial"/>
          <w:sz w:val="20"/>
          <w:szCs w:val="20"/>
          <w:color w:val="auto"/>
        </w:rPr>
        <w:t>The Reporting Persons acquired the shares of Common Stock for investment purposes, and the Reporting Persons intend to evaluate the performance of such securities as an investment in the ordinary course of business. The Reporting Persons pursue an investment objective of long-term capital appreciation. In pursuing this investment objective, the Reporting Persons analyze the management, operations and markets of companies in which they invest, including the Company, on a continual basis through analysis of research and discussions with industry and market observers and with representatives of such companies.</w:t>
      </w:r>
    </w:p>
    <w:p>
      <w:pPr>
        <w:spacing w:after="0" w:line="166" w:lineRule="exact"/>
        <w:rPr>
          <w:sz w:val="20"/>
          <w:szCs w:val="20"/>
          <w:color w:val="auto"/>
        </w:rPr>
      </w:pPr>
    </w:p>
    <w:p>
      <w:pPr>
        <w:ind w:right="1939"/>
        <w:spacing w:after="0" w:line="274" w:lineRule="auto"/>
        <w:rPr>
          <w:sz w:val="20"/>
          <w:szCs w:val="20"/>
          <w:color w:val="auto"/>
        </w:rPr>
      </w:pPr>
      <w:r>
        <w:rPr>
          <w:rFonts w:ascii="Arial" w:cs="Arial" w:eastAsia="Arial" w:hAnsi="Arial"/>
          <w:sz w:val="18"/>
          <w:szCs w:val="18"/>
          <w:color w:val="auto"/>
        </w:rPr>
        <w:t>Each Reporting Person that owns shares of Common Stock assesses the Company’s business, financial condition, and results of operations as well as economic conditions and securities markets in general and those for the Company’s shares in particular. Depending on such assessments, one or more of such Reporting Persons may acquire additional shares or may sell or otherwise dispose of all or some of the shares of Common Stock. Such actions will depend on a variety of factors, including current and anticipated trading prices for the Common Stock, alternative investment opportunities, and general economic, financial market and industry conditions.</w:t>
      </w:r>
    </w:p>
    <w:p>
      <w:pPr>
        <w:spacing w:after="0" w:line="156" w:lineRule="exact"/>
        <w:rPr>
          <w:sz w:val="20"/>
          <w:szCs w:val="20"/>
          <w:color w:val="auto"/>
        </w:rPr>
      </w:pPr>
    </w:p>
    <w:p>
      <w:pPr>
        <w:ind w:right="1799"/>
        <w:spacing w:after="0" w:line="256" w:lineRule="auto"/>
        <w:rPr>
          <w:sz w:val="20"/>
          <w:szCs w:val="20"/>
          <w:color w:val="auto"/>
        </w:rPr>
      </w:pPr>
      <w:r>
        <w:rPr>
          <w:rFonts w:ascii="Arial" w:cs="Arial" w:eastAsia="Arial" w:hAnsi="Arial"/>
          <w:sz w:val="19"/>
          <w:szCs w:val="19"/>
          <w:color w:val="auto"/>
        </w:rPr>
        <w:t>Except as described in this Item 4, none of the Reporting Persons nor any other person named in Schedule A has any plans or proposals that relate to, or would result in, any matter required to be disclosed in response to paragraphs (a) through (j), inclusive, of Item 4 of Schedule 13D. The shares of Common Stock were not acquired for the purpose, nor with the effect, of changing or influencing the control of the Company. The Reporting Persons are filing this Statement on Schedule 13D, as opposed to Schedule 13G, due to the fact that the shares of Common Stock that may be deemed to be beneficially owned by Mr. Kopp directly and indirectly (other than through KIA) exceed 1% of the shares of Common Stock outstanding. Neither any of the Reporting Persons nor any client or shareholder thereof is a member of a “group” for any purpose.</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5. Interest in Securities of the Issuer</w:t>
      </w:r>
    </w:p>
    <w:p>
      <w:pPr>
        <w:spacing w:after="0" w:line="195" w:lineRule="exact"/>
        <w:rPr>
          <w:sz w:val="20"/>
          <w:szCs w:val="20"/>
          <w:color w:val="auto"/>
        </w:rPr>
      </w:pPr>
    </w:p>
    <w:p>
      <w:pPr>
        <w:jc w:val="both"/>
        <w:ind w:right="1939" w:firstLine="8"/>
        <w:spacing w:after="0" w:line="263" w:lineRule="auto"/>
        <w:tabs>
          <w:tab w:leader="none" w:pos="486" w:val="left"/>
        </w:tabs>
        <w:numPr>
          <w:ilvl w:val="0"/>
          <w:numId w:val="22"/>
        </w:numPr>
        <w:rPr>
          <w:rFonts w:ascii="Arial" w:cs="Arial" w:eastAsia="Arial" w:hAnsi="Arial"/>
          <w:sz w:val="19"/>
          <w:szCs w:val="19"/>
          <w:color w:val="auto"/>
        </w:rPr>
      </w:pPr>
      <w:r>
        <w:rPr>
          <w:rFonts w:ascii="Arial" w:cs="Arial" w:eastAsia="Arial" w:hAnsi="Arial"/>
          <w:sz w:val="19"/>
          <w:szCs w:val="19"/>
          <w:color w:val="auto"/>
        </w:rPr>
        <w:t>Generally by virtue of limited powers of attorney and/or investment advisory agreements, KIA is the beneficial owner of 1,070,989 shares, or approximately 4.24%, of the Common Stock. By virtue of the relationships described in Item 2 of this statement, KHCLLC, KHC and Mr. Kopp may have indirect beneficial ownership of the shares beneficially owned by KIA.</w:t>
      </w:r>
    </w:p>
    <w:p>
      <w:pPr>
        <w:spacing w:after="0" w:line="163" w:lineRule="exact"/>
        <w:rPr>
          <w:sz w:val="20"/>
          <w:szCs w:val="20"/>
          <w:color w:val="auto"/>
        </w:rPr>
      </w:pPr>
    </w:p>
    <w:p>
      <w:pPr>
        <w:ind w:right="1839"/>
        <w:spacing w:after="0" w:line="276" w:lineRule="auto"/>
        <w:rPr>
          <w:sz w:val="20"/>
          <w:szCs w:val="20"/>
          <w:color w:val="auto"/>
        </w:rPr>
      </w:pPr>
      <w:r>
        <w:rPr>
          <w:rFonts w:ascii="Arial" w:cs="Arial" w:eastAsia="Arial" w:hAnsi="Arial"/>
          <w:sz w:val="18"/>
          <w:szCs w:val="18"/>
          <w:color w:val="auto"/>
        </w:rPr>
        <w:t>In addition, Mr. Kopp’s indirect beneficial ownership may comprise Common Stock held in the name of KHC, held in the Kopp Family Foundation, a 501(c)(3) corporation for which he serves as a director, and held in his wife’s individual retirement account (“IRA”). Mr. Kopp’s direct beneficial ownership may comprise Common Stock held in his IRA and held directly by him. In the aggregate, including the shares beneficially owned by KIA, under Section 13 of the Act, Mr. Kopp may be deemed beneficially to own a total of 1,152,401 shares, or approximately 4.56%, of the Common Stock.</w:t>
      </w:r>
    </w:p>
    <w:p>
      <w:pPr>
        <w:spacing w:after="0" w:line="138" w:lineRule="exact"/>
        <w:rPr>
          <w:sz w:val="20"/>
          <w:szCs w:val="20"/>
          <w:color w:val="auto"/>
        </w:rPr>
      </w:pPr>
    </w:p>
    <w:p>
      <w:pPr>
        <w:ind w:right="1799" w:firstLine="8"/>
        <w:spacing w:after="0" w:line="278" w:lineRule="auto"/>
        <w:tabs>
          <w:tab w:leader="none" w:pos="486" w:val="left"/>
        </w:tabs>
        <w:numPr>
          <w:ilvl w:val="0"/>
          <w:numId w:val="23"/>
        </w:numPr>
        <w:rPr>
          <w:rFonts w:ascii="Arial" w:cs="Arial" w:eastAsia="Arial" w:hAnsi="Arial"/>
          <w:sz w:val="18"/>
          <w:szCs w:val="18"/>
          <w:color w:val="auto"/>
        </w:rPr>
      </w:pPr>
      <w:r>
        <w:rPr>
          <w:rFonts w:ascii="Arial" w:cs="Arial" w:eastAsia="Arial" w:hAnsi="Arial"/>
          <w:sz w:val="18"/>
          <w:szCs w:val="18"/>
          <w:color w:val="auto"/>
        </w:rPr>
        <w:t>KIA has the sole power to vote 1,070,989 shares of the Common Stock. Pursuant to the limited powers of attorney granted to KIA by its clients, which generally are terminable immediately upon notice, KIA in effect shares with the majority of its clients the power to dispose of the 831,151 shares of Common Stock owned individually by its clients. Mr. Kopp has the sole power to dispose of 321,250 shares of Common Stock beneficially owned directly and indirectly (other than through KIA) by him.</w:t>
      </w:r>
    </w:p>
    <w:p>
      <w:pPr>
        <w:spacing w:after="0" w:line="138" w:lineRule="exact"/>
        <w:rPr>
          <w:rFonts w:ascii="Arial" w:cs="Arial" w:eastAsia="Arial" w:hAnsi="Arial"/>
          <w:sz w:val="18"/>
          <w:szCs w:val="18"/>
          <w:color w:val="auto"/>
        </w:rPr>
      </w:pPr>
    </w:p>
    <w:p>
      <w:pPr>
        <w:ind w:right="1899" w:firstLine="8"/>
        <w:spacing w:after="0" w:line="282" w:lineRule="auto"/>
        <w:tabs>
          <w:tab w:leader="none" w:pos="486"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identity of the Reporting Person, type of transaction, date, number of shares, and price per share (excluding commission) for all transactions in the Common Stock by the Reporting Persons for the last sixty days are set forth on Schedule B attached hereto and incorporated by reference herein. Substantially all trades by the Reporting Persons are done in the over-the-counter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180"/>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0219"/>
          </w:cols>
          <w:pgMar w:left="240" w:top="603" w:right="1440" w:bottom="1440" w:gutter="0" w:footer="0" w:header="0"/>
        </w:sectPr>
      </w:pPr>
    </w:p>
    <w:bookmarkStart w:id="7" w:name="page8"/>
    <w:bookmarkEnd w:id="7"/>
    <w:p>
      <w:pPr>
        <w:ind w:right="2179" w:firstLine="8"/>
        <w:spacing w:after="0" w:line="250" w:lineRule="auto"/>
        <w:tabs>
          <w:tab w:leader="none" w:pos="486" w:val="left"/>
        </w:tabs>
        <w:numPr>
          <w:ilvl w:val="0"/>
          <w:numId w:val="24"/>
        </w:numPr>
        <w:rPr>
          <w:rFonts w:ascii="Arial" w:cs="Arial" w:eastAsia="Arial" w:hAnsi="Arial"/>
          <w:sz w:val="20"/>
          <w:szCs w:val="20"/>
          <w:color w:val="auto"/>
        </w:rPr>
      </w:pPr>
      <w:r>
        <w:rPr>
          <w:rFonts w:ascii="Arial" w:cs="Arial" w:eastAsia="Arial" w:hAnsi="Arial"/>
          <w:sz w:val="20"/>
          <w:szCs w:val="20"/>
          <w:color w:val="auto"/>
        </w:rPr>
        <w:t>With respect to the shares held in a fiduciary or representative capacity, persons other than the Reporting Persons have the right to receive or the power to direct the receipt of dividends from or the proceeds of the sale of such shares of Common Stock.</w:t>
      </w:r>
    </w:p>
    <w:p>
      <w:pPr>
        <w:spacing w:after="0" w:line="159" w:lineRule="exact"/>
        <w:rPr>
          <w:rFonts w:ascii="Arial" w:cs="Arial" w:eastAsia="Arial" w:hAnsi="Arial"/>
          <w:sz w:val="20"/>
          <w:szCs w:val="20"/>
          <w:color w:val="auto"/>
        </w:rPr>
      </w:pPr>
    </w:p>
    <w:p>
      <w:pPr>
        <w:ind w:left="500" w:hanging="492"/>
        <w:spacing w:after="0"/>
        <w:tabs>
          <w:tab w:leader="none" w:pos="5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Not applicable.</w:t>
      </w:r>
    </w:p>
    <w:p>
      <w:pPr>
        <w:spacing w:after="0" w:line="196" w:lineRule="exact"/>
        <w:rPr>
          <w:sz w:val="20"/>
          <w:szCs w:val="20"/>
          <w:color w:val="auto"/>
        </w:rPr>
      </w:pPr>
    </w:p>
    <w:p>
      <w:pPr>
        <w:ind w:right="2059"/>
        <w:spacing w:after="0" w:line="267" w:lineRule="auto"/>
        <w:rPr>
          <w:sz w:val="20"/>
          <w:szCs w:val="20"/>
          <w:color w:val="auto"/>
        </w:rPr>
      </w:pPr>
      <w:r>
        <w:rPr>
          <w:rFonts w:ascii="Arial" w:cs="Arial" w:eastAsia="Arial" w:hAnsi="Arial"/>
          <w:sz w:val="20"/>
          <w:szCs w:val="20"/>
          <w:b w:val="1"/>
          <w:bCs w:val="1"/>
          <w:color w:val="auto"/>
        </w:rPr>
        <w:t>Item 6. Contracts, Arrangements, Understandings or Relationships with Respect to Securities of the Issuer</w:t>
      </w:r>
    </w:p>
    <w:p>
      <w:pPr>
        <w:spacing w:after="0" w:line="143" w:lineRule="exact"/>
        <w:rPr>
          <w:sz w:val="20"/>
          <w:szCs w:val="20"/>
          <w:color w:val="auto"/>
        </w:rPr>
      </w:pPr>
    </w:p>
    <w:p>
      <w:pPr>
        <w:ind w:right="1819"/>
        <w:spacing w:after="0" w:line="244" w:lineRule="auto"/>
        <w:rPr>
          <w:sz w:val="20"/>
          <w:szCs w:val="20"/>
          <w:color w:val="auto"/>
        </w:rPr>
      </w:pPr>
      <w:r>
        <w:rPr>
          <w:rFonts w:ascii="Arial" w:cs="Arial" w:eastAsia="Arial" w:hAnsi="Arial"/>
          <w:sz w:val="20"/>
          <w:szCs w:val="20"/>
          <w:color w:val="auto"/>
        </w:rPr>
        <w:t>Except as disclosed in this Schedule 13D, there are no contracts, understandings, or relationships between the Reporting Persons and any third person with respect to the shares of Company common stock. The filing of this Schedule shall NOT be construed as an admission that a Reporting Person or any other person is a beneficial owner of any shares of Common Stock for any purpose, including for purposes of Sections 13, 14 or 16 of the Act.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 Material to Be Filed as Exhibits</w:t>
      </w: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Exhibit 1 – A written agreement relating to the filing of this statement pursuant to Rule 13d-1(k).</w:t>
      </w:r>
    </w:p>
    <w:p>
      <w:pPr>
        <w:spacing w:after="0" w:line="194" w:lineRule="exact"/>
        <w:rPr>
          <w:sz w:val="20"/>
          <w:szCs w:val="20"/>
          <w:color w:val="auto"/>
        </w:rPr>
      </w:pPr>
    </w:p>
    <w:p>
      <w:pPr>
        <w:ind w:left="3780"/>
        <w:spacing w:after="0"/>
        <w:rPr>
          <w:sz w:val="20"/>
          <w:szCs w:val="20"/>
          <w:color w:val="auto"/>
        </w:rPr>
      </w:pPr>
      <w:r>
        <w:rPr>
          <w:rFonts w:ascii="Arial" w:cs="Arial" w:eastAsia="Arial" w:hAnsi="Arial"/>
          <w:sz w:val="20"/>
          <w:szCs w:val="20"/>
          <w:b w:val="1"/>
          <w:bCs w:val="1"/>
          <w:color w:val="auto"/>
        </w:rPr>
        <w:t>Signatures</w:t>
      </w:r>
    </w:p>
    <w:p>
      <w:pPr>
        <w:spacing w:after="0" w:line="208" w:lineRule="exact"/>
        <w:rPr>
          <w:sz w:val="20"/>
          <w:szCs w:val="20"/>
          <w:color w:val="auto"/>
        </w:rPr>
      </w:pPr>
    </w:p>
    <w:p>
      <w:pPr>
        <w:ind w:right="2239"/>
        <w:spacing w:after="0" w:line="260" w:lineRule="auto"/>
        <w:rPr>
          <w:sz w:val="20"/>
          <w:szCs w:val="20"/>
          <w:color w:val="auto"/>
        </w:rPr>
      </w:pPr>
      <w:r>
        <w:rPr>
          <w:rFonts w:ascii="Arial" w:cs="Arial" w:eastAsia="Arial" w:hAnsi="Arial"/>
          <w:sz w:val="20"/>
          <w:szCs w:val="20"/>
          <w:color w:val="auto"/>
        </w:rPr>
        <w:t>After reasonable inquiry and to the best of our knowledge and belief, the undersigned certify that the information set forth in this statement is true, complete, and correct.</w:t>
      </w: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color w:val="auto"/>
        </w:rPr>
        <w:t>Dated: August 28, 2007</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KOPP INVESTMENT ADVISORS, LLC</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 John P. Flakne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45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4508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BY: John P. Flakne</w:t>
      </w:r>
    </w:p>
    <w:p>
      <w:pPr>
        <w:spacing w:after="0"/>
        <w:rPr>
          <w:sz w:val="20"/>
          <w:szCs w:val="20"/>
          <w:color w:val="auto"/>
        </w:rPr>
      </w:pPr>
      <w:r>
        <w:rPr>
          <w:rFonts w:ascii="Arial" w:cs="Arial" w:eastAsia="Arial" w:hAnsi="Arial"/>
          <w:sz w:val="20"/>
          <w:szCs w:val="20"/>
          <w:color w:val="auto"/>
        </w:rPr>
        <w:t>TITLE: Chief Financial Officer</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color w:val="auto"/>
        </w:rPr>
        <w:t>KOPP HOLDING COMPANY, LLC</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 John P. Flakne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45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4508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BY: John P. Flakne</w:t>
      </w:r>
    </w:p>
    <w:p>
      <w:pPr>
        <w:spacing w:after="0"/>
        <w:rPr>
          <w:sz w:val="20"/>
          <w:szCs w:val="20"/>
          <w:color w:val="auto"/>
        </w:rPr>
      </w:pPr>
      <w:r>
        <w:rPr>
          <w:rFonts w:ascii="Arial" w:cs="Arial" w:eastAsia="Arial" w:hAnsi="Arial"/>
          <w:sz w:val="20"/>
          <w:szCs w:val="20"/>
          <w:color w:val="auto"/>
        </w:rPr>
        <w:t>TITLE: Chief Financial Officer</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color w:val="auto"/>
        </w:rPr>
        <w:t>KOPP HOLDING COMPANY</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 John P. Flakne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45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4508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BY: John P. Flakne</w:t>
      </w:r>
    </w:p>
    <w:p>
      <w:pPr>
        <w:spacing w:after="0"/>
        <w:rPr>
          <w:sz w:val="20"/>
          <w:szCs w:val="20"/>
          <w:color w:val="auto"/>
        </w:rPr>
      </w:pPr>
      <w:r>
        <w:rPr>
          <w:rFonts w:ascii="Arial" w:cs="Arial" w:eastAsia="Arial" w:hAnsi="Arial"/>
          <w:sz w:val="20"/>
          <w:szCs w:val="20"/>
          <w:color w:val="auto"/>
        </w:rPr>
        <w:t>TITLE: Chief Financial Officer</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color w:val="auto"/>
        </w:rPr>
        <w:t>LEROY C. KOPP</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/s/ LeRoy C. Kopp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520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520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180"/>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0219"/>
          </w:cols>
          <w:pgMar w:left="240" w:top="609" w:right="1440" w:bottom="1440" w:gutter="0" w:footer="0" w:header="0"/>
        </w:sectPr>
      </w:pPr>
    </w:p>
    <w:bookmarkStart w:id="8" w:name="page9"/>
    <w:bookmarkEnd w:id="8"/>
    <w:p>
      <w:pPr>
        <w:jc w:val="center"/>
        <w:ind w:right="1759"/>
        <w:spacing w:after="0"/>
        <w:rPr>
          <w:sz w:val="20"/>
          <w:szCs w:val="20"/>
          <w:color w:val="auto"/>
        </w:rPr>
      </w:pPr>
      <w:r>
        <w:rPr>
          <w:rFonts w:ascii="Arial" w:cs="Arial" w:eastAsia="Arial" w:hAnsi="Arial"/>
          <w:sz w:val="20"/>
          <w:szCs w:val="20"/>
          <w:b w:val="1"/>
          <w:bCs w:val="1"/>
          <w:u w:val="single" w:color="auto"/>
          <w:color w:val="auto"/>
        </w:rPr>
        <w:t>Exhibit 1</w:t>
      </w:r>
    </w:p>
    <w:p>
      <w:pPr>
        <w:spacing w:after="0" w:line="202" w:lineRule="exact"/>
        <w:rPr>
          <w:sz w:val="20"/>
          <w:szCs w:val="20"/>
          <w:color w:val="auto"/>
        </w:rPr>
      </w:pPr>
    </w:p>
    <w:p>
      <w:pPr>
        <w:jc w:val="center"/>
        <w:ind w:right="1759"/>
        <w:spacing w:after="0"/>
        <w:rPr>
          <w:sz w:val="20"/>
          <w:szCs w:val="20"/>
          <w:color w:val="auto"/>
        </w:rPr>
      </w:pPr>
      <w:r>
        <w:rPr>
          <w:rFonts w:ascii="Arial" w:cs="Arial" w:eastAsia="Arial" w:hAnsi="Arial"/>
          <w:sz w:val="20"/>
          <w:szCs w:val="20"/>
          <w:b w:val="1"/>
          <w:bCs w:val="1"/>
          <w:u w:val="single" w:color="auto"/>
          <w:color w:val="auto"/>
        </w:rPr>
        <w:t>JOINT FILING AGREEMENT</w:t>
      </w:r>
    </w:p>
    <w:p>
      <w:pPr>
        <w:spacing w:after="0" w:line="397" w:lineRule="exact"/>
        <w:rPr>
          <w:sz w:val="20"/>
          <w:szCs w:val="20"/>
          <w:color w:val="auto"/>
        </w:rPr>
      </w:pPr>
    </w:p>
    <w:p>
      <w:pPr>
        <w:ind w:right="2039"/>
        <w:spacing w:after="0" w:line="244" w:lineRule="auto"/>
        <w:rPr>
          <w:sz w:val="20"/>
          <w:szCs w:val="20"/>
          <w:color w:val="auto"/>
        </w:rPr>
      </w:pPr>
      <w:r>
        <w:rPr>
          <w:rFonts w:ascii="Arial" w:cs="Arial" w:eastAsia="Arial" w:hAnsi="Arial"/>
          <w:sz w:val="20"/>
          <w:szCs w:val="20"/>
          <w:color w:val="auto"/>
        </w:rPr>
        <w:t>In accordance with Rule 13d-1(k) under the Securities Exchange Act of 1934, as amended, the undersigned hereby agree to the joint filing with all other Reporting Persons (as such term is defined in the Schedule 13D) on behalf of each of them of a statement on Schedule 13D (including amendments thereto) with respect to the Common Stock (as defined) and to the attachment of this agreement to the Schedule 13D as Exhibit 1 thereto.</w:t>
      </w:r>
    </w:p>
    <w:p>
      <w:pPr>
        <w:spacing w:after="0" w:line="60" w:lineRule="exact"/>
        <w:rPr>
          <w:sz w:val="20"/>
          <w:szCs w:val="20"/>
          <w:color w:val="auto"/>
        </w:rPr>
      </w:pPr>
    </w:p>
    <w:p>
      <w:pPr>
        <w:ind w:right="1779"/>
        <w:spacing w:after="0" w:line="359" w:lineRule="auto"/>
        <w:rPr>
          <w:sz w:val="20"/>
          <w:szCs w:val="20"/>
          <w:color w:val="auto"/>
        </w:rPr>
      </w:pPr>
      <w:r>
        <w:rPr>
          <w:rFonts w:ascii="Arial" w:cs="Arial" w:eastAsia="Arial" w:hAnsi="Arial"/>
          <w:sz w:val="20"/>
          <w:szCs w:val="20"/>
          <w:color w:val="auto"/>
        </w:rPr>
        <w:t>IN WITNESS WHEREOF, the undersigned hereby execute this Agreement this 28th day of August, 2007. KOPP INVESTMENT ADVISORS, LLC</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color w:val="auto"/>
        </w:rPr>
        <w:t>/s/ John P. Flakne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511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5110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BY: John P. Flakne</w:t>
      </w:r>
    </w:p>
    <w:p>
      <w:pPr>
        <w:spacing w:after="0"/>
        <w:rPr>
          <w:sz w:val="20"/>
          <w:szCs w:val="20"/>
          <w:color w:val="auto"/>
        </w:rPr>
      </w:pPr>
      <w:r>
        <w:rPr>
          <w:rFonts w:ascii="Arial" w:cs="Arial" w:eastAsia="Arial" w:hAnsi="Arial"/>
          <w:sz w:val="20"/>
          <w:szCs w:val="20"/>
          <w:color w:val="auto"/>
        </w:rPr>
        <w:t>TITLE: Chief Financial Officer</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color w:val="auto"/>
        </w:rPr>
        <w:t>KOPP HOLDING COMPANY, LLC</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 John P. Flakne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511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5110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BY: John P. Flakne</w:t>
      </w:r>
    </w:p>
    <w:p>
      <w:pPr>
        <w:spacing w:after="0"/>
        <w:rPr>
          <w:sz w:val="20"/>
          <w:szCs w:val="20"/>
          <w:color w:val="auto"/>
        </w:rPr>
      </w:pPr>
      <w:r>
        <w:rPr>
          <w:rFonts w:ascii="Arial" w:cs="Arial" w:eastAsia="Arial" w:hAnsi="Arial"/>
          <w:sz w:val="20"/>
          <w:szCs w:val="20"/>
          <w:color w:val="auto"/>
        </w:rPr>
        <w:t>TITLE: Chief Financial Officer</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color w:val="auto"/>
        </w:rPr>
        <w:t>KOPP HOLDING COMPANY</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 John P. Flakne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8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8221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BY: John P. Flakne</w:t>
      </w:r>
    </w:p>
    <w:p>
      <w:pPr>
        <w:spacing w:after="0"/>
        <w:rPr>
          <w:sz w:val="20"/>
          <w:szCs w:val="20"/>
          <w:color w:val="auto"/>
        </w:rPr>
      </w:pPr>
      <w:r>
        <w:rPr>
          <w:rFonts w:ascii="Arial" w:cs="Arial" w:eastAsia="Arial" w:hAnsi="Arial"/>
          <w:sz w:val="20"/>
          <w:szCs w:val="20"/>
          <w:color w:val="auto"/>
        </w:rPr>
        <w:t>TITLE: Chief Financial Officer</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color w:val="auto"/>
        </w:rPr>
        <w:t>LEROY C. KOPP</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/s/ LeRoy C. Kopp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892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89200" cy="8890"/>
                    </a:xfrm>
                    <a:prstGeom prst="rect">
                      <a:avLst/>
                    </a:prstGeom>
                    <a:noFill/>
                  </pic:spPr>
                </pic:pic>
              </a:graphicData>
            </a:graphic>
          </wp:anchor>
        </w:drawing>
      </w:r>
    </w:p>
    <w:p>
      <w:pPr>
        <w:sectPr>
          <w:pgSz w:w="11900" w:h="16838" w:orient="portrait"/>
          <w:cols w:equalWidth="0" w:num="1">
            <w:col w:w="10219"/>
          </w:cols>
          <w:pgMar w:left="240" w:top="603" w:right="1440" w:bottom="1440" w:gutter="0" w:footer="0" w:header="0"/>
        </w:sectPr>
      </w:pPr>
    </w:p>
    <w:bookmarkStart w:id="9" w:name="page10"/>
    <w:bookmarkEnd w:id="9"/>
    <w:p>
      <w:pPr>
        <w:jc w:val="center"/>
        <w:ind w:right="1859"/>
        <w:spacing w:after="0"/>
        <w:rPr>
          <w:sz w:val="20"/>
          <w:szCs w:val="20"/>
          <w:color w:val="auto"/>
        </w:rPr>
      </w:pPr>
      <w:r>
        <w:rPr>
          <w:rFonts w:ascii="Arial" w:cs="Arial" w:eastAsia="Arial" w:hAnsi="Arial"/>
          <w:sz w:val="22"/>
          <w:szCs w:val="22"/>
          <w:b w:val="1"/>
          <w:bCs w:val="1"/>
          <w:u w:val="single" w:color="auto"/>
          <w:color w:val="auto"/>
        </w:rPr>
        <w:t>Schedule A</w:t>
      </w:r>
    </w:p>
    <w:p>
      <w:pPr>
        <w:spacing w:after="0" w:line="206" w:lineRule="exact"/>
        <w:rPr>
          <w:sz w:val="20"/>
          <w:szCs w:val="20"/>
          <w:color w:val="auto"/>
        </w:rPr>
      </w:pPr>
    </w:p>
    <w:p>
      <w:pPr>
        <w:jc w:val="center"/>
        <w:ind w:right="1859"/>
        <w:spacing w:after="0"/>
        <w:rPr>
          <w:sz w:val="20"/>
          <w:szCs w:val="20"/>
          <w:color w:val="auto"/>
        </w:rPr>
      </w:pPr>
      <w:r>
        <w:rPr>
          <w:rFonts w:ascii="Arial" w:cs="Arial" w:eastAsia="Arial" w:hAnsi="Arial"/>
          <w:sz w:val="22"/>
          <w:szCs w:val="22"/>
          <w:b w:val="1"/>
          <w:bCs w:val="1"/>
          <w:color w:val="auto"/>
        </w:rPr>
        <w:t>List of Directors and Executive Officers</w:t>
      </w:r>
    </w:p>
    <w:p>
      <w:pPr>
        <w:spacing w:after="0" w:line="200" w:lineRule="exact"/>
        <w:rPr>
          <w:sz w:val="20"/>
          <w:szCs w:val="20"/>
          <w:color w:val="auto"/>
        </w:rPr>
      </w:pPr>
    </w:p>
    <w:p>
      <w:pPr>
        <w:spacing w:after="0" w:line="222" w:lineRule="exact"/>
        <w:rPr>
          <w:sz w:val="20"/>
          <w:szCs w:val="20"/>
          <w:color w:val="auto"/>
        </w:rPr>
      </w:pPr>
    </w:p>
    <w:p>
      <w:pPr>
        <w:jc w:val="center"/>
        <w:ind w:right="1859"/>
        <w:spacing w:after="0" w:line="301" w:lineRule="auto"/>
        <w:rPr>
          <w:sz w:val="20"/>
          <w:szCs w:val="20"/>
          <w:color w:val="auto"/>
        </w:rPr>
      </w:pPr>
      <w:r>
        <w:rPr>
          <w:rFonts w:ascii="Arial" w:cs="Arial" w:eastAsia="Arial" w:hAnsi="Arial"/>
          <w:sz w:val="19"/>
          <w:szCs w:val="19"/>
          <w:b w:val="1"/>
          <w:bCs w:val="1"/>
          <w:color w:val="auto"/>
        </w:rPr>
        <w:t>LeRoy C. Kopp</w:t>
      </w:r>
      <w:r>
        <w:rPr>
          <w:rFonts w:ascii="Arial" w:cs="Arial" w:eastAsia="Arial" w:hAnsi="Arial"/>
          <w:sz w:val="19"/>
          <w:szCs w:val="19"/>
          <w:color w:val="auto"/>
        </w:rPr>
        <w:t>, individually, and as Sole Director and Chairman, Chief Executive Officer and</w:t>
      </w:r>
      <w:r>
        <w:rPr>
          <w:rFonts w:ascii="Arial" w:cs="Arial" w:eastAsia="Arial" w:hAnsi="Arial"/>
          <w:sz w:val="19"/>
          <w:szCs w:val="19"/>
          <w:b w:val="1"/>
          <w:bCs w:val="1"/>
          <w:color w:val="auto"/>
        </w:rPr>
        <w:t xml:space="preserve"> </w:t>
      </w:r>
      <w:r>
        <w:rPr>
          <w:rFonts w:ascii="Arial" w:cs="Arial" w:eastAsia="Arial" w:hAnsi="Arial"/>
          <w:sz w:val="19"/>
          <w:szCs w:val="19"/>
          <w:color w:val="auto"/>
        </w:rPr>
        <w:t>President of KHC, as Sole Governor and Chairman, Chief Executive Officer and President of KHCLLC, and as Sole Governor and Chairman and Chief Executive Officer of KIA</w:t>
      </w:r>
    </w:p>
    <w:p>
      <w:pPr>
        <w:spacing w:after="0" w:line="123" w:lineRule="exact"/>
        <w:rPr>
          <w:sz w:val="20"/>
          <w:szCs w:val="20"/>
          <w:color w:val="auto"/>
        </w:rPr>
      </w:pPr>
    </w:p>
    <w:p>
      <w:pPr>
        <w:ind w:left="2420"/>
        <w:spacing w:after="0"/>
        <w:rPr>
          <w:sz w:val="20"/>
          <w:szCs w:val="20"/>
          <w:color w:val="auto"/>
        </w:rPr>
      </w:pPr>
      <w:r>
        <w:rPr>
          <w:rFonts w:ascii="Arial" w:cs="Arial" w:eastAsia="Arial" w:hAnsi="Arial"/>
          <w:sz w:val="22"/>
          <w:szCs w:val="22"/>
          <w:b w:val="1"/>
          <w:bCs w:val="1"/>
          <w:color w:val="auto"/>
        </w:rPr>
        <w:t xml:space="preserve">Sally A. Anderson </w:t>
      </w:r>
      <w:r>
        <w:rPr>
          <w:rFonts w:ascii="Arial" w:cs="Arial" w:eastAsia="Arial" w:hAnsi="Arial"/>
          <w:sz w:val="22"/>
          <w:szCs w:val="22"/>
          <w:color w:val="auto"/>
        </w:rPr>
        <w:t>as President of KIA</w:t>
      </w:r>
    </w:p>
    <w:p>
      <w:pPr>
        <w:spacing w:after="0" w:line="8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John P. Flakne </w:t>
      </w:r>
      <w:r>
        <w:rPr>
          <w:rFonts w:ascii="Arial" w:cs="Arial" w:eastAsia="Arial" w:hAnsi="Arial"/>
          <w:sz w:val="19"/>
          <w:szCs w:val="19"/>
          <w:color w:val="auto"/>
        </w:rPr>
        <w:t>as Executive Vice President, Chief Financial Officer and Secretary of KHC and</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21"/>
          <w:szCs w:val="21"/>
          <w:color w:val="auto"/>
        </w:rPr>
        <w:t>KHCLLC and as Chief Financial Officer, Chief Operating Officer and Secretary of KIA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A-1</w:t>
      </w:r>
    </w:p>
    <w:p>
      <w:pPr>
        <w:sectPr>
          <w:pgSz w:w="11900" w:h="16838" w:orient="portrait"/>
          <w:cols w:equalWidth="0" w:num="1">
            <w:col w:w="10139"/>
          </w:cols>
          <w:pgMar w:left="320" w:top="598" w:right="1440" w:bottom="1440" w:gutter="0" w:footer="0" w:header="0"/>
        </w:sectPr>
      </w:pPr>
    </w:p>
    <w:bookmarkStart w:id="10" w:name="page11"/>
    <w:bookmarkEnd w:id="10"/>
    <w:p>
      <w:pPr>
        <w:ind w:left="3320"/>
        <w:spacing w:after="0"/>
        <w:rPr>
          <w:sz w:val="20"/>
          <w:szCs w:val="20"/>
          <w:color w:val="auto"/>
        </w:rPr>
      </w:pPr>
      <w:r>
        <w:rPr>
          <w:rFonts w:ascii="Arial" w:cs="Arial" w:eastAsia="Arial" w:hAnsi="Arial"/>
          <w:sz w:val="22"/>
          <w:szCs w:val="22"/>
          <w:b w:val="1"/>
          <w:bCs w:val="1"/>
          <w:u w:val="single" w:color="auto"/>
          <w:color w:val="auto"/>
        </w:rPr>
        <w:t>Schedule B</w:t>
      </w:r>
    </w:p>
    <w:p>
      <w:pPr>
        <w:spacing w:after="0" w:line="206" w:lineRule="exact"/>
        <w:rPr>
          <w:sz w:val="20"/>
          <w:szCs w:val="20"/>
          <w:color w:val="auto"/>
        </w:rPr>
      </w:pPr>
    </w:p>
    <w:p>
      <w:pPr>
        <w:ind w:left="2940"/>
        <w:spacing w:after="0"/>
        <w:rPr>
          <w:sz w:val="20"/>
          <w:szCs w:val="20"/>
          <w:color w:val="auto"/>
        </w:rPr>
      </w:pPr>
      <w:r>
        <w:rPr>
          <w:rFonts w:ascii="Arial" w:cs="Arial" w:eastAsia="Arial" w:hAnsi="Arial"/>
          <w:sz w:val="22"/>
          <w:szCs w:val="22"/>
          <w:b w:val="1"/>
          <w:bCs w:val="1"/>
          <w:color w:val="auto"/>
        </w:rPr>
        <w:t>Daily Trade Report</w:t>
      </w:r>
    </w:p>
    <w:p>
      <w:pPr>
        <w:spacing w:after="0" w:line="14" w:lineRule="exact"/>
        <w:rPr>
          <w:sz w:val="20"/>
          <w:szCs w:val="20"/>
          <w:color w:val="auto"/>
        </w:rPr>
      </w:pPr>
    </w:p>
    <w:p>
      <w:pPr>
        <w:ind w:left="2060"/>
        <w:spacing w:after="0"/>
        <w:rPr>
          <w:sz w:val="20"/>
          <w:szCs w:val="20"/>
          <w:color w:val="auto"/>
        </w:rPr>
      </w:pPr>
      <w:r>
        <w:rPr>
          <w:rFonts w:ascii="Arial" w:cs="Arial" w:eastAsia="Arial" w:hAnsi="Arial"/>
          <w:sz w:val="22"/>
          <w:szCs w:val="22"/>
          <w:b w:val="1"/>
          <w:bCs w:val="1"/>
          <w:color w:val="auto"/>
        </w:rPr>
        <w:t>June 25, 2007 through August 24, 2007</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gridSpan w:val="3"/>
          </w:tcPr>
          <w:p>
            <w:pPr>
              <w:jc w:val="center"/>
              <w:ind w:right="220"/>
              <w:spacing w:after="0"/>
              <w:rPr>
                <w:sz w:val="20"/>
                <w:szCs w:val="20"/>
                <w:color w:val="auto"/>
              </w:rPr>
            </w:pPr>
            <w:r>
              <w:rPr>
                <w:rFonts w:ascii="Arial" w:cs="Arial" w:eastAsia="Arial" w:hAnsi="Arial"/>
                <w:sz w:val="20"/>
                <w:szCs w:val="20"/>
                <w:b w:val="1"/>
                <w:bCs w:val="1"/>
                <w:color w:val="auto"/>
                <w:w w:val="89"/>
              </w:rPr>
              <w:t>Transaction Activity</w:t>
            </w: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12"/>
        </w:trPr>
        <w:tc>
          <w:tcPr>
            <w:tcW w:w="940" w:type="dxa"/>
            <w:vAlign w:val="bottom"/>
          </w:tcPr>
          <w:p>
            <w:pPr>
              <w:jc w:val="right"/>
              <w:spacing w:after="0" w:line="212" w:lineRule="exact"/>
              <w:rPr>
                <w:sz w:val="20"/>
                <w:szCs w:val="20"/>
                <w:color w:val="auto"/>
              </w:rPr>
            </w:pPr>
            <w:r>
              <w:rPr>
                <w:rFonts w:ascii="Arial" w:cs="Arial" w:eastAsia="Arial" w:hAnsi="Arial"/>
                <w:sz w:val="20"/>
                <w:szCs w:val="20"/>
                <w:b w:val="1"/>
                <w:bCs w:val="1"/>
                <w:color w:val="auto"/>
                <w:w w:val="88"/>
              </w:rPr>
              <w:t>Trade Date</w:t>
            </w:r>
          </w:p>
        </w:tc>
        <w:tc>
          <w:tcPr>
            <w:tcW w:w="540" w:type="dxa"/>
            <w:vAlign w:val="bottom"/>
          </w:tcPr>
          <w:p>
            <w:pPr>
              <w:spacing w:after="0"/>
              <w:rPr>
                <w:sz w:val="18"/>
                <w:szCs w:val="18"/>
                <w:color w:val="auto"/>
              </w:rPr>
            </w:pPr>
          </w:p>
        </w:tc>
        <w:tc>
          <w:tcPr>
            <w:tcW w:w="1500" w:type="dxa"/>
            <w:vAlign w:val="bottom"/>
          </w:tcPr>
          <w:p>
            <w:pPr>
              <w:spacing w:after="0" w:line="212" w:lineRule="exact"/>
              <w:rPr>
                <w:sz w:val="20"/>
                <w:szCs w:val="20"/>
                <w:color w:val="auto"/>
              </w:rPr>
            </w:pPr>
            <w:r>
              <w:rPr>
                <w:rFonts w:ascii="Arial" w:cs="Arial" w:eastAsia="Arial" w:hAnsi="Arial"/>
                <w:sz w:val="20"/>
                <w:szCs w:val="20"/>
                <w:b w:val="1"/>
                <w:bCs w:val="1"/>
                <w:color w:val="auto"/>
                <w:w w:val="88"/>
              </w:rPr>
              <w:t>Reporting Person</w:t>
            </w:r>
          </w:p>
        </w:tc>
        <w:tc>
          <w:tcPr>
            <w:tcW w:w="100" w:type="dxa"/>
            <w:vAlign w:val="bottom"/>
          </w:tcPr>
          <w:p>
            <w:pPr>
              <w:spacing w:after="0"/>
              <w:rPr>
                <w:sz w:val="18"/>
                <w:szCs w:val="18"/>
                <w:color w:val="auto"/>
              </w:rPr>
            </w:pPr>
          </w:p>
        </w:tc>
        <w:tc>
          <w:tcPr>
            <w:tcW w:w="2140" w:type="dxa"/>
            <w:vAlign w:val="bottom"/>
            <w:gridSpan w:val="3"/>
          </w:tcPr>
          <w:p>
            <w:pPr>
              <w:jc w:val="center"/>
              <w:ind w:right="220"/>
              <w:spacing w:after="0" w:line="212" w:lineRule="exact"/>
              <w:rPr>
                <w:sz w:val="20"/>
                <w:szCs w:val="20"/>
                <w:color w:val="auto"/>
              </w:rPr>
            </w:pPr>
            <w:r>
              <w:rPr>
                <w:rFonts w:ascii="Arial" w:cs="Arial" w:eastAsia="Arial" w:hAnsi="Arial"/>
                <w:sz w:val="20"/>
                <w:szCs w:val="20"/>
                <w:b w:val="1"/>
                <w:bCs w:val="1"/>
                <w:color w:val="auto"/>
                <w:w w:val="91"/>
              </w:rPr>
              <w:t>(Buy/Sell)</w:t>
            </w:r>
          </w:p>
        </w:tc>
        <w:tc>
          <w:tcPr>
            <w:tcW w:w="1740" w:type="dxa"/>
            <w:vAlign w:val="bottom"/>
            <w:gridSpan w:val="2"/>
          </w:tcPr>
          <w:p>
            <w:pPr>
              <w:spacing w:after="0" w:line="212" w:lineRule="exact"/>
              <w:rPr>
                <w:sz w:val="20"/>
                <w:szCs w:val="20"/>
                <w:color w:val="auto"/>
              </w:rPr>
            </w:pPr>
            <w:r>
              <w:rPr>
                <w:rFonts w:ascii="Arial" w:cs="Arial" w:eastAsia="Arial" w:hAnsi="Arial"/>
                <w:sz w:val="20"/>
                <w:szCs w:val="20"/>
                <w:b w:val="1"/>
                <w:bCs w:val="1"/>
                <w:color w:val="auto"/>
              </w:rPr>
              <w:t>Quantity (#)</w:t>
            </w:r>
          </w:p>
        </w:tc>
        <w:tc>
          <w:tcPr>
            <w:tcW w:w="720" w:type="dxa"/>
            <w:vAlign w:val="bottom"/>
          </w:tcPr>
          <w:p>
            <w:pPr>
              <w:jc w:val="right"/>
              <w:spacing w:after="0" w:line="212" w:lineRule="exact"/>
              <w:rPr>
                <w:sz w:val="20"/>
                <w:szCs w:val="20"/>
                <w:color w:val="auto"/>
              </w:rPr>
            </w:pPr>
            <w:r>
              <w:rPr>
                <w:rFonts w:ascii="Arial" w:cs="Arial" w:eastAsia="Arial" w:hAnsi="Arial"/>
                <w:sz w:val="20"/>
                <w:szCs w:val="20"/>
                <w:b w:val="1"/>
                <w:bCs w:val="1"/>
                <w:color w:val="auto"/>
                <w:w w:val="88"/>
              </w:rPr>
              <w:t xml:space="preserve">Price </w:t>
            </w:r>
            <w:r>
              <w:rPr>
                <w:rFonts w:ascii="Arial" w:cs="Arial" w:eastAsia="Arial" w:hAnsi="Arial"/>
                <w:sz w:val="20"/>
                <w:szCs w:val="20"/>
                <w:b w:val="1"/>
                <w:bCs w:val="1"/>
                <w:u w:val="single" w:color="auto"/>
                <w:color w:val="auto"/>
                <w:w w:val="88"/>
              </w:rPr>
              <w:t>($</w:t>
            </w:r>
            <w:r>
              <w:rPr>
                <w:rFonts w:ascii="Arial" w:cs="Arial" w:eastAsia="Arial" w:hAnsi="Arial"/>
                <w:sz w:val="20"/>
                <w:szCs w:val="20"/>
                <w:b w:val="1"/>
                <w:bCs w:val="1"/>
                <w:color w:val="auto"/>
                <w:w w:val="88"/>
              </w:rPr>
              <w:t>)</w:t>
            </w:r>
          </w:p>
        </w:tc>
      </w:tr>
      <w:tr>
        <w:trPr>
          <w:trHeight w:val="281"/>
        </w:trPr>
        <w:tc>
          <w:tcPr>
            <w:tcW w:w="9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98"/>
              </w:rPr>
              <w:t>6/25/2007</w:t>
            </w:r>
          </w:p>
        </w:tc>
        <w:tc>
          <w:tcPr>
            <w:tcW w:w="540" w:type="dxa"/>
            <w:vAlign w:val="bottom"/>
          </w:tcPr>
          <w:p>
            <w:pPr>
              <w:spacing w:after="0"/>
              <w:rPr>
                <w:sz w:val="24"/>
                <w:szCs w:val="24"/>
                <w:color w:val="auto"/>
              </w:rPr>
            </w:pPr>
          </w:p>
        </w:tc>
        <w:tc>
          <w:tcPr>
            <w:tcW w:w="1500" w:type="dxa"/>
            <w:vAlign w:val="bottom"/>
            <w:tcBorders>
              <w:top w:val="single" w:sz="8" w:color="auto"/>
            </w:tcBorders>
          </w:tcPr>
          <w:p>
            <w:pPr>
              <w:ind w:left="380"/>
              <w:spacing w:after="0"/>
              <w:rPr>
                <w:sz w:val="20"/>
                <w:szCs w:val="20"/>
                <w:color w:val="auto"/>
              </w:rPr>
            </w:pPr>
            <w:r>
              <w:rPr>
                <w:rFonts w:ascii="Arial" w:cs="Arial" w:eastAsia="Arial" w:hAnsi="Arial"/>
                <w:sz w:val="20"/>
                <w:szCs w:val="20"/>
                <w:color w:val="auto"/>
              </w:rPr>
              <w:t>KIA</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95"/>
              </w:rPr>
              <w:t>Sell</w:t>
            </w:r>
          </w:p>
        </w:tc>
        <w:tc>
          <w:tcPr>
            <w:tcW w:w="760" w:type="dxa"/>
            <w:vAlign w:val="bottom"/>
          </w:tcPr>
          <w:p>
            <w:pPr>
              <w:spacing w:after="0"/>
              <w:rPr>
                <w:sz w:val="24"/>
                <w:szCs w:val="24"/>
                <w:color w:val="auto"/>
              </w:rPr>
            </w:pPr>
          </w:p>
        </w:tc>
        <w:tc>
          <w:tcPr>
            <w:tcW w:w="1040" w:type="dxa"/>
            <w:vAlign w:val="bottom"/>
            <w:tcBorders>
              <w:top w:val="single" w:sz="8" w:color="auto"/>
            </w:tcBorders>
          </w:tcPr>
          <w:p>
            <w:pPr>
              <w:jc w:val="right"/>
              <w:ind w:right="161"/>
              <w:spacing w:after="0"/>
              <w:rPr>
                <w:sz w:val="20"/>
                <w:szCs w:val="20"/>
                <w:color w:val="auto"/>
              </w:rPr>
            </w:pPr>
            <w:r>
              <w:rPr>
                <w:rFonts w:ascii="Arial" w:cs="Arial" w:eastAsia="Arial" w:hAnsi="Arial"/>
                <w:sz w:val="20"/>
                <w:szCs w:val="20"/>
                <w:color w:val="auto"/>
              </w:rPr>
              <w:t>500</w:t>
            </w:r>
          </w:p>
        </w:tc>
        <w:tc>
          <w:tcPr>
            <w:tcW w:w="700" w:type="dxa"/>
            <w:vAlign w:val="bottom"/>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18.14</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6/25/2007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75</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17.52</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6/25/2007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1,250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18.14</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6/26/2007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250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17.70</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6/26/2007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250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17.70</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6/27/2007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500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17.85</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6/27/2007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200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17.80</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6/28/2007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1,000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18.11</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6/28/2007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18.07</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rPr>
              <w:t>7/2/2007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150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17.68</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rPr>
              <w:t>7/2/2007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3,000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17.41</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rPr>
              <w:t>7/2/2007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200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17.31</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rPr>
              <w:t>7/2/2007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50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17.27</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rPr>
              <w:t>7/3/2007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300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18.09</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rPr>
              <w:t>7/3/2007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250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18.09</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rPr>
              <w:t>7/5/2007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1,500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18.12</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rPr>
              <w:t>7/5/2007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300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17.74</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rPr>
              <w:t>7/5/2007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250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17.70</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rPr>
              <w:t>7/5/2007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375</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18.14</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rPr>
              <w:t>7/5/2007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300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17.72</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rPr>
              <w:t>7/5/2007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17.95</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rPr>
              <w:t>7/5/2007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750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17.76</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rPr>
              <w:t>7/6/2007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1,250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17.74</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rPr>
              <w:t>7/6/2007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1,250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17.34</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rPr>
              <w:t>7/6/2007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150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17.33</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rPr>
              <w:t>7/6/2007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1,000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17.33</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rPr>
              <w:t>7/6/2007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1,500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17.34</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rPr>
              <w:t>7/6/2007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2,500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17.35</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rPr>
              <w:t>7/9/2007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94</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17.52</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rPr>
              <w:t>7/9/2007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481</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17.52</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rPr>
              <w:t>7/9/2007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125</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17.52</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rPr>
              <w:t>7/9/2007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17.52</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rPr>
              <w:t>7/9/2007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250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17.18</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rPr>
              <w:t>7/9/2007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50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17.18</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rPr>
              <w:t>7/9/2007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17.18</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rPr>
              <w:t>7/9/2007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75</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17.18</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rPr>
              <w:t>7/9/2007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125</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17.18</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rPr>
              <w:t>7/9/2007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375</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17.66</w:t>
            </w:r>
          </w:p>
        </w:tc>
      </w:tr>
      <w:tr>
        <w:trPr>
          <w:trHeight w:val="729"/>
        </w:trPr>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0" w:type="dxa"/>
            <w:vAlign w:val="bottom"/>
            <w:gridSpan w:val="2"/>
          </w:tcPr>
          <w:p>
            <w:pPr>
              <w:ind w:left="80"/>
              <w:spacing w:after="0"/>
              <w:rPr>
                <w:sz w:val="20"/>
                <w:szCs w:val="20"/>
                <w:color w:val="auto"/>
              </w:rPr>
            </w:pPr>
            <w:r>
              <w:rPr>
                <w:rFonts w:ascii="Arial" w:cs="Arial" w:eastAsia="Arial" w:hAnsi="Arial"/>
                <w:sz w:val="20"/>
                <w:szCs w:val="20"/>
                <w:color w:val="auto"/>
              </w:rPr>
              <w:t>B-1</w:t>
            </w: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9839"/>
          </w:cols>
          <w:pgMar w:left="620" w:top="598" w:right="1440"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gridSpan w:val="3"/>
          </w:tcPr>
          <w:p>
            <w:pPr>
              <w:jc w:val="center"/>
              <w:ind w:right="220"/>
              <w:spacing w:after="0"/>
              <w:rPr>
                <w:sz w:val="20"/>
                <w:szCs w:val="20"/>
                <w:color w:val="auto"/>
              </w:rPr>
            </w:pPr>
            <w:r>
              <w:rPr>
                <w:rFonts w:ascii="Arial" w:cs="Arial" w:eastAsia="Arial" w:hAnsi="Arial"/>
                <w:sz w:val="20"/>
                <w:szCs w:val="20"/>
                <w:b w:val="1"/>
                <w:bCs w:val="1"/>
                <w:color w:val="auto"/>
                <w:w w:val="89"/>
              </w:rPr>
              <w:t>Transaction Activity</w:t>
            </w: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12"/>
        </w:trPr>
        <w:tc>
          <w:tcPr>
            <w:tcW w:w="940" w:type="dxa"/>
            <w:vAlign w:val="bottom"/>
          </w:tcPr>
          <w:p>
            <w:pPr>
              <w:jc w:val="right"/>
              <w:spacing w:after="0" w:line="212" w:lineRule="exact"/>
              <w:rPr>
                <w:sz w:val="20"/>
                <w:szCs w:val="20"/>
                <w:color w:val="auto"/>
              </w:rPr>
            </w:pPr>
            <w:r>
              <w:rPr>
                <w:rFonts w:ascii="Arial" w:cs="Arial" w:eastAsia="Arial" w:hAnsi="Arial"/>
                <w:sz w:val="20"/>
                <w:szCs w:val="20"/>
                <w:b w:val="1"/>
                <w:bCs w:val="1"/>
                <w:color w:val="auto"/>
                <w:w w:val="88"/>
              </w:rPr>
              <w:t>Trade Date</w:t>
            </w:r>
          </w:p>
        </w:tc>
        <w:tc>
          <w:tcPr>
            <w:tcW w:w="540" w:type="dxa"/>
            <w:vAlign w:val="bottom"/>
          </w:tcPr>
          <w:p>
            <w:pPr>
              <w:spacing w:after="0"/>
              <w:rPr>
                <w:sz w:val="18"/>
                <w:szCs w:val="18"/>
                <w:color w:val="auto"/>
              </w:rPr>
            </w:pPr>
          </w:p>
        </w:tc>
        <w:tc>
          <w:tcPr>
            <w:tcW w:w="1500" w:type="dxa"/>
            <w:vAlign w:val="bottom"/>
          </w:tcPr>
          <w:p>
            <w:pPr>
              <w:spacing w:after="0" w:line="212" w:lineRule="exact"/>
              <w:rPr>
                <w:sz w:val="20"/>
                <w:szCs w:val="20"/>
                <w:color w:val="auto"/>
              </w:rPr>
            </w:pPr>
            <w:r>
              <w:rPr>
                <w:rFonts w:ascii="Arial" w:cs="Arial" w:eastAsia="Arial" w:hAnsi="Arial"/>
                <w:sz w:val="20"/>
                <w:szCs w:val="20"/>
                <w:b w:val="1"/>
                <w:bCs w:val="1"/>
                <w:color w:val="auto"/>
                <w:w w:val="88"/>
              </w:rPr>
              <w:t>Reporting Person</w:t>
            </w:r>
          </w:p>
        </w:tc>
        <w:tc>
          <w:tcPr>
            <w:tcW w:w="100" w:type="dxa"/>
            <w:vAlign w:val="bottom"/>
          </w:tcPr>
          <w:p>
            <w:pPr>
              <w:spacing w:after="0"/>
              <w:rPr>
                <w:sz w:val="18"/>
                <w:szCs w:val="18"/>
                <w:color w:val="auto"/>
              </w:rPr>
            </w:pPr>
          </w:p>
        </w:tc>
        <w:tc>
          <w:tcPr>
            <w:tcW w:w="2140" w:type="dxa"/>
            <w:vAlign w:val="bottom"/>
            <w:gridSpan w:val="3"/>
          </w:tcPr>
          <w:p>
            <w:pPr>
              <w:jc w:val="center"/>
              <w:ind w:right="220"/>
              <w:spacing w:after="0" w:line="212" w:lineRule="exact"/>
              <w:rPr>
                <w:sz w:val="20"/>
                <w:szCs w:val="20"/>
                <w:color w:val="auto"/>
              </w:rPr>
            </w:pPr>
            <w:r>
              <w:rPr>
                <w:rFonts w:ascii="Arial" w:cs="Arial" w:eastAsia="Arial" w:hAnsi="Arial"/>
                <w:sz w:val="20"/>
                <w:szCs w:val="20"/>
                <w:b w:val="1"/>
                <w:bCs w:val="1"/>
                <w:color w:val="auto"/>
                <w:w w:val="91"/>
              </w:rPr>
              <w:t>(Buy/Sell)</w:t>
            </w:r>
          </w:p>
        </w:tc>
        <w:tc>
          <w:tcPr>
            <w:tcW w:w="1740" w:type="dxa"/>
            <w:vAlign w:val="bottom"/>
            <w:gridSpan w:val="2"/>
          </w:tcPr>
          <w:p>
            <w:pPr>
              <w:spacing w:after="0" w:line="212" w:lineRule="exact"/>
              <w:rPr>
                <w:sz w:val="20"/>
                <w:szCs w:val="20"/>
                <w:color w:val="auto"/>
              </w:rPr>
            </w:pPr>
            <w:r>
              <w:rPr>
                <w:rFonts w:ascii="Arial" w:cs="Arial" w:eastAsia="Arial" w:hAnsi="Arial"/>
                <w:sz w:val="20"/>
                <w:szCs w:val="20"/>
                <w:b w:val="1"/>
                <w:bCs w:val="1"/>
                <w:color w:val="auto"/>
              </w:rPr>
              <w:t>Quantity (#)</w:t>
            </w:r>
          </w:p>
        </w:tc>
        <w:tc>
          <w:tcPr>
            <w:tcW w:w="720" w:type="dxa"/>
            <w:vAlign w:val="bottom"/>
          </w:tcPr>
          <w:p>
            <w:pPr>
              <w:jc w:val="right"/>
              <w:spacing w:after="0" w:line="212" w:lineRule="exact"/>
              <w:rPr>
                <w:sz w:val="20"/>
                <w:szCs w:val="20"/>
                <w:color w:val="auto"/>
              </w:rPr>
            </w:pPr>
            <w:r>
              <w:rPr>
                <w:rFonts w:ascii="Arial" w:cs="Arial" w:eastAsia="Arial" w:hAnsi="Arial"/>
                <w:sz w:val="20"/>
                <w:szCs w:val="20"/>
                <w:b w:val="1"/>
                <w:bCs w:val="1"/>
                <w:color w:val="auto"/>
                <w:w w:val="88"/>
              </w:rPr>
              <w:t xml:space="preserve">Price </w:t>
            </w:r>
            <w:r>
              <w:rPr>
                <w:rFonts w:ascii="Arial" w:cs="Arial" w:eastAsia="Arial" w:hAnsi="Arial"/>
                <w:sz w:val="20"/>
                <w:szCs w:val="20"/>
                <w:b w:val="1"/>
                <w:bCs w:val="1"/>
                <w:u w:val="single" w:color="auto"/>
                <w:color w:val="auto"/>
                <w:w w:val="88"/>
              </w:rPr>
              <w:t>($</w:t>
            </w:r>
            <w:r>
              <w:rPr>
                <w:rFonts w:ascii="Arial" w:cs="Arial" w:eastAsia="Arial" w:hAnsi="Arial"/>
                <w:sz w:val="20"/>
                <w:szCs w:val="20"/>
                <w:b w:val="1"/>
                <w:bCs w:val="1"/>
                <w:color w:val="auto"/>
                <w:w w:val="88"/>
              </w:rPr>
              <w:t>)</w:t>
            </w:r>
          </w:p>
        </w:tc>
      </w:tr>
      <w:tr>
        <w:trPr>
          <w:trHeight w:val="281"/>
        </w:trPr>
        <w:tc>
          <w:tcPr>
            <w:tcW w:w="9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98"/>
              </w:rPr>
              <w:t>7/10/2007</w:t>
            </w:r>
          </w:p>
        </w:tc>
        <w:tc>
          <w:tcPr>
            <w:tcW w:w="540" w:type="dxa"/>
            <w:vAlign w:val="bottom"/>
          </w:tcPr>
          <w:p>
            <w:pPr>
              <w:spacing w:after="0"/>
              <w:rPr>
                <w:sz w:val="24"/>
                <w:szCs w:val="24"/>
                <w:color w:val="auto"/>
              </w:rPr>
            </w:pPr>
          </w:p>
        </w:tc>
        <w:tc>
          <w:tcPr>
            <w:tcW w:w="1500" w:type="dxa"/>
            <w:vAlign w:val="bottom"/>
            <w:tcBorders>
              <w:top w:val="single" w:sz="8" w:color="auto"/>
            </w:tcBorders>
          </w:tcPr>
          <w:p>
            <w:pPr>
              <w:ind w:left="380"/>
              <w:spacing w:after="0"/>
              <w:rPr>
                <w:sz w:val="20"/>
                <w:szCs w:val="20"/>
                <w:color w:val="auto"/>
              </w:rPr>
            </w:pPr>
            <w:r>
              <w:rPr>
                <w:rFonts w:ascii="Arial" w:cs="Arial" w:eastAsia="Arial" w:hAnsi="Arial"/>
                <w:sz w:val="20"/>
                <w:szCs w:val="20"/>
                <w:color w:val="auto"/>
              </w:rPr>
              <w:t>KIA</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95"/>
              </w:rPr>
              <w:t>Sell</w:t>
            </w:r>
          </w:p>
        </w:tc>
        <w:tc>
          <w:tcPr>
            <w:tcW w:w="760" w:type="dxa"/>
            <w:vAlign w:val="bottom"/>
          </w:tcPr>
          <w:p>
            <w:pPr>
              <w:spacing w:after="0"/>
              <w:rPr>
                <w:sz w:val="24"/>
                <w:szCs w:val="24"/>
                <w:color w:val="auto"/>
              </w:rPr>
            </w:pPr>
          </w:p>
        </w:tc>
        <w:tc>
          <w:tcPr>
            <w:tcW w:w="1040" w:type="dxa"/>
            <w:vAlign w:val="bottom"/>
            <w:tcBorders>
              <w:top w:val="single" w:sz="8" w:color="auto"/>
            </w:tcBorders>
          </w:tcPr>
          <w:p>
            <w:pPr>
              <w:jc w:val="right"/>
              <w:ind w:right="161"/>
              <w:spacing w:after="0"/>
              <w:rPr>
                <w:sz w:val="20"/>
                <w:szCs w:val="20"/>
                <w:color w:val="auto"/>
              </w:rPr>
            </w:pPr>
            <w:r>
              <w:rPr>
                <w:rFonts w:ascii="Arial" w:cs="Arial" w:eastAsia="Arial" w:hAnsi="Arial"/>
                <w:sz w:val="20"/>
                <w:szCs w:val="20"/>
                <w:color w:val="auto"/>
              </w:rPr>
              <w:t>275</w:t>
            </w:r>
          </w:p>
        </w:tc>
        <w:tc>
          <w:tcPr>
            <w:tcW w:w="700" w:type="dxa"/>
            <w:vAlign w:val="bottom"/>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17.34</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7/10/2007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550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17.28</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7/10/2007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2,000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17.28</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7/11/2007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625</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17.11</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7/11/2007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200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17.13</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7/11/2007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1,250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17.38</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7/11/2007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17.08</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7/11/2007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750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17.22</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7/11/2007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1,000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17.11</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7/11/2007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125</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17.19</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7/11/2007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500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17.19</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7/11/2007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2,500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17.19</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7/11/2007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1,875</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17.19</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7/11/2007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1,500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17.18</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7/11/2007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250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17.18</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7/11/2007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500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17.18</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7/11/2007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1,250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17.18</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7/11/2007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1,425</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17.18</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7/11/2007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75</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17.18</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7/11/2007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200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17.31</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7/12/2007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2,500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17.50</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7/12/2007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1,250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17.50</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7/12/2007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2,000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17.50</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7/12/2007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3,750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17.50</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7/12/2007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3,750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17.50</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7/12/2007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500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17.50</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7/12/2007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425</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17.65</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7/12/2007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500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17.73</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7/12/2007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750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17.73</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7/12/2007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1,250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17.73</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7/13/2007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2,000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17.91</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7/13/2007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500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17.91</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7/13/2007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1,000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17.86</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7/13/2007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250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17.80</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7/13/2007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125</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17.97</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7/13/2007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375</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17.97</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7/13/2007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3,000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17.90</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7/13/2007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50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18.10</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7/13/2007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250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18.10</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7/16/2007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300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17.83</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7/16/2007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500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18.00</w:t>
            </w:r>
          </w:p>
        </w:tc>
      </w:tr>
      <w:tr>
        <w:trPr>
          <w:trHeight w:val="729"/>
        </w:trPr>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0" w:type="dxa"/>
            <w:vAlign w:val="bottom"/>
            <w:gridSpan w:val="2"/>
          </w:tcPr>
          <w:p>
            <w:pPr>
              <w:ind w:left="80"/>
              <w:spacing w:after="0"/>
              <w:rPr>
                <w:sz w:val="20"/>
                <w:szCs w:val="20"/>
                <w:color w:val="auto"/>
              </w:rPr>
            </w:pPr>
            <w:r>
              <w:rPr>
                <w:rFonts w:ascii="Arial" w:cs="Arial" w:eastAsia="Arial" w:hAnsi="Arial"/>
                <w:sz w:val="20"/>
                <w:szCs w:val="20"/>
                <w:color w:val="auto"/>
              </w:rPr>
              <w:t>B-2</w:t>
            </w: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9839"/>
          </w:cols>
          <w:pgMar w:left="620" w:top="886" w:right="1440"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gridSpan w:val="3"/>
          </w:tcPr>
          <w:p>
            <w:pPr>
              <w:jc w:val="center"/>
              <w:ind w:right="220"/>
              <w:spacing w:after="0"/>
              <w:rPr>
                <w:sz w:val="20"/>
                <w:szCs w:val="20"/>
                <w:color w:val="auto"/>
              </w:rPr>
            </w:pPr>
            <w:r>
              <w:rPr>
                <w:rFonts w:ascii="Arial" w:cs="Arial" w:eastAsia="Arial" w:hAnsi="Arial"/>
                <w:sz w:val="20"/>
                <w:szCs w:val="20"/>
                <w:b w:val="1"/>
                <w:bCs w:val="1"/>
                <w:color w:val="auto"/>
                <w:w w:val="89"/>
              </w:rPr>
              <w:t>Transaction Activity</w:t>
            </w: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12"/>
        </w:trPr>
        <w:tc>
          <w:tcPr>
            <w:tcW w:w="940" w:type="dxa"/>
            <w:vAlign w:val="bottom"/>
          </w:tcPr>
          <w:p>
            <w:pPr>
              <w:jc w:val="right"/>
              <w:spacing w:after="0" w:line="212" w:lineRule="exact"/>
              <w:rPr>
                <w:sz w:val="20"/>
                <w:szCs w:val="20"/>
                <w:color w:val="auto"/>
              </w:rPr>
            </w:pPr>
            <w:r>
              <w:rPr>
                <w:rFonts w:ascii="Arial" w:cs="Arial" w:eastAsia="Arial" w:hAnsi="Arial"/>
                <w:sz w:val="20"/>
                <w:szCs w:val="20"/>
                <w:b w:val="1"/>
                <w:bCs w:val="1"/>
                <w:color w:val="auto"/>
                <w:w w:val="88"/>
              </w:rPr>
              <w:t>Trade Date</w:t>
            </w:r>
          </w:p>
        </w:tc>
        <w:tc>
          <w:tcPr>
            <w:tcW w:w="540" w:type="dxa"/>
            <w:vAlign w:val="bottom"/>
          </w:tcPr>
          <w:p>
            <w:pPr>
              <w:spacing w:after="0"/>
              <w:rPr>
                <w:sz w:val="18"/>
                <w:szCs w:val="18"/>
                <w:color w:val="auto"/>
              </w:rPr>
            </w:pPr>
          </w:p>
        </w:tc>
        <w:tc>
          <w:tcPr>
            <w:tcW w:w="1500" w:type="dxa"/>
            <w:vAlign w:val="bottom"/>
          </w:tcPr>
          <w:p>
            <w:pPr>
              <w:spacing w:after="0" w:line="212" w:lineRule="exact"/>
              <w:rPr>
                <w:sz w:val="20"/>
                <w:szCs w:val="20"/>
                <w:color w:val="auto"/>
              </w:rPr>
            </w:pPr>
            <w:r>
              <w:rPr>
                <w:rFonts w:ascii="Arial" w:cs="Arial" w:eastAsia="Arial" w:hAnsi="Arial"/>
                <w:sz w:val="20"/>
                <w:szCs w:val="20"/>
                <w:b w:val="1"/>
                <w:bCs w:val="1"/>
                <w:color w:val="auto"/>
                <w:w w:val="88"/>
              </w:rPr>
              <w:t>Reporting Person</w:t>
            </w:r>
          </w:p>
        </w:tc>
        <w:tc>
          <w:tcPr>
            <w:tcW w:w="100" w:type="dxa"/>
            <w:vAlign w:val="bottom"/>
          </w:tcPr>
          <w:p>
            <w:pPr>
              <w:spacing w:after="0"/>
              <w:rPr>
                <w:sz w:val="18"/>
                <w:szCs w:val="18"/>
                <w:color w:val="auto"/>
              </w:rPr>
            </w:pPr>
          </w:p>
        </w:tc>
        <w:tc>
          <w:tcPr>
            <w:tcW w:w="2140" w:type="dxa"/>
            <w:vAlign w:val="bottom"/>
            <w:gridSpan w:val="3"/>
          </w:tcPr>
          <w:p>
            <w:pPr>
              <w:jc w:val="center"/>
              <w:ind w:right="220"/>
              <w:spacing w:after="0" w:line="212" w:lineRule="exact"/>
              <w:rPr>
                <w:sz w:val="20"/>
                <w:szCs w:val="20"/>
                <w:color w:val="auto"/>
              </w:rPr>
            </w:pPr>
            <w:r>
              <w:rPr>
                <w:rFonts w:ascii="Arial" w:cs="Arial" w:eastAsia="Arial" w:hAnsi="Arial"/>
                <w:sz w:val="20"/>
                <w:szCs w:val="20"/>
                <w:b w:val="1"/>
                <w:bCs w:val="1"/>
                <w:color w:val="auto"/>
                <w:w w:val="91"/>
              </w:rPr>
              <w:t>(Buy/Sell)</w:t>
            </w:r>
          </w:p>
        </w:tc>
        <w:tc>
          <w:tcPr>
            <w:tcW w:w="1740" w:type="dxa"/>
            <w:vAlign w:val="bottom"/>
            <w:gridSpan w:val="2"/>
          </w:tcPr>
          <w:p>
            <w:pPr>
              <w:spacing w:after="0" w:line="212" w:lineRule="exact"/>
              <w:rPr>
                <w:sz w:val="20"/>
                <w:szCs w:val="20"/>
                <w:color w:val="auto"/>
              </w:rPr>
            </w:pPr>
            <w:r>
              <w:rPr>
                <w:rFonts w:ascii="Arial" w:cs="Arial" w:eastAsia="Arial" w:hAnsi="Arial"/>
                <w:sz w:val="20"/>
                <w:szCs w:val="20"/>
                <w:b w:val="1"/>
                <w:bCs w:val="1"/>
                <w:color w:val="auto"/>
              </w:rPr>
              <w:t>Quantity (#)</w:t>
            </w:r>
          </w:p>
        </w:tc>
        <w:tc>
          <w:tcPr>
            <w:tcW w:w="720" w:type="dxa"/>
            <w:vAlign w:val="bottom"/>
          </w:tcPr>
          <w:p>
            <w:pPr>
              <w:jc w:val="right"/>
              <w:spacing w:after="0" w:line="212" w:lineRule="exact"/>
              <w:rPr>
                <w:sz w:val="20"/>
                <w:szCs w:val="20"/>
                <w:color w:val="auto"/>
              </w:rPr>
            </w:pPr>
            <w:r>
              <w:rPr>
                <w:rFonts w:ascii="Arial" w:cs="Arial" w:eastAsia="Arial" w:hAnsi="Arial"/>
                <w:sz w:val="20"/>
                <w:szCs w:val="20"/>
                <w:b w:val="1"/>
                <w:bCs w:val="1"/>
                <w:color w:val="auto"/>
                <w:w w:val="88"/>
              </w:rPr>
              <w:t xml:space="preserve">Price </w:t>
            </w:r>
            <w:r>
              <w:rPr>
                <w:rFonts w:ascii="Arial" w:cs="Arial" w:eastAsia="Arial" w:hAnsi="Arial"/>
                <w:sz w:val="20"/>
                <w:szCs w:val="20"/>
                <w:b w:val="1"/>
                <w:bCs w:val="1"/>
                <w:u w:val="single" w:color="auto"/>
                <w:color w:val="auto"/>
                <w:w w:val="88"/>
              </w:rPr>
              <w:t>($</w:t>
            </w:r>
            <w:r>
              <w:rPr>
                <w:rFonts w:ascii="Arial" w:cs="Arial" w:eastAsia="Arial" w:hAnsi="Arial"/>
                <w:sz w:val="20"/>
                <w:szCs w:val="20"/>
                <w:b w:val="1"/>
                <w:bCs w:val="1"/>
                <w:color w:val="auto"/>
                <w:w w:val="88"/>
              </w:rPr>
              <w:t>)</w:t>
            </w:r>
          </w:p>
        </w:tc>
      </w:tr>
      <w:tr>
        <w:trPr>
          <w:trHeight w:val="281"/>
        </w:trPr>
        <w:tc>
          <w:tcPr>
            <w:tcW w:w="9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98"/>
              </w:rPr>
              <w:t>7/16/2007</w:t>
            </w:r>
          </w:p>
        </w:tc>
        <w:tc>
          <w:tcPr>
            <w:tcW w:w="540" w:type="dxa"/>
            <w:vAlign w:val="bottom"/>
          </w:tcPr>
          <w:p>
            <w:pPr>
              <w:spacing w:after="0"/>
              <w:rPr>
                <w:sz w:val="24"/>
                <w:szCs w:val="24"/>
                <w:color w:val="auto"/>
              </w:rPr>
            </w:pPr>
          </w:p>
        </w:tc>
        <w:tc>
          <w:tcPr>
            <w:tcW w:w="1500" w:type="dxa"/>
            <w:vAlign w:val="bottom"/>
            <w:tcBorders>
              <w:top w:val="single" w:sz="8" w:color="auto"/>
            </w:tcBorders>
          </w:tcPr>
          <w:p>
            <w:pPr>
              <w:ind w:left="380"/>
              <w:spacing w:after="0"/>
              <w:rPr>
                <w:sz w:val="20"/>
                <w:szCs w:val="20"/>
                <w:color w:val="auto"/>
              </w:rPr>
            </w:pPr>
            <w:r>
              <w:rPr>
                <w:rFonts w:ascii="Arial" w:cs="Arial" w:eastAsia="Arial" w:hAnsi="Arial"/>
                <w:sz w:val="20"/>
                <w:szCs w:val="20"/>
                <w:color w:val="auto"/>
              </w:rPr>
              <w:t>KIA</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92"/>
              </w:rPr>
              <w:t>Buy</w:t>
            </w:r>
          </w:p>
        </w:tc>
        <w:tc>
          <w:tcPr>
            <w:tcW w:w="760" w:type="dxa"/>
            <w:vAlign w:val="bottom"/>
          </w:tcPr>
          <w:p>
            <w:pPr>
              <w:spacing w:after="0"/>
              <w:rPr>
                <w:sz w:val="24"/>
                <w:szCs w:val="24"/>
                <w:color w:val="auto"/>
              </w:rPr>
            </w:pPr>
          </w:p>
        </w:tc>
        <w:tc>
          <w:tcPr>
            <w:tcW w:w="1040" w:type="dxa"/>
            <w:vAlign w:val="bottom"/>
            <w:tcBorders>
              <w:top w:val="single" w:sz="8" w:color="auto"/>
            </w:tcBorders>
          </w:tcPr>
          <w:p>
            <w:pPr>
              <w:jc w:val="right"/>
              <w:ind w:right="161"/>
              <w:spacing w:after="0"/>
              <w:rPr>
                <w:sz w:val="20"/>
                <w:szCs w:val="20"/>
                <w:color w:val="auto"/>
              </w:rPr>
            </w:pPr>
            <w:r>
              <w:rPr>
                <w:rFonts w:ascii="Arial" w:cs="Arial" w:eastAsia="Arial" w:hAnsi="Arial"/>
                <w:sz w:val="20"/>
                <w:szCs w:val="20"/>
                <w:color w:val="auto"/>
              </w:rPr>
              <w:t>65</w:t>
            </w:r>
          </w:p>
        </w:tc>
        <w:tc>
          <w:tcPr>
            <w:tcW w:w="700" w:type="dxa"/>
            <w:vAlign w:val="bottom"/>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18.00</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7/16/2007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2"/>
              </w:rPr>
              <w:t>Buy</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18.03</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7/16/2007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2"/>
              </w:rPr>
              <w:t>Buy</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200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17.99</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7/16/2007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2"/>
              </w:rPr>
              <w:t>Buy</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18.00</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7/16/2007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2"/>
              </w:rPr>
              <w:t>Buy</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135</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18.00</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7/16/2007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2"/>
              </w:rPr>
              <w:t>Buy</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18.00</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7/16/2007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2"/>
              </w:rPr>
              <w:t>Buy</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1,300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18.00</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7/16/2007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125</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17.92</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7/17/2007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625</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17.78</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7/17/2007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400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17.78</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7/17/2007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400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17.75</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7/17/2007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300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17.76</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7/17/2007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50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17.76</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7/17/2007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75</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17.76</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7/17/2007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75</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17.76</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7/18/2007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500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17.29</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7/18/2007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2"/>
              </w:rPr>
              <w:t>Buy</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250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17.43</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7/18/2007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200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17.38</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7/18/2007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800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17.36</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7/19/2007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125</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17.50</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7/19/2007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1,000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17.64</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7/19/2007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250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17.96</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7/19/2007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50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17.80</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7/20/2007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25</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17.41</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7/20/2007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150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17.41</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7/20/2007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125</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17.41</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7/20/2007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75</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16.30</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7/20/2007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17.18</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7/20/2007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300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16.88</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7/20/2007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250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17.29</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7/20/2007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50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17.29</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7/20/2007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25</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16.71</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7/20/2007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25</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16.71</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7/20/2007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12</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16.70</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7/20/2007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38</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16.70</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7/20/2007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2"/>
              </w:rPr>
              <w:t>Buy</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800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16.88</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7/23/2007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150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16.78</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7/23/2007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200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16.84</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7/23/2007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1,000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16.72</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7/23/2007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250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16.58</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7/23/2007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125</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16.69</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7/23/2007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225</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16.73</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7/23/2007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16.73</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7/24/2007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625</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16.66</w:t>
            </w:r>
          </w:p>
        </w:tc>
      </w:tr>
      <w:tr>
        <w:trPr>
          <w:trHeight w:val="729"/>
        </w:trPr>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0" w:type="dxa"/>
            <w:vAlign w:val="bottom"/>
            <w:gridSpan w:val="2"/>
          </w:tcPr>
          <w:p>
            <w:pPr>
              <w:ind w:left="80"/>
              <w:spacing w:after="0"/>
              <w:rPr>
                <w:sz w:val="20"/>
                <w:szCs w:val="20"/>
                <w:color w:val="auto"/>
              </w:rPr>
            </w:pPr>
            <w:r>
              <w:rPr>
                <w:rFonts w:ascii="Arial" w:cs="Arial" w:eastAsia="Arial" w:hAnsi="Arial"/>
                <w:sz w:val="20"/>
                <w:szCs w:val="20"/>
                <w:color w:val="auto"/>
              </w:rPr>
              <w:t>B-3</w:t>
            </w: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9839"/>
          </w:cols>
          <w:pgMar w:left="620" w:top="643" w:right="1440"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gridSpan w:val="3"/>
          </w:tcPr>
          <w:p>
            <w:pPr>
              <w:jc w:val="center"/>
              <w:ind w:right="220"/>
              <w:spacing w:after="0"/>
              <w:rPr>
                <w:sz w:val="20"/>
                <w:szCs w:val="20"/>
                <w:color w:val="auto"/>
              </w:rPr>
            </w:pPr>
            <w:r>
              <w:rPr>
                <w:rFonts w:ascii="Arial" w:cs="Arial" w:eastAsia="Arial" w:hAnsi="Arial"/>
                <w:sz w:val="20"/>
                <w:szCs w:val="20"/>
                <w:b w:val="1"/>
                <w:bCs w:val="1"/>
                <w:color w:val="auto"/>
                <w:w w:val="89"/>
              </w:rPr>
              <w:t>Transaction Activity</w:t>
            </w: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12"/>
        </w:trPr>
        <w:tc>
          <w:tcPr>
            <w:tcW w:w="940" w:type="dxa"/>
            <w:vAlign w:val="bottom"/>
          </w:tcPr>
          <w:p>
            <w:pPr>
              <w:jc w:val="right"/>
              <w:spacing w:after="0" w:line="212" w:lineRule="exact"/>
              <w:rPr>
                <w:sz w:val="20"/>
                <w:szCs w:val="20"/>
                <w:color w:val="auto"/>
              </w:rPr>
            </w:pPr>
            <w:r>
              <w:rPr>
                <w:rFonts w:ascii="Arial" w:cs="Arial" w:eastAsia="Arial" w:hAnsi="Arial"/>
                <w:sz w:val="20"/>
                <w:szCs w:val="20"/>
                <w:b w:val="1"/>
                <w:bCs w:val="1"/>
                <w:color w:val="auto"/>
                <w:w w:val="88"/>
              </w:rPr>
              <w:t>Trade Date</w:t>
            </w:r>
          </w:p>
        </w:tc>
        <w:tc>
          <w:tcPr>
            <w:tcW w:w="540" w:type="dxa"/>
            <w:vAlign w:val="bottom"/>
          </w:tcPr>
          <w:p>
            <w:pPr>
              <w:spacing w:after="0"/>
              <w:rPr>
                <w:sz w:val="18"/>
                <w:szCs w:val="18"/>
                <w:color w:val="auto"/>
              </w:rPr>
            </w:pPr>
          </w:p>
        </w:tc>
        <w:tc>
          <w:tcPr>
            <w:tcW w:w="1500" w:type="dxa"/>
            <w:vAlign w:val="bottom"/>
          </w:tcPr>
          <w:p>
            <w:pPr>
              <w:spacing w:after="0" w:line="212" w:lineRule="exact"/>
              <w:rPr>
                <w:sz w:val="20"/>
                <w:szCs w:val="20"/>
                <w:color w:val="auto"/>
              </w:rPr>
            </w:pPr>
            <w:r>
              <w:rPr>
                <w:rFonts w:ascii="Arial" w:cs="Arial" w:eastAsia="Arial" w:hAnsi="Arial"/>
                <w:sz w:val="20"/>
                <w:szCs w:val="20"/>
                <w:b w:val="1"/>
                <w:bCs w:val="1"/>
                <w:color w:val="auto"/>
                <w:w w:val="88"/>
              </w:rPr>
              <w:t>Reporting Person</w:t>
            </w:r>
          </w:p>
        </w:tc>
        <w:tc>
          <w:tcPr>
            <w:tcW w:w="100" w:type="dxa"/>
            <w:vAlign w:val="bottom"/>
          </w:tcPr>
          <w:p>
            <w:pPr>
              <w:spacing w:after="0"/>
              <w:rPr>
                <w:sz w:val="18"/>
                <w:szCs w:val="18"/>
                <w:color w:val="auto"/>
              </w:rPr>
            </w:pPr>
          </w:p>
        </w:tc>
        <w:tc>
          <w:tcPr>
            <w:tcW w:w="2140" w:type="dxa"/>
            <w:vAlign w:val="bottom"/>
            <w:gridSpan w:val="3"/>
          </w:tcPr>
          <w:p>
            <w:pPr>
              <w:jc w:val="center"/>
              <w:ind w:right="220"/>
              <w:spacing w:after="0" w:line="212" w:lineRule="exact"/>
              <w:rPr>
                <w:sz w:val="20"/>
                <w:szCs w:val="20"/>
                <w:color w:val="auto"/>
              </w:rPr>
            </w:pPr>
            <w:r>
              <w:rPr>
                <w:rFonts w:ascii="Arial" w:cs="Arial" w:eastAsia="Arial" w:hAnsi="Arial"/>
                <w:sz w:val="20"/>
                <w:szCs w:val="20"/>
                <w:b w:val="1"/>
                <w:bCs w:val="1"/>
                <w:color w:val="auto"/>
                <w:w w:val="91"/>
              </w:rPr>
              <w:t>(Buy/Sell)</w:t>
            </w:r>
          </w:p>
        </w:tc>
        <w:tc>
          <w:tcPr>
            <w:tcW w:w="1740" w:type="dxa"/>
            <w:vAlign w:val="bottom"/>
            <w:gridSpan w:val="2"/>
          </w:tcPr>
          <w:p>
            <w:pPr>
              <w:spacing w:after="0" w:line="212" w:lineRule="exact"/>
              <w:rPr>
                <w:sz w:val="20"/>
                <w:szCs w:val="20"/>
                <w:color w:val="auto"/>
              </w:rPr>
            </w:pPr>
            <w:r>
              <w:rPr>
                <w:rFonts w:ascii="Arial" w:cs="Arial" w:eastAsia="Arial" w:hAnsi="Arial"/>
                <w:sz w:val="20"/>
                <w:szCs w:val="20"/>
                <w:b w:val="1"/>
                <w:bCs w:val="1"/>
                <w:color w:val="auto"/>
              </w:rPr>
              <w:t>Quantity (#)</w:t>
            </w:r>
          </w:p>
        </w:tc>
        <w:tc>
          <w:tcPr>
            <w:tcW w:w="720" w:type="dxa"/>
            <w:vAlign w:val="bottom"/>
          </w:tcPr>
          <w:p>
            <w:pPr>
              <w:jc w:val="right"/>
              <w:spacing w:after="0" w:line="212" w:lineRule="exact"/>
              <w:rPr>
                <w:sz w:val="20"/>
                <w:szCs w:val="20"/>
                <w:color w:val="auto"/>
              </w:rPr>
            </w:pPr>
            <w:r>
              <w:rPr>
                <w:rFonts w:ascii="Arial" w:cs="Arial" w:eastAsia="Arial" w:hAnsi="Arial"/>
                <w:sz w:val="20"/>
                <w:szCs w:val="20"/>
                <w:b w:val="1"/>
                <w:bCs w:val="1"/>
                <w:color w:val="auto"/>
                <w:w w:val="88"/>
              </w:rPr>
              <w:t xml:space="preserve">Price </w:t>
            </w:r>
            <w:r>
              <w:rPr>
                <w:rFonts w:ascii="Arial" w:cs="Arial" w:eastAsia="Arial" w:hAnsi="Arial"/>
                <w:sz w:val="20"/>
                <w:szCs w:val="20"/>
                <w:b w:val="1"/>
                <w:bCs w:val="1"/>
                <w:u w:val="single" w:color="auto"/>
                <w:color w:val="auto"/>
                <w:w w:val="88"/>
              </w:rPr>
              <w:t>($</w:t>
            </w:r>
            <w:r>
              <w:rPr>
                <w:rFonts w:ascii="Arial" w:cs="Arial" w:eastAsia="Arial" w:hAnsi="Arial"/>
                <w:sz w:val="20"/>
                <w:szCs w:val="20"/>
                <w:b w:val="1"/>
                <w:bCs w:val="1"/>
                <w:color w:val="auto"/>
                <w:w w:val="88"/>
              </w:rPr>
              <w:t>)</w:t>
            </w:r>
          </w:p>
        </w:tc>
      </w:tr>
      <w:tr>
        <w:trPr>
          <w:trHeight w:val="281"/>
        </w:trPr>
        <w:tc>
          <w:tcPr>
            <w:tcW w:w="9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98"/>
              </w:rPr>
              <w:t>7/24/2007</w:t>
            </w:r>
          </w:p>
        </w:tc>
        <w:tc>
          <w:tcPr>
            <w:tcW w:w="540" w:type="dxa"/>
            <w:vAlign w:val="bottom"/>
          </w:tcPr>
          <w:p>
            <w:pPr>
              <w:spacing w:after="0"/>
              <w:rPr>
                <w:sz w:val="24"/>
                <w:szCs w:val="24"/>
                <w:color w:val="auto"/>
              </w:rPr>
            </w:pPr>
          </w:p>
        </w:tc>
        <w:tc>
          <w:tcPr>
            <w:tcW w:w="1500" w:type="dxa"/>
            <w:vAlign w:val="bottom"/>
            <w:tcBorders>
              <w:top w:val="single" w:sz="8" w:color="auto"/>
            </w:tcBorders>
          </w:tcPr>
          <w:p>
            <w:pPr>
              <w:ind w:left="380"/>
              <w:spacing w:after="0"/>
              <w:rPr>
                <w:sz w:val="20"/>
                <w:szCs w:val="20"/>
                <w:color w:val="auto"/>
              </w:rPr>
            </w:pPr>
            <w:r>
              <w:rPr>
                <w:rFonts w:ascii="Arial" w:cs="Arial" w:eastAsia="Arial" w:hAnsi="Arial"/>
                <w:sz w:val="20"/>
                <w:szCs w:val="20"/>
                <w:color w:val="auto"/>
              </w:rPr>
              <w:t>KIA</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95"/>
              </w:rPr>
              <w:t>Sell</w:t>
            </w:r>
          </w:p>
        </w:tc>
        <w:tc>
          <w:tcPr>
            <w:tcW w:w="760" w:type="dxa"/>
            <w:vAlign w:val="bottom"/>
          </w:tcPr>
          <w:p>
            <w:pPr>
              <w:spacing w:after="0"/>
              <w:rPr>
                <w:sz w:val="24"/>
                <w:szCs w:val="24"/>
                <w:color w:val="auto"/>
              </w:rPr>
            </w:pPr>
          </w:p>
        </w:tc>
        <w:tc>
          <w:tcPr>
            <w:tcW w:w="1040" w:type="dxa"/>
            <w:vAlign w:val="bottom"/>
            <w:tcBorders>
              <w:top w:val="single" w:sz="8" w:color="auto"/>
            </w:tcBorders>
          </w:tcPr>
          <w:p>
            <w:pPr>
              <w:jc w:val="right"/>
              <w:ind w:right="161"/>
              <w:spacing w:after="0"/>
              <w:rPr>
                <w:sz w:val="20"/>
                <w:szCs w:val="20"/>
                <w:color w:val="auto"/>
              </w:rPr>
            </w:pPr>
            <w:r>
              <w:rPr>
                <w:rFonts w:ascii="Arial" w:cs="Arial" w:eastAsia="Arial" w:hAnsi="Arial"/>
                <w:sz w:val="20"/>
                <w:szCs w:val="20"/>
                <w:color w:val="auto"/>
              </w:rPr>
              <w:t>100</w:t>
            </w:r>
          </w:p>
        </w:tc>
        <w:tc>
          <w:tcPr>
            <w:tcW w:w="700" w:type="dxa"/>
            <w:vAlign w:val="bottom"/>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16.62</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7/24/2007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325</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16.68</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7/24/2007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187</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16.55</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7/25/2007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16.53</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7/25/2007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375</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16.86</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7/25/2007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400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16.86</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7/25/2007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400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16.86</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7/25/2007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225</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16.86</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7/25/2007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225</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16.86</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7/25/2007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475</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16.86</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7/25/2007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250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16.86</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7/25/2007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150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16.86</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7/26/2007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2"/>
              </w:rPr>
              <w:t>Buy</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700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16.46</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7/27/2007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2"/>
              </w:rPr>
              <w:t>Buy</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275</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16.40</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7/27/2007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1,903</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16.29</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7/27/2007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97</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16.29</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7/30/2007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200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16.42</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7/30/2007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25</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16.37</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7/30/2007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75</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16.37</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7/31/2007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250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17.02</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rPr>
              <w:t>8/1/2007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50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17.41</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rPr>
              <w:t>8/1/2007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2"/>
              </w:rPr>
              <w:t>Buy</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250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17.51</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rPr>
              <w:t>8/1/2007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17.05</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rPr>
              <w:t>8/1/2007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2"/>
              </w:rPr>
              <w:t>Buy</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3,500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17.54</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rPr>
              <w:t>8/1/2007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153</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16.99</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rPr>
              <w:t>8/1/2007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347</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16.99</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rPr>
              <w:t>8/1/2007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375</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17.44</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rPr>
              <w:t>8/1/2007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500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17.44</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rPr>
              <w:t>8/2/2007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2"/>
              </w:rPr>
              <w:t>Buy</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1,500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18.18</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rPr>
              <w:t>8/2/2007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500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17.54</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rPr>
              <w:t>8/3/2007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2"/>
              </w:rPr>
              <w:t>Buy</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17.94</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rPr>
              <w:t>8/3/2007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50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17.69</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rPr>
              <w:t>8/3/2007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300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17.44</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rPr>
              <w:t>8/3/2007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2,500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17.86</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rPr>
              <w:t>8/3/2007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200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17.69</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rPr>
              <w:t>8/6/2007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500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17.16</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rPr>
              <w:t>8/6/2007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750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17.23</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rPr>
              <w:t>8/6/2007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1,250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17.23</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rPr>
              <w:t>8/6/2007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16.60</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rPr>
              <w:t>8/6/2007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2"/>
              </w:rPr>
              <w:t>Buy</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200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17.71</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rPr>
              <w:t>8/6/2007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2"/>
              </w:rPr>
              <w:t>Buy</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850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17.69</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rPr>
              <w:t>8/6/2007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125</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17.20</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rPr>
              <w:t>8/6/2007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50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17.20</w:t>
            </w:r>
          </w:p>
        </w:tc>
      </w:tr>
      <w:tr>
        <w:trPr>
          <w:trHeight w:val="729"/>
        </w:trPr>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0" w:type="dxa"/>
            <w:vAlign w:val="bottom"/>
            <w:gridSpan w:val="2"/>
          </w:tcPr>
          <w:p>
            <w:pPr>
              <w:ind w:left="80"/>
              <w:spacing w:after="0"/>
              <w:rPr>
                <w:sz w:val="20"/>
                <w:szCs w:val="20"/>
                <w:color w:val="auto"/>
              </w:rPr>
            </w:pPr>
            <w:r>
              <w:rPr>
                <w:rFonts w:ascii="Arial" w:cs="Arial" w:eastAsia="Arial" w:hAnsi="Arial"/>
                <w:sz w:val="20"/>
                <w:szCs w:val="20"/>
                <w:color w:val="auto"/>
              </w:rPr>
              <w:t>B-4</w:t>
            </w: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9839"/>
          </w:cols>
          <w:pgMar w:left="620" w:top="643" w:right="1440"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gridSpan w:val="3"/>
          </w:tcPr>
          <w:p>
            <w:pPr>
              <w:jc w:val="center"/>
              <w:ind w:right="220"/>
              <w:spacing w:after="0"/>
              <w:rPr>
                <w:sz w:val="20"/>
                <w:szCs w:val="20"/>
                <w:color w:val="auto"/>
              </w:rPr>
            </w:pPr>
            <w:r>
              <w:rPr>
                <w:rFonts w:ascii="Arial" w:cs="Arial" w:eastAsia="Arial" w:hAnsi="Arial"/>
                <w:sz w:val="20"/>
                <w:szCs w:val="20"/>
                <w:b w:val="1"/>
                <w:bCs w:val="1"/>
                <w:color w:val="auto"/>
                <w:w w:val="89"/>
              </w:rPr>
              <w:t>Transaction Activity</w:t>
            </w: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12"/>
        </w:trPr>
        <w:tc>
          <w:tcPr>
            <w:tcW w:w="940" w:type="dxa"/>
            <w:vAlign w:val="bottom"/>
          </w:tcPr>
          <w:p>
            <w:pPr>
              <w:jc w:val="right"/>
              <w:spacing w:after="0" w:line="212" w:lineRule="exact"/>
              <w:rPr>
                <w:sz w:val="20"/>
                <w:szCs w:val="20"/>
                <w:color w:val="auto"/>
              </w:rPr>
            </w:pPr>
            <w:r>
              <w:rPr>
                <w:rFonts w:ascii="Arial" w:cs="Arial" w:eastAsia="Arial" w:hAnsi="Arial"/>
                <w:sz w:val="20"/>
                <w:szCs w:val="20"/>
                <w:b w:val="1"/>
                <w:bCs w:val="1"/>
                <w:color w:val="auto"/>
                <w:w w:val="88"/>
              </w:rPr>
              <w:t>Trade Date</w:t>
            </w:r>
          </w:p>
        </w:tc>
        <w:tc>
          <w:tcPr>
            <w:tcW w:w="540" w:type="dxa"/>
            <w:vAlign w:val="bottom"/>
          </w:tcPr>
          <w:p>
            <w:pPr>
              <w:spacing w:after="0"/>
              <w:rPr>
                <w:sz w:val="18"/>
                <w:szCs w:val="18"/>
                <w:color w:val="auto"/>
              </w:rPr>
            </w:pPr>
          </w:p>
        </w:tc>
        <w:tc>
          <w:tcPr>
            <w:tcW w:w="1500" w:type="dxa"/>
            <w:vAlign w:val="bottom"/>
          </w:tcPr>
          <w:p>
            <w:pPr>
              <w:spacing w:after="0" w:line="212" w:lineRule="exact"/>
              <w:rPr>
                <w:sz w:val="20"/>
                <w:szCs w:val="20"/>
                <w:color w:val="auto"/>
              </w:rPr>
            </w:pPr>
            <w:r>
              <w:rPr>
                <w:rFonts w:ascii="Arial" w:cs="Arial" w:eastAsia="Arial" w:hAnsi="Arial"/>
                <w:sz w:val="20"/>
                <w:szCs w:val="20"/>
                <w:b w:val="1"/>
                <w:bCs w:val="1"/>
                <w:color w:val="auto"/>
                <w:w w:val="88"/>
              </w:rPr>
              <w:t>Reporting Person</w:t>
            </w:r>
          </w:p>
        </w:tc>
        <w:tc>
          <w:tcPr>
            <w:tcW w:w="100" w:type="dxa"/>
            <w:vAlign w:val="bottom"/>
          </w:tcPr>
          <w:p>
            <w:pPr>
              <w:spacing w:after="0"/>
              <w:rPr>
                <w:sz w:val="18"/>
                <w:szCs w:val="18"/>
                <w:color w:val="auto"/>
              </w:rPr>
            </w:pPr>
          </w:p>
        </w:tc>
        <w:tc>
          <w:tcPr>
            <w:tcW w:w="2140" w:type="dxa"/>
            <w:vAlign w:val="bottom"/>
            <w:gridSpan w:val="3"/>
          </w:tcPr>
          <w:p>
            <w:pPr>
              <w:jc w:val="center"/>
              <w:ind w:right="220"/>
              <w:spacing w:after="0" w:line="212" w:lineRule="exact"/>
              <w:rPr>
                <w:sz w:val="20"/>
                <w:szCs w:val="20"/>
                <w:color w:val="auto"/>
              </w:rPr>
            </w:pPr>
            <w:r>
              <w:rPr>
                <w:rFonts w:ascii="Arial" w:cs="Arial" w:eastAsia="Arial" w:hAnsi="Arial"/>
                <w:sz w:val="20"/>
                <w:szCs w:val="20"/>
                <w:b w:val="1"/>
                <w:bCs w:val="1"/>
                <w:color w:val="auto"/>
                <w:w w:val="91"/>
              </w:rPr>
              <w:t>(Buy/Sell)</w:t>
            </w:r>
          </w:p>
        </w:tc>
        <w:tc>
          <w:tcPr>
            <w:tcW w:w="1740" w:type="dxa"/>
            <w:vAlign w:val="bottom"/>
            <w:gridSpan w:val="2"/>
          </w:tcPr>
          <w:p>
            <w:pPr>
              <w:spacing w:after="0" w:line="212" w:lineRule="exact"/>
              <w:rPr>
                <w:sz w:val="20"/>
                <w:szCs w:val="20"/>
                <w:color w:val="auto"/>
              </w:rPr>
            </w:pPr>
            <w:r>
              <w:rPr>
                <w:rFonts w:ascii="Arial" w:cs="Arial" w:eastAsia="Arial" w:hAnsi="Arial"/>
                <w:sz w:val="20"/>
                <w:szCs w:val="20"/>
                <w:b w:val="1"/>
                <w:bCs w:val="1"/>
                <w:color w:val="auto"/>
              </w:rPr>
              <w:t>Quantity (#)</w:t>
            </w:r>
          </w:p>
        </w:tc>
        <w:tc>
          <w:tcPr>
            <w:tcW w:w="720" w:type="dxa"/>
            <w:vAlign w:val="bottom"/>
          </w:tcPr>
          <w:p>
            <w:pPr>
              <w:jc w:val="right"/>
              <w:spacing w:after="0" w:line="212" w:lineRule="exact"/>
              <w:rPr>
                <w:sz w:val="20"/>
                <w:szCs w:val="20"/>
                <w:color w:val="auto"/>
              </w:rPr>
            </w:pPr>
            <w:r>
              <w:rPr>
                <w:rFonts w:ascii="Arial" w:cs="Arial" w:eastAsia="Arial" w:hAnsi="Arial"/>
                <w:sz w:val="20"/>
                <w:szCs w:val="20"/>
                <w:b w:val="1"/>
                <w:bCs w:val="1"/>
                <w:color w:val="auto"/>
                <w:w w:val="88"/>
              </w:rPr>
              <w:t xml:space="preserve">Price </w:t>
            </w:r>
            <w:r>
              <w:rPr>
                <w:rFonts w:ascii="Arial" w:cs="Arial" w:eastAsia="Arial" w:hAnsi="Arial"/>
                <w:sz w:val="20"/>
                <w:szCs w:val="20"/>
                <w:b w:val="1"/>
                <w:bCs w:val="1"/>
                <w:u w:val="single" w:color="auto"/>
                <w:color w:val="auto"/>
                <w:w w:val="88"/>
              </w:rPr>
              <w:t>($</w:t>
            </w:r>
            <w:r>
              <w:rPr>
                <w:rFonts w:ascii="Arial" w:cs="Arial" w:eastAsia="Arial" w:hAnsi="Arial"/>
                <w:sz w:val="20"/>
                <w:szCs w:val="20"/>
                <w:b w:val="1"/>
                <w:bCs w:val="1"/>
                <w:color w:val="auto"/>
                <w:w w:val="88"/>
              </w:rPr>
              <w:t>)</w:t>
            </w:r>
          </w:p>
        </w:tc>
      </w:tr>
      <w:tr>
        <w:trPr>
          <w:trHeight w:val="281"/>
        </w:trPr>
        <w:tc>
          <w:tcPr>
            <w:tcW w:w="9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8/6/2007</w:t>
            </w:r>
          </w:p>
        </w:tc>
        <w:tc>
          <w:tcPr>
            <w:tcW w:w="540" w:type="dxa"/>
            <w:vAlign w:val="bottom"/>
          </w:tcPr>
          <w:p>
            <w:pPr>
              <w:spacing w:after="0"/>
              <w:rPr>
                <w:sz w:val="24"/>
                <w:szCs w:val="24"/>
                <w:color w:val="auto"/>
              </w:rPr>
            </w:pPr>
          </w:p>
        </w:tc>
        <w:tc>
          <w:tcPr>
            <w:tcW w:w="1500" w:type="dxa"/>
            <w:vAlign w:val="bottom"/>
            <w:tcBorders>
              <w:top w:val="single" w:sz="8" w:color="auto"/>
            </w:tcBorders>
          </w:tcPr>
          <w:p>
            <w:pPr>
              <w:ind w:left="380"/>
              <w:spacing w:after="0"/>
              <w:rPr>
                <w:sz w:val="20"/>
                <w:szCs w:val="20"/>
                <w:color w:val="auto"/>
              </w:rPr>
            </w:pPr>
            <w:r>
              <w:rPr>
                <w:rFonts w:ascii="Arial" w:cs="Arial" w:eastAsia="Arial" w:hAnsi="Arial"/>
                <w:sz w:val="20"/>
                <w:szCs w:val="20"/>
                <w:color w:val="auto"/>
              </w:rPr>
              <w:t>KIA</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92"/>
              </w:rPr>
              <w:t>Buy</w:t>
            </w:r>
          </w:p>
        </w:tc>
        <w:tc>
          <w:tcPr>
            <w:tcW w:w="760" w:type="dxa"/>
            <w:vAlign w:val="bottom"/>
          </w:tcPr>
          <w:p>
            <w:pPr>
              <w:spacing w:after="0"/>
              <w:rPr>
                <w:sz w:val="24"/>
                <w:szCs w:val="24"/>
                <w:color w:val="auto"/>
              </w:rPr>
            </w:pPr>
          </w:p>
        </w:tc>
        <w:tc>
          <w:tcPr>
            <w:tcW w:w="1040" w:type="dxa"/>
            <w:vAlign w:val="bottom"/>
            <w:tcBorders>
              <w:top w:val="single" w:sz="8" w:color="auto"/>
            </w:tcBorders>
          </w:tcPr>
          <w:p>
            <w:pPr>
              <w:jc w:val="right"/>
              <w:ind w:right="161"/>
              <w:spacing w:after="0"/>
              <w:rPr>
                <w:sz w:val="20"/>
                <w:szCs w:val="20"/>
                <w:color w:val="auto"/>
              </w:rPr>
            </w:pPr>
            <w:r>
              <w:rPr>
                <w:rFonts w:ascii="Arial" w:cs="Arial" w:eastAsia="Arial" w:hAnsi="Arial"/>
                <w:sz w:val="20"/>
                <w:szCs w:val="20"/>
                <w:color w:val="auto"/>
              </w:rPr>
              <w:t>100</w:t>
            </w:r>
          </w:p>
        </w:tc>
        <w:tc>
          <w:tcPr>
            <w:tcW w:w="700" w:type="dxa"/>
            <w:vAlign w:val="bottom"/>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17.51</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rPr>
              <w:t>8/6/2007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2"/>
              </w:rPr>
              <w:t>Buy</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17.61</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rPr>
              <w:t>8/6/2007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2"/>
              </w:rPr>
              <w:t>Buy</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500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17.52</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rPr>
              <w:t>8/6/2007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2"/>
              </w:rPr>
              <w:t>Buy</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17.53</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rPr>
              <w:t>8/6/2007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2"/>
              </w:rPr>
              <w:t>Buy</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17.51</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rPr>
              <w:t>8/6/2007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2"/>
              </w:rPr>
              <w:t>Buy</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17.51</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rPr>
              <w:t>8/6/2007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2"/>
              </w:rPr>
              <w:t>Buy</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17.53</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rPr>
              <w:t>8/6/2007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2"/>
              </w:rPr>
              <w:t>Buy</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17.59</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rPr>
              <w:t>8/6/2007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2"/>
              </w:rPr>
              <w:t>Buy</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300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17.63</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rPr>
              <w:t>8/6/2007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2"/>
              </w:rPr>
              <w:t>Buy</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1,400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17.27</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rPr>
              <w:t>8/7/2007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2"/>
              </w:rPr>
              <w:t>Buy</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1,000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16.97</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rPr>
              <w:t>8/7/2007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2"/>
              </w:rPr>
              <w:t>Buy</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250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17.03</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rPr>
              <w:t>8/7/2007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16.53</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rPr>
              <w:t>8/7/2007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300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16.81</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rPr>
              <w:t>8/7/2007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2,000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16.71</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rPr>
              <w:t>8/8/2007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2"/>
              </w:rPr>
              <w:t>Buy</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500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20.20</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rPr>
              <w:t>8/8/2007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250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19.07</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rPr>
              <w:t>8/8/2007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250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19.07</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rPr>
              <w:t>8/8/2007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2"/>
              </w:rPr>
              <w:t>Buy</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850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20.07</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8/10/2007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750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19.80</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8/10/2007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375</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19.58</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8/10/2007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125</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19.70</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8/10/2007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25</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19.70</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8/13/2007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2"/>
              </w:rPr>
              <w:t>Buy</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150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19.80</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8/13/2007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2"/>
              </w:rPr>
              <w:t>Buy</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150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19.79</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8/13/2007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2"/>
              </w:rPr>
              <w:t>Buy</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225</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19.42</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8/13/2007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2"/>
              </w:rPr>
              <w:t>Buy</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250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19.50</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8/13/2007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2"/>
              </w:rPr>
              <w:t>Buy</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300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19.43</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8/14/2007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2"/>
              </w:rPr>
              <w:t>Buy</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250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19.85</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8/14/2007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60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19.85</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8/14/2007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2"/>
              </w:rPr>
              <w:t>Buy</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1,625</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19.47</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8/14/2007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2"/>
              </w:rPr>
              <w:t>Buy</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250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19.86</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8/14/2007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2"/>
              </w:rPr>
              <w:t>Buy</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200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19.96</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8/14/2007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50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19.47</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8/14/2007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125</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19.51</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8/15/2007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1,000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19.69</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8/15/2007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250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19.63</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8/15/2007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2"/>
              </w:rPr>
              <w:t>Buy</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125</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19.90</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8/15/2007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2"/>
              </w:rPr>
              <w:t>Buy</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150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19.94</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8/16/2007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875</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19.46</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8/16/2007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800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19.36</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8/16/2007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1,500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19.27</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8/17/2007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2"/>
              </w:rPr>
              <w:t>Buy</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35</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19.83</w:t>
            </w:r>
          </w:p>
        </w:tc>
      </w:tr>
      <w:tr>
        <w:trPr>
          <w:trHeight w:val="729"/>
        </w:trPr>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0" w:type="dxa"/>
            <w:vAlign w:val="bottom"/>
            <w:gridSpan w:val="2"/>
          </w:tcPr>
          <w:p>
            <w:pPr>
              <w:ind w:left="80"/>
              <w:spacing w:after="0"/>
              <w:rPr>
                <w:sz w:val="20"/>
                <w:szCs w:val="20"/>
                <w:color w:val="auto"/>
              </w:rPr>
            </w:pPr>
            <w:r>
              <w:rPr>
                <w:rFonts w:ascii="Arial" w:cs="Arial" w:eastAsia="Arial" w:hAnsi="Arial"/>
                <w:sz w:val="20"/>
                <w:szCs w:val="20"/>
                <w:color w:val="auto"/>
              </w:rPr>
              <w:t>B-5</w:t>
            </w: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9839"/>
          </w:cols>
          <w:pgMar w:left="620" w:top="886" w:right="1440"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gridSpan w:val="3"/>
          </w:tcPr>
          <w:p>
            <w:pPr>
              <w:jc w:val="center"/>
              <w:ind w:right="220"/>
              <w:spacing w:after="0"/>
              <w:rPr>
                <w:sz w:val="20"/>
                <w:szCs w:val="20"/>
                <w:color w:val="auto"/>
              </w:rPr>
            </w:pPr>
            <w:r>
              <w:rPr>
                <w:rFonts w:ascii="Arial" w:cs="Arial" w:eastAsia="Arial" w:hAnsi="Arial"/>
                <w:sz w:val="20"/>
                <w:szCs w:val="20"/>
                <w:b w:val="1"/>
                <w:bCs w:val="1"/>
                <w:color w:val="auto"/>
                <w:w w:val="89"/>
              </w:rPr>
              <w:t>Transaction Activity</w:t>
            </w: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12"/>
        </w:trPr>
        <w:tc>
          <w:tcPr>
            <w:tcW w:w="940" w:type="dxa"/>
            <w:vAlign w:val="bottom"/>
          </w:tcPr>
          <w:p>
            <w:pPr>
              <w:jc w:val="right"/>
              <w:spacing w:after="0" w:line="212" w:lineRule="exact"/>
              <w:rPr>
                <w:sz w:val="20"/>
                <w:szCs w:val="20"/>
                <w:color w:val="auto"/>
              </w:rPr>
            </w:pPr>
            <w:r>
              <w:rPr>
                <w:rFonts w:ascii="Arial" w:cs="Arial" w:eastAsia="Arial" w:hAnsi="Arial"/>
                <w:sz w:val="20"/>
                <w:szCs w:val="20"/>
                <w:b w:val="1"/>
                <w:bCs w:val="1"/>
                <w:color w:val="auto"/>
                <w:w w:val="88"/>
              </w:rPr>
              <w:t>Trade Date</w:t>
            </w:r>
          </w:p>
        </w:tc>
        <w:tc>
          <w:tcPr>
            <w:tcW w:w="540" w:type="dxa"/>
            <w:vAlign w:val="bottom"/>
          </w:tcPr>
          <w:p>
            <w:pPr>
              <w:spacing w:after="0"/>
              <w:rPr>
                <w:sz w:val="18"/>
                <w:szCs w:val="18"/>
                <w:color w:val="auto"/>
              </w:rPr>
            </w:pPr>
          </w:p>
        </w:tc>
        <w:tc>
          <w:tcPr>
            <w:tcW w:w="1500" w:type="dxa"/>
            <w:vAlign w:val="bottom"/>
          </w:tcPr>
          <w:p>
            <w:pPr>
              <w:spacing w:after="0" w:line="212" w:lineRule="exact"/>
              <w:rPr>
                <w:sz w:val="20"/>
                <w:szCs w:val="20"/>
                <w:color w:val="auto"/>
              </w:rPr>
            </w:pPr>
            <w:r>
              <w:rPr>
                <w:rFonts w:ascii="Arial" w:cs="Arial" w:eastAsia="Arial" w:hAnsi="Arial"/>
                <w:sz w:val="20"/>
                <w:szCs w:val="20"/>
                <w:b w:val="1"/>
                <w:bCs w:val="1"/>
                <w:color w:val="auto"/>
                <w:w w:val="88"/>
              </w:rPr>
              <w:t>Reporting Person</w:t>
            </w:r>
          </w:p>
        </w:tc>
        <w:tc>
          <w:tcPr>
            <w:tcW w:w="100" w:type="dxa"/>
            <w:vAlign w:val="bottom"/>
          </w:tcPr>
          <w:p>
            <w:pPr>
              <w:spacing w:after="0"/>
              <w:rPr>
                <w:sz w:val="18"/>
                <w:szCs w:val="18"/>
                <w:color w:val="auto"/>
              </w:rPr>
            </w:pPr>
          </w:p>
        </w:tc>
        <w:tc>
          <w:tcPr>
            <w:tcW w:w="2140" w:type="dxa"/>
            <w:vAlign w:val="bottom"/>
            <w:gridSpan w:val="3"/>
          </w:tcPr>
          <w:p>
            <w:pPr>
              <w:jc w:val="center"/>
              <w:ind w:right="220"/>
              <w:spacing w:after="0" w:line="212" w:lineRule="exact"/>
              <w:rPr>
                <w:sz w:val="20"/>
                <w:szCs w:val="20"/>
                <w:color w:val="auto"/>
              </w:rPr>
            </w:pPr>
            <w:r>
              <w:rPr>
                <w:rFonts w:ascii="Arial" w:cs="Arial" w:eastAsia="Arial" w:hAnsi="Arial"/>
                <w:sz w:val="20"/>
                <w:szCs w:val="20"/>
                <w:b w:val="1"/>
                <w:bCs w:val="1"/>
                <w:color w:val="auto"/>
                <w:w w:val="91"/>
              </w:rPr>
              <w:t>(Buy/Sell)</w:t>
            </w:r>
          </w:p>
        </w:tc>
        <w:tc>
          <w:tcPr>
            <w:tcW w:w="1740" w:type="dxa"/>
            <w:vAlign w:val="bottom"/>
            <w:gridSpan w:val="2"/>
          </w:tcPr>
          <w:p>
            <w:pPr>
              <w:spacing w:after="0" w:line="212" w:lineRule="exact"/>
              <w:rPr>
                <w:sz w:val="20"/>
                <w:szCs w:val="20"/>
                <w:color w:val="auto"/>
              </w:rPr>
            </w:pPr>
            <w:r>
              <w:rPr>
                <w:rFonts w:ascii="Arial" w:cs="Arial" w:eastAsia="Arial" w:hAnsi="Arial"/>
                <w:sz w:val="20"/>
                <w:szCs w:val="20"/>
                <w:b w:val="1"/>
                <w:bCs w:val="1"/>
                <w:color w:val="auto"/>
              </w:rPr>
              <w:t>Quantity (#)</w:t>
            </w:r>
          </w:p>
        </w:tc>
        <w:tc>
          <w:tcPr>
            <w:tcW w:w="720" w:type="dxa"/>
            <w:vAlign w:val="bottom"/>
          </w:tcPr>
          <w:p>
            <w:pPr>
              <w:jc w:val="right"/>
              <w:spacing w:after="0" w:line="212" w:lineRule="exact"/>
              <w:rPr>
                <w:sz w:val="20"/>
                <w:szCs w:val="20"/>
                <w:color w:val="auto"/>
              </w:rPr>
            </w:pPr>
            <w:r>
              <w:rPr>
                <w:rFonts w:ascii="Arial" w:cs="Arial" w:eastAsia="Arial" w:hAnsi="Arial"/>
                <w:sz w:val="20"/>
                <w:szCs w:val="20"/>
                <w:b w:val="1"/>
                <w:bCs w:val="1"/>
                <w:color w:val="auto"/>
                <w:w w:val="88"/>
              </w:rPr>
              <w:t xml:space="preserve">Price </w:t>
            </w:r>
            <w:r>
              <w:rPr>
                <w:rFonts w:ascii="Arial" w:cs="Arial" w:eastAsia="Arial" w:hAnsi="Arial"/>
                <w:sz w:val="20"/>
                <w:szCs w:val="20"/>
                <w:b w:val="1"/>
                <w:bCs w:val="1"/>
                <w:u w:val="single" w:color="auto"/>
                <w:color w:val="auto"/>
                <w:w w:val="88"/>
              </w:rPr>
              <w:t>($</w:t>
            </w:r>
            <w:r>
              <w:rPr>
                <w:rFonts w:ascii="Arial" w:cs="Arial" w:eastAsia="Arial" w:hAnsi="Arial"/>
                <w:sz w:val="20"/>
                <w:szCs w:val="20"/>
                <w:b w:val="1"/>
                <w:bCs w:val="1"/>
                <w:color w:val="auto"/>
                <w:w w:val="88"/>
              </w:rPr>
              <w:t>)</w:t>
            </w:r>
          </w:p>
        </w:tc>
      </w:tr>
      <w:tr>
        <w:trPr>
          <w:trHeight w:val="281"/>
        </w:trPr>
        <w:tc>
          <w:tcPr>
            <w:tcW w:w="9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98"/>
              </w:rPr>
              <w:t>8/17/2007</w:t>
            </w:r>
          </w:p>
        </w:tc>
        <w:tc>
          <w:tcPr>
            <w:tcW w:w="540" w:type="dxa"/>
            <w:vAlign w:val="bottom"/>
          </w:tcPr>
          <w:p>
            <w:pPr>
              <w:spacing w:after="0"/>
              <w:rPr>
                <w:sz w:val="24"/>
                <w:szCs w:val="24"/>
                <w:color w:val="auto"/>
              </w:rPr>
            </w:pPr>
          </w:p>
        </w:tc>
        <w:tc>
          <w:tcPr>
            <w:tcW w:w="1500" w:type="dxa"/>
            <w:vAlign w:val="bottom"/>
            <w:tcBorders>
              <w:top w:val="single" w:sz="8" w:color="auto"/>
            </w:tcBorders>
          </w:tcPr>
          <w:p>
            <w:pPr>
              <w:ind w:left="380"/>
              <w:spacing w:after="0"/>
              <w:rPr>
                <w:sz w:val="20"/>
                <w:szCs w:val="20"/>
                <w:color w:val="auto"/>
              </w:rPr>
            </w:pPr>
            <w:r>
              <w:rPr>
                <w:rFonts w:ascii="Arial" w:cs="Arial" w:eastAsia="Arial" w:hAnsi="Arial"/>
                <w:sz w:val="20"/>
                <w:szCs w:val="20"/>
                <w:color w:val="auto"/>
              </w:rPr>
              <w:t>KIA</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92"/>
              </w:rPr>
              <w:t>Buy</w:t>
            </w:r>
          </w:p>
        </w:tc>
        <w:tc>
          <w:tcPr>
            <w:tcW w:w="760" w:type="dxa"/>
            <w:vAlign w:val="bottom"/>
          </w:tcPr>
          <w:p>
            <w:pPr>
              <w:spacing w:after="0"/>
              <w:rPr>
                <w:sz w:val="24"/>
                <w:szCs w:val="24"/>
                <w:color w:val="auto"/>
              </w:rPr>
            </w:pPr>
          </w:p>
        </w:tc>
        <w:tc>
          <w:tcPr>
            <w:tcW w:w="1040" w:type="dxa"/>
            <w:vAlign w:val="bottom"/>
            <w:tcBorders>
              <w:top w:val="single" w:sz="8" w:color="auto"/>
            </w:tcBorders>
          </w:tcPr>
          <w:p>
            <w:pPr>
              <w:jc w:val="right"/>
              <w:ind w:right="161"/>
              <w:spacing w:after="0"/>
              <w:rPr>
                <w:sz w:val="20"/>
                <w:szCs w:val="20"/>
                <w:color w:val="auto"/>
              </w:rPr>
            </w:pPr>
            <w:r>
              <w:rPr>
                <w:rFonts w:ascii="Arial" w:cs="Arial" w:eastAsia="Arial" w:hAnsi="Arial"/>
                <w:sz w:val="20"/>
                <w:szCs w:val="20"/>
                <w:color w:val="auto"/>
              </w:rPr>
              <w:t>600</w:t>
            </w:r>
          </w:p>
        </w:tc>
        <w:tc>
          <w:tcPr>
            <w:tcW w:w="700" w:type="dxa"/>
            <w:vAlign w:val="bottom"/>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19.82</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8/17/2007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2"/>
              </w:rPr>
              <w:t>Buy</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300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19.83</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8/17/2007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2"/>
              </w:rPr>
              <w:t>Buy</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19.87</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8/17/2007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2"/>
              </w:rPr>
              <w:t>Buy</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165</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19.83</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8/17/2007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2"/>
              </w:rPr>
              <w:t>Buy</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19.88</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8/17/2007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2"/>
              </w:rPr>
              <w:t>Buy</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19.88</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8/17/2007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2"/>
              </w:rPr>
              <w:t>Buy</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19.83</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8/20/2007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2"/>
              </w:rPr>
              <w:t>Buy</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500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19.94</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8/20/2007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250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19.24</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8/20/2007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1,500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19.45</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8/20/2007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250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19.45</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8/21/2007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2,000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19.37</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8/21/2007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1,250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19.31</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8/21/2007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19.41</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8/21/2007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125</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19.43</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8/21/2007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300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18.97</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8/21/2007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500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19.18</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8/21/2007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2,000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19.13</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8/21/2007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500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19.13</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8/21/2007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1,250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19.13</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8/21/2007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1,250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19.13</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8/21/2007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2,500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18.97</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8/21/2007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1,000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18.87</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8/21/2007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7,500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19.03</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8/22/2007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175</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19.17</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8/22/2007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25</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19.17</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8/22/2007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50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19.17</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8/22/2007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25</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19.17</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8/22/2007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25</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19.17</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8/22/2007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150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19.17</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8/22/2007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2"/>
              </w:rPr>
              <w:t>Buy</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875</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19.15</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8/22/2007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500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19.39</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8/22/2007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750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19.26</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8/22/2007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2"/>
              </w:rPr>
              <w:t>Buy</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250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19.54</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8/22/2007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2"/>
              </w:rPr>
              <w:t>Buy</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825</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19.42</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8/22/2007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2"/>
              </w:rPr>
              <w:t>Buy</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400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19.67</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8/22/2007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500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19.34</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8/23/2007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500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18.64</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8/23/2007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500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18.64</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8/23/2007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5"/>
              </w:rPr>
              <w:t>Sell</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250</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18.64</w:t>
            </w:r>
          </w:p>
        </w:tc>
      </w:tr>
      <w:tr>
        <w:trPr>
          <w:trHeight w:val="257"/>
        </w:trPr>
        <w:tc>
          <w:tcPr>
            <w:tcW w:w="940" w:type="dxa"/>
            <w:vAlign w:val="bottom"/>
          </w:tcPr>
          <w:p>
            <w:pPr>
              <w:jc w:val="right"/>
              <w:spacing w:after="0"/>
              <w:rPr>
                <w:sz w:val="20"/>
                <w:szCs w:val="20"/>
                <w:color w:val="auto"/>
              </w:rPr>
            </w:pPr>
            <w:r>
              <w:rPr>
                <w:rFonts w:ascii="Arial" w:cs="Arial" w:eastAsia="Arial" w:hAnsi="Arial"/>
                <w:sz w:val="20"/>
                <w:szCs w:val="20"/>
                <w:color w:val="auto"/>
                <w:w w:val="98"/>
              </w:rPr>
              <w:t>8/23/2007</w:t>
            </w:r>
          </w:p>
        </w:tc>
        <w:tc>
          <w:tcPr>
            <w:tcW w:w="54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Arial" w:cs="Arial" w:eastAsia="Arial" w:hAnsi="Arial"/>
                <w:sz w:val="20"/>
                <w:szCs w:val="20"/>
                <w:color w:val="auto"/>
              </w:rPr>
              <w:t>KIA</w:t>
            </w:r>
          </w:p>
        </w:tc>
        <w:tc>
          <w:tcPr>
            <w:tcW w:w="540" w:type="dxa"/>
            <w:vAlign w:val="bottom"/>
          </w:tcPr>
          <w:p>
            <w:pPr>
              <w:spacing w:after="0"/>
              <w:rPr>
                <w:sz w:val="22"/>
                <w:szCs w:val="22"/>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20"/>
                <w:szCs w:val="20"/>
                <w:color w:val="auto"/>
                <w:w w:val="92"/>
              </w:rPr>
              <w:t>Buy</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125</w:t>
            </w:r>
          </w:p>
        </w:tc>
        <w:tc>
          <w:tcPr>
            <w:tcW w:w="7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18.51</w:t>
            </w:r>
          </w:p>
        </w:tc>
      </w:tr>
      <w:tr>
        <w:trPr>
          <w:trHeight w:val="972"/>
        </w:trPr>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0" w:type="dxa"/>
            <w:vAlign w:val="bottom"/>
            <w:gridSpan w:val="2"/>
          </w:tcPr>
          <w:p>
            <w:pPr>
              <w:ind w:left="80"/>
              <w:spacing w:after="0"/>
              <w:rPr>
                <w:sz w:val="20"/>
                <w:szCs w:val="20"/>
                <w:color w:val="auto"/>
              </w:rPr>
            </w:pPr>
            <w:r>
              <w:rPr>
                <w:rFonts w:ascii="Arial" w:cs="Arial" w:eastAsia="Arial" w:hAnsi="Arial"/>
                <w:sz w:val="20"/>
                <w:szCs w:val="20"/>
                <w:color w:val="auto"/>
              </w:rPr>
              <w:t>B-6</w:t>
            </w: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839"/>
      </w:cols>
      <w:pgMar w:left="620" w:top="88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1)"/>
      <w:numFmt w:val="decimal"/>
      <w:start w:val="2"/>
    </w:lvl>
    <w:lvl w:ilvl="1">
      <w:lvlJc w:val="left"/>
      <w:lvlText w:val="(%2)"/>
      <w:numFmt w:val="lowerLetter"/>
      <w:start w:val="1"/>
    </w:lvl>
  </w:abstractNum>
  <w:abstractNum w:abstractNumId="2">
    <w:nsid w:val="109CF92E"/>
    <w:multiLevelType w:val="hybridMultilevel"/>
    <w:lvl w:ilvl="0">
      <w:lvlJc w:val="left"/>
      <w:lvlText w:val="%1"/>
      <w:numFmt w:val="decimal"/>
      <w:start w:val="1"/>
    </w:lvl>
    <w:lvl w:ilvl="1">
      <w:lvlJc w:val="left"/>
      <w:lvlText w:val="%2:"/>
      <w:numFmt w:val="upperLetter"/>
      <w:start w:val="41"/>
    </w:lvl>
  </w:abstractNum>
  <w:abstractNum w:abstractNumId="3">
    <w:nsid w:val="DED7263"/>
    <w:multiLevelType w:val="hybridMultilevel"/>
    <w:lvl w:ilvl="0">
      <w:lvlJc w:val="left"/>
      <w:lvlText w:val="%1)"/>
      <w:numFmt w:val="decimal"/>
      <w:start w:val="5"/>
    </w:lvl>
    <w:lvl w:ilvl="1">
      <w:lvlJc w:val="left"/>
      <w:lvlText w:val="%2"/>
      <w:numFmt w:val="upperLetter"/>
      <w:start w:val="1"/>
    </w:lvl>
  </w:abstractNum>
  <w:abstractNum w:abstractNumId="4">
    <w:nsid w:val="7FDCC233"/>
    <w:multiLevelType w:val="hybridMultilevel"/>
    <w:lvl w:ilvl="0">
      <w:lvlJc w:val="left"/>
      <w:lvlText w:val="%1)"/>
      <w:numFmt w:val="decimal"/>
      <w:start w:val="11"/>
    </w:lvl>
  </w:abstractNum>
  <w:abstractNum w:abstractNumId="5">
    <w:nsid w:val="1BEFD79F"/>
    <w:multiLevelType w:val="hybridMultilevel"/>
    <w:lvl w:ilvl="0">
      <w:lvlJc w:val="left"/>
      <w:lvlText w:val="%1)"/>
      <w:numFmt w:val="decimal"/>
      <w:start w:val="13"/>
    </w:lvl>
  </w:abstractNum>
  <w:abstractNum w:abstractNumId="6">
    <w:nsid w:val="41A7C4C9"/>
    <w:multiLevelType w:val="hybridMultilevel"/>
    <w:lvl w:ilvl="0">
      <w:lvlJc w:val="left"/>
      <w:lvlText w:val="%1)"/>
      <w:numFmt w:val="decimal"/>
      <w:start w:val="2"/>
    </w:lvl>
    <w:lvl w:ilvl="1">
      <w:lvlJc w:val="left"/>
      <w:lvlText w:val="(%2)"/>
      <w:numFmt w:val="lowerLetter"/>
      <w:start w:val="1"/>
    </w:lvl>
  </w:abstractNum>
  <w:abstractNum w:abstractNumId="7">
    <w:nsid w:val="6B68079A"/>
    <w:multiLevelType w:val="hybridMultilevel"/>
    <w:lvl w:ilvl="0">
      <w:lvlJc w:val="left"/>
      <w:lvlText w:val="%1)"/>
      <w:numFmt w:val="decimal"/>
      <w:start w:val="5"/>
    </w:lvl>
  </w:abstractNum>
  <w:abstractNum w:abstractNumId="8">
    <w:nsid w:val="4E6AFB66"/>
    <w:multiLevelType w:val="hybridMultilevel"/>
    <w:lvl w:ilvl="0">
      <w:lvlJc w:val="left"/>
      <w:lvlText w:val="%1"/>
      <w:numFmt w:val="decimal"/>
      <w:start w:val="1"/>
    </w:lvl>
    <w:lvl w:ilvl="1">
      <w:lvlJc w:val="left"/>
      <w:lvlText w:val="%2)"/>
      <w:numFmt w:val="decimal"/>
      <w:start w:val="10"/>
    </w:lvl>
  </w:abstractNum>
  <w:abstractNum w:abstractNumId="9">
    <w:nsid w:val="25E45D32"/>
    <w:multiLevelType w:val="hybridMultilevel"/>
    <w:lvl w:ilvl="0">
      <w:lvlJc w:val="left"/>
      <w:lvlText w:val="%1)"/>
      <w:numFmt w:val="decimal"/>
      <w:start w:val="11"/>
    </w:lvl>
    <w:lvl w:ilvl="1">
      <w:lvlJc w:val="left"/>
      <w:lvlText w:val="%2"/>
      <w:numFmt w:val="decimal"/>
      <w:start w:val="1"/>
    </w:lvl>
  </w:abstractNum>
  <w:abstractNum w:abstractNumId="10">
    <w:nsid w:val="519B500D"/>
    <w:multiLevelType w:val="hybridMultilevel"/>
    <w:lvl w:ilvl="0">
      <w:lvlJc w:val="left"/>
      <w:lvlText w:val="%1)"/>
      <w:numFmt w:val="decimal"/>
      <w:start w:val="13"/>
    </w:lvl>
  </w:abstractNum>
  <w:abstractNum w:abstractNumId="11">
    <w:nsid w:val="431BD7B7"/>
    <w:multiLevelType w:val="hybridMultilevel"/>
    <w:lvl w:ilvl="0">
      <w:lvlJc w:val="left"/>
      <w:lvlText w:val="%1)"/>
      <w:numFmt w:val="decimal"/>
      <w:start w:val="2"/>
    </w:lvl>
    <w:lvl w:ilvl="1">
      <w:lvlJc w:val="left"/>
      <w:lvlText w:val="(%2)"/>
      <w:numFmt w:val="lowerLetter"/>
      <w:start w:val="1"/>
    </w:lvl>
  </w:abstractNum>
  <w:abstractNum w:abstractNumId="12">
    <w:nsid w:val="3F2DBA31"/>
    <w:multiLevelType w:val="hybridMultilevel"/>
    <w:lvl w:ilvl="0">
      <w:lvlJc w:val="left"/>
      <w:lvlText w:val="%1)"/>
      <w:numFmt w:val="decimal"/>
      <w:start w:val="5"/>
    </w:lvl>
  </w:abstractNum>
  <w:abstractNum w:abstractNumId="13">
    <w:nsid w:val="7C83E458"/>
    <w:multiLevelType w:val="hybridMultilevel"/>
    <w:lvl w:ilvl="0">
      <w:lvlJc w:val="left"/>
      <w:lvlText w:val="%1"/>
      <w:numFmt w:val="decimal"/>
      <w:start w:val="1"/>
    </w:lvl>
    <w:lvl w:ilvl="1">
      <w:lvlJc w:val="left"/>
      <w:lvlText w:val="%2)"/>
      <w:numFmt w:val="decimal"/>
      <w:start w:val="10"/>
    </w:lvl>
  </w:abstractNum>
  <w:abstractNum w:abstractNumId="14">
    <w:nsid w:val="257130A3"/>
    <w:multiLevelType w:val="hybridMultilevel"/>
    <w:lvl w:ilvl="0">
      <w:lvlJc w:val="left"/>
      <w:lvlText w:val="%1)"/>
      <w:numFmt w:val="decimal"/>
      <w:start w:val="11"/>
    </w:lvl>
    <w:lvl w:ilvl="1">
      <w:lvlJc w:val="left"/>
      <w:lvlText w:val="%2"/>
      <w:numFmt w:val="decimal"/>
      <w:start w:val="1"/>
    </w:lvl>
  </w:abstractNum>
  <w:abstractNum w:abstractNumId="15">
    <w:nsid w:val="62BBD95A"/>
    <w:multiLevelType w:val="hybridMultilevel"/>
    <w:lvl w:ilvl="0">
      <w:lvlJc w:val="left"/>
      <w:lvlText w:val="%1)"/>
      <w:numFmt w:val="decimal"/>
      <w:start w:val="13"/>
    </w:lvl>
  </w:abstractNum>
  <w:abstractNum w:abstractNumId="16">
    <w:nsid w:val="436C6125"/>
    <w:multiLevelType w:val="hybridMultilevel"/>
    <w:lvl w:ilvl="0">
      <w:lvlJc w:val="left"/>
      <w:lvlText w:val="%1)"/>
      <w:numFmt w:val="decimal"/>
      <w:start w:val="2"/>
    </w:lvl>
    <w:lvl w:ilvl="1">
      <w:lvlJc w:val="left"/>
      <w:lvlText w:val="(%2)"/>
      <w:numFmt w:val="lowerLetter"/>
      <w:start w:val="1"/>
    </w:lvl>
  </w:abstractNum>
  <w:abstractNum w:abstractNumId="17">
    <w:nsid w:val="628C895D"/>
    <w:multiLevelType w:val="hybridMultilevel"/>
    <w:lvl w:ilvl="0">
      <w:lvlJc w:val="left"/>
      <w:lvlText w:val="%1)"/>
      <w:numFmt w:val="decimal"/>
      <w:start w:val="5"/>
    </w:lvl>
  </w:abstractNum>
  <w:abstractNum w:abstractNumId="18">
    <w:nsid w:val="333AB105"/>
    <w:multiLevelType w:val="hybridMultilevel"/>
    <w:lvl w:ilvl="0">
      <w:lvlJc w:val="left"/>
      <w:lvlText w:val="%1)"/>
      <w:numFmt w:val="decimal"/>
      <w:start w:val="11"/>
    </w:lvl>
  </w:abstractNum>
  <w:abstractNum w:abstractNumId="19">
    <w:nsid w:val="721DA317"/>
    <w:multiLevelType w:val="hybridMultilevel"/>
    <w:lvl w:ilvl="0">
      <w:lvlJc w:val="left"/>
      <w:lvlText w:val="%1)"/>
      <w:numFmt w:val="decimal"/>
      <w:start w:val="13"/>
    </w:lvl>
  </w:abstractNum>
  <w:abstractNum w:abstractNumId="20">
    <w:nsid w:val="2443A858"/>
    <w:multiLevelType w:val="hybridMultilevel"/>
    <w:lvl w:ilvl="0">
      <w:lvlJc w:val="left"/>
      <w:lvlText w:val="(%1)"/>
      <w:numFmt w:val="lowerLetter"/>
      <w:start w:val="1"/>
    </w:lvl>
  </w:abstractNum>
  <w:abstractNum w:abstractNumId="21">
    <w:nsid w:val="2D1D5AE9"/>
    <w:multiLevelType w:val="hybridMultilevel"/>
    <w:lvl w:ilvl="0">
      <w:lvlJc w:val="left"/>
      <w:lvlText w:val="(%1)"/>
      <w:numFmt w:val="lowerLetter"/>
      <w:start w:val="1"/>
    </w:lvl>
  </w:abstractNum>
  <w:abstractNum w:abstractNumId="22">
    <w:nsid w:val="6763845E"/>
    <w:multiLevelType w:val="hybridMultilevel"/>
    <w:lvl w:ilvl="0">
      <w:lvlJc w:val="left"/>
      <w:lvlText w:val="(%1)"/>
      <w:numFmt w:val="lowerLetter"/>
      <w:start w:val="2"/>
    </w:lvl>
  </w:abstractNum>
  <w:abstractNum w:abstractNumId="23">
    <w:nsid w:val="75A2A8D4"/>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2019-12-12T04:54:24Z</dcterms:created>
  <dcterms:modified xsi:type="dcterms:W3CDTF">2019-12-12T04:54:24Z</dcterms:modified>
</cp:coreProperties>
</file>