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ind w:left="4760"/>
        <w:spacing w:after="0"/>
        <w:rPr>
          <w:sz w:val="20"/>
          <w:szCs w:val="20"/>
          <w:color w:val="auto"/>
        </w:rPr>
      </w:pPr>
      <w:r>
        <w:rPr>
          <w:rFonts w:ascii="Arial" w:cs="Arial" w:eastAsia="Arial" w:hAnsi="Arial"/>
          <w:sz w:val="11"/>
          <w:szCs w:val="11"/>
          <w:b w:val="1"/>
          <w:bCs w:val="1"/>
          <w:color w:val="auto"/>
        </w:rPr>
        <w:t>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2"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April 2, 2021</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79" w:lineRule="exact"/>
        <w:rPr>
          <w:sz w:val="24"/>
          <w:szCs w:val="24"/>
          <w:color w:val="auto"/>
        </w:rPr>
      </w:pPr>
    </w:p>
    <w:p>
      <w:pPr>
        <w:ind w:left="480" w:right="260" w:hanging="441"/>
        <w:spacing w:after="0" w:line="235"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001-33278</w:t>
      </w:r>
    </w:p>
    <w:p>
      <w:pPr>
        <w:spacing w:after="0" w:line="370"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AVIAT NETWORKS, INC.</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20-5961564</w:t>
      </w:r>
    </w:p>
    <w:p>
      <w:pPr>
        <w:spacing w:after="0" w:line="50" w:lineRule="exact"/>
        <w:rPr>
          <w:sz w:val="24"/>
          <w:szCs w:val="24"/>
          <w:color w:val="auto"/>
        </w:rPr>
      </w:pPr>
    </w:p>
    <w:p>
      <w:pPr>
        <w:sectPr>
          <w:pgSz w:w="11900" w:h="16838" w:orient="portrait"/>
          <w:cols w:equalWidth="0" w:num="2">
            <w:col w:w="8080" w:space="720"/>
            <w:col w:w="2440"/>
          </w:cols>
          <w:pgMar w:left="320" w:top="1039" w:right="339" w:bottom="1440" w:gutter="0" w:footer="0" w:header="0"/>
          <w:type w:val="continuous"/>
        </w:sectPr>
      </w:pPr>
    </w:p>
    <w:p>
      <w:pPr>
        <w:ind w:left="86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Identification No.)</w:t>
      </w:r>
    </w:p>
    <w:p>
      <w:pPr>
        <w:spacing w:after="0" w:line="93" w:lineRule="exact"/>
        <w:rPr>
          <w:sz w:val="24"/>
          <w:szCs w:val="24"/>
          <w:color w:val="auto"/>
        </w:rPr>
      </w:pPr>
    </w:p>
    <w:p>
      <w:pPr>
        <w:sectPr>
          <w:pgSz w:w="11900" w:h="16838" w:orient="portrait"/>
          <w:cols w:equalWidth="0" w:num="2">
            <w:col w:w="7260" w:space="720"/>
            <w:col w:w="3260"/>
          </w:cols>
          <w:pgMar w:left="320" w:top="1039" w:right="339" w:bottom="1440" w:gutter="0" w:footer="0" w:header="0"/>
          <w:type w:val="continuous"/>
        </w:sectPr>
      </w:pPr>
    </w:p>
    <w:p>
      <w:pPr>
        <w:jc w:val="center"/>
        <w:ind w:left="700"/>
        <w:spacing w:after="0"/>
        <w:rPr>
          <w:sz w:val="20"/>
          <w:szCs w:val="20"/>
          <w:color w:val="auto"/>
        </w:rPr>
      </w:pPr>
      <w:r>
        <w:rPr>
          <w:rFonts w:ascii="Arial" w:cs="Arial" w:eastAsia="Arial" w:hAnsi="Arial"/>
          <w:sz w:val="16"/>
          <w:szCs w:val="16"/>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tabs>
          <w:tab w:leader="none" w:pos="820" w:val="left"/>
        </w:tabs>
        <w:rPr>
          <w:sz w:val="20"/>
          <w:szCs w:val="20"/>
          <w:color w:val="auto"/>
        </w:rPr>
      </w:pPr>
      <w:r>
        <w:rPr>
          <w:rFonts w:ascii="Arial" w:cs="Arial" w:eastAsia="Arial" w:hAnsi="Arial"/>
          <w:sz w:val="15"/>
          <w:szCs w:val="15"/>
          <w:b w:val="1"/>
          <w:bCs w:val="1"/>
          <w:color w:val="auto"/>
        </w:rPr>
        <w:t>Austin,</w:t>
      </w:r>
      <w:r>
        <w:rPr>
          <w:sz w:val="20"/>
          <w:szCs w:val="20"/>
          <w:color w:val="auto"/>
        </w:rPr>
        <w:tab/>
      </w:r>
      <w:r>
        <w:rPr>
          <w:rFonts w:ascii="Arial" w:cs="Arial" w:eastAsia="Arial" w:hAnsi="Arial"/>
          <w:sz w:val="15"/>
          <w:szCs w:val="15"/>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78728</w:t>
      </w:r>
    </w:p>
    <w:p>
      <w:pPr>
        <w:spacing w:after="0" w:line="50" w:lineRule="exact"/>
        <w:rPr>
          <w:sz w:val="24"/>
          <w:szCs w:val="24"/>
          <w:color w:val="auto"/>
        </w:rPr>
      </w:pPr>
    </w:p>
    <w:p>
      <w:pPr>
        <w:sectPr>
          <w:pgSz w:w="11900" w:h="16838" w:orient="portrait"/>
          <w:cols w:equalWidth="0" w:num="3">
            <w:col w:w="3140" w:space="700"/>
            <w:col w:w="4440" w:space="720"/>
            <w:col w:w="2240"/>
          </w:cols>
          <w:pgMar w:left="320" w:top="1039" w:right="339" w:bottom="1440" w:gutter="0" w:footer="0" w:header="0"/>
          <w:type w:val="continuous"/>
        </w:sectPr>
      </w:pPr>
    </w:p>
    <w:p>
      <w:pPr>
        <w:ind w:left="16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8140" w:space="720"/>
            <w:col w:w="238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29" w:lineRule="exact"/>
        <w:rPr>
          <w:sz w:val="24"/>
          <w:szCs w:val="24"/>
          <w:color w:val="auto"/>
        </w:rPr>
      </w:pPr>
    </w:p>
    <w:p>
      <w:pPr>
        <w:ind w:left="4680"/>
        <w:spacing w:after="0"/>
        <w:rPr>
          <w:sz w:val="20"/>
          <w:szCs w:val="20"/>
          <w:color w:val="auto"/>
        </w:rPr>
      </w:pPr>
      <w:r>
        <w:rPr>
          <w:rFonts w:ascii="Arial" w:cs="Arial" w:eastAsia="Arial" w:hAnsi="Arial"/>
          <w:sz w:val="14"/>
          <w:szCs w:val="14"/>
          <w:color w:val="auto"/>
        </w:rPr>
        <w:t>__________________________</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258"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Title of Each Class</w:t>
      </w:r>
    </w:p>
    <w:p>
      <w:pPr>
        <w:spacing w:after="0" w:line="50"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AVNW</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46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3660" w:space="720"/>
            <w:col w:w="2160" w:space="720"/>
            <w:col w:w="3980"/>
          </w:cols>
          <w:pgMar w:left="320" w:top="1039" w:right="339" w:bottom="1440" w:gutter="0" w:footer="0" w:header="0"/>
          <w:type w:val="continuous"/>
        </w:sectPr>
      </w:pPr>
    </w:p>
    <w:p>
      <w:pPr>
        <w:spacing w:after="0" w:line="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380" w:type="dxa"/>
            <w:vAlign w:val="bottom"/>
          </w:tcPr>
          <w:p>
            <w:pPr>
              <w:ind w:left="20"/>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5"/>
        </w:trPr>
        <w:tc>
          <w:tcPr>
            <w:tcW w:w="23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
        </w:trPr>
        <w:tc>
          <w:tcPr>
            <w:tcW w:w="23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3"/>
        </w:trPr>
        <w:tc>
          <w:tcPr>
            <w:tcW w:w="2380" w:type="dxa"/>
            <w:vAlign w:val="bottom"/>
            <w:tcBorders>
              <w:bottom w:val="single" w:sz="8" w:color="9A9A9A"/>
            </w:tcBorders>
          </w:tcPr>
          <w:p>
            <w:pPr>
              <w:spacing w:after="0"/>
              <w:rPr>
                <w:sz w:val="17"/>
                <w:szCs w:val="17"/>
                <w:color w:val="auto"/>
              </w:rPr>
            </w:pPr>
          </w:p>
        </w:tc>
        <w:tc>
          <w:tcPr>
            <w:tcW w:w="2940" w:type="dxa"/>
            <w:vAlign w:val="bottom"/>
            <w:tcBorders>
              <w:bottom w:val="single" w:sz="8" w:color="9A9A9A"/>
            </w:tcBorders>
          </w:tcPr>
          <w:p>
            <w:pPr>
              <w:spacing w:after="0"/>
              <w:rPr>
                <w:sz w:val="17"/>
                <w:szCs w:val="17"/>
                <w:color w:val="auto"/>
              </w:rPr>
            </w:pPr>
          </w:p>
        </w:tc>
        <w:tc>
          <w:tcPr>
            <w:tcW w:w="49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ind w:right="17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as of April 30, 2021 was 11,164,194.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April 2, 2021</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CCEEFF"/>
            </w:tcBorders>
          </w:tcPr>
          <w:p>
            <w:pPr>
              <w:spacing w:after="0"/>
              <w:rPr>
                <w:sz w:val="16"/>
                <w:szCs w:val="16"/>
                <w:color w:val="auto"/>
              </w:rPr>
            </w:pPr>
          </w:p>
        </w:tc>
        <w:tc>
          <w:tcPr>
            <w:tcW w:w="91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29"/>
        </w:trPr>
        <w:tc>
          <w:tcPr>
            <w:tcW w:w="10220" w:type="dxa"/>
            <w:vAlign w:val="bottom"/>
            <w:gridSpan w:val="2"/>
            <w:shd w:val="clear" w:color="auto" w:fill="CCEEFF"/>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30"/>
        </w:trPr>
        <w:tc>
          <w:tcPr>
            <w:tcW w:w="10220" w:type="dxa"/>
            <w:vAlign w:val="bottom"/>
            <w:gridSpan w:val="2"/>
          </w:tcPr>
          <w:p>
            <w:pPr>
              <w:ind w:left="34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60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29"/>
        </w:trPr>
        <w:tc>
          <w:tcPr>
            <w:tcW w:w="10220" w:type="dxa"/>
            <w:vAlign w:val="bottom"/>
            <w:gridSpan w:val="2"/>
            <w:shd w:val="clear" w:color="auto" w:fill="CCEEFF"/>
          </w:tcPr>
          <w:p>
            <w:pPr>
              <w:ind w:left="34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(Unaudited)</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29"/>
        </w:trPr>
        <w:tc>
          <w:tcPr>
            <w:tcW w:w="10220" w:type="dxa"/>
            <w:vAlign w:val="bottom"/>
            <w:gridSpan w:val="2"/>
          </w:tcPr>
          <w:p>
            <w:pPr>
              <w:ind w:left="34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(Unaudited)</w:t>
              </w:r>
            </w:hyperlink>
          </w:p>
        </w:tc>
        <w:tc>
          <w:tcPr>
            <w:tcW w:w="60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30"/>
        </w:trPr>
        <w:tc>
          <w:tcPr>
            <w:tcW w:w="10220" w:type="dxa"/>
            <w:vAlign w:val="bottom"/>
            <w:gridSpan w:val="2"/>
            <w:shd w:val="clear" w:color="auto" w:fill="CCEEFF"/>
          </w:tcPr>
          <w:p>
            <w:pPr>
              <w:ind w:left="36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Comprehensive Income (Loss) (Unaudited)</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29"/>
        </w:trPr>
        <w:tc>
          <w:tcPr>
            <w:tcW w:w="10220" w:type="dxa"/>
            <w:vAlign w:val="bottom"/>
            <w:gridSpan w:val="2"/>
          </w:tcPr>
          <w:p>
            <w:pPr>
              <w:ind w:left="34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60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30"/>
        </w:trPr>
        <w:tc>
          <w:tcPr>
            <w:tcW w:w="10220" w:type="dxa"/>
            <w:vAlign w:val="bottom"/>
            <w:gridSpan w:val="2"/>
            <w:shd w:val="clear" w:color="auto" w:fill="CCEEFF"/>
          </w:tcPr>
          <w:p>
            <w:pPr>
              <w:ind w:left="340"/>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Equity (Unaudited)</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29"/>
        </w:trPr>
        <w:tc>
          <w:tcPr>
            <w:tcW w:w="10220" w:type="dxa"/>
            <w:vAlign w:val="bottom"/>
            <w:gridSpan w:val="2"/>
          </w:tcPr>
          <w:p>
            <w:pPr>
              <w:ind w:left="340"/>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60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229"/>
        </w:trPr>
        <w:tc>
          <w:tcPr>
            <w:tcW w:w="10220" w:type="dxa"/>
            <w:vAlign w:val="bottom"/>
            <w:gridSpan w:val="2"/>
            <w:shd w:val="clear" w:color="auto" w:fill="CCEEFF"/>
          </w:tcPr>
          <w:p>
            <w:pPr>
              <w:ind w:left="340"/>
              <w:spacing w:after="0"/>
              <w:rPr>
                <w:rFonts w:ascii="Arial" w:cs="Arial" w:eastAsia="Arial" w:hAnsi="Arial"/>
                <w:sz w:val="18"/>
                <w:szCs w:val="18"/>
                <w:color w:val="0000FF"/>
              </w:rPr>
            </w:pPr>
            <w:hyperlink w:anchor="page26">
              <w:r>
                <w:rPr>
                  <w:rFonts w:ascii="Arial" w:cs="Arial" w:eastAsia="Arial" w:hAnsi="Arial"/>
                  <w:sz w:val="18"/>
                  <w:szCs w:val="18"/>
                  <w:color w:val="0000FF"/>
                </w:rPr>
                <w:t>Item 2. Management’s Discussion and Analysis of Financial Condition and Results of Operations</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30"/>
        </w:trPr>
        <w:tc>
          <w:tcPr>
            <w:tcW w:w="10220" w:type="dxa"/>
            <w:vAlign w:val="bottom"/>
            <w:gridSpan w:val="2"/>
          </w:tcPr>
          <w:p>
            <w:pPr>
              <w:ind w:left="340"/>
              <w:spacing w:after="0"/>
              <w:rPr>
                <w:rFonts w:ascii="Arial" w:cs="Arial" w:eastAsia="Arial" w:hAnsi="Arial"/>
                <w:sz w:val="18"/>
                <w:szCs w:val="18"/>
                <w:color w:val="0000FF"/>
              </w:rPr>
            </w:pPr>
            <w:hyperlink w:anchor="page34">
              <w:r>
                <w:rPr>
                  <w:rFonts w:ascii="Arial" w:cs="Arial" w:eastAsia="Arial" w:hAnsi="Arial"/>
                  <w:sz w:val="18"/>
                  <w:szCs w:val="18"/>
                  <w:color w:val="0000FF"/>
                </w:rPr>
                <w:t>Item 3. Quantitative and Qualitative Disclosures About Market Risk</w:t>
              </w:r>
            </w:hyperlink>
          </w:p>
        </w:tc>
        <w:tc>
          <w:tcPr>
            <w:tcW w:w="60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29"/>
        </w:trPr>
        <w:tc>
          <w:tcPr>
            <w:tcW w:w="10220" w:type="dxa"/>
            <w:vAlign w:val="bottom"/>
            <w:gridSpan w:val="2"/>
            <w:shd w:val="clear" w:color="auto" w:fill="CCEEFF"/>
          </w:tcPr>
          <w:p>
            <w:pPr>
              <w:ind w:left="340"/>
              <w:spacing w:after="0"/>
              <w:rPr>
                <w:rFonts w:ascii="Arial" w:cs="Arial" w:eastAsia="Arial" w:hAnsi="Arial"/>
                <w:sz w:val="18"/>
                <w:szCs w:val="18"/>
                <w:color w:val="0000FF"/>
              </w:rPr>
            </w:pPr>
            <w:hyperlink w:anchor="page35">
              <w:r>
                <w:rPr>
                  <w:rFonts w:ascii="Arial" w:cs="Arial" w:eastAsia="Arial" w:hAnsi="Arial"/>
                  <w:sz w:val="18"/>
                  <w:szCs w:val="18"/>
                  <w:color w:val="0000FF"/>
                </w:rPr>
                <w:t>Item 4. Controls and Procedures</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30"/>
        </w:trPr>
        <w:tc>
          <w:tcPr>
            <w:tcW w:w="10220" w:type="dxa"/>
            <w:vAlign w:val="bottom"/>
            <w:gridSpan w:val="2"/>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Other Information</w:t>
              </w:r>
            </w:hyperlink>
          </w:p>
        </w:tc>
        <w:tc>
          <w:tcPr>
            <w:tcW w:w="60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229"/>
        </w:trPr>
        <w:tc>
          <w:tcPr>
            <w:tcW w:w="10220" w:type="dxa"/>
            <w:vAlign w:val="bottom"/>
            <w:gridSpan w:val="2"/>
            <w:shd w:val="clear" w:color="auto" w:fill="CCEEFF"/>
          </w:tcPr>
          <w:p>
            <w:pPr>
              <w:ind w:left="340"/>
              <w:spacing w:after="0"/>
              <w:rPr>
                <w:rFonts w:ascii="Arial" w:cs="Arial" w:eastAsia="Arial" w:hAnsi="Arial"/>
                <w:sz w:val="18"/>
                <w:szCs w:val="18"/>
                <w:color w:val="0000FF"/>
              </w:rPr>
            </w:pPr>
            <w:hyperlink w:anchor="page37">
              <w:r>
                <w:rPr>
                  <w:rFonts w:ascii="Arial" w:cs="Arial" w:eastAsia="Arial" w:hAnsi="Arial"/>
                  <w:sz w:val="18"/>
                  <w:szCs w:val="18"/>
                  <w:color w:val="0000FF"/>
                </w:rPr>
                <w:t>Item 1. Legal Proceedings</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29"/>
        </w:trPr>
        <w:tc>
          <w:tcPr>
            <w:tcW w:w="10220" w:type="dxa"/>
            <w:vAlign w:val="bottom"/>
            <w:gridSpan w:val="2"/>
          </w:tcPr>
          <w:p>
            <w:pPr>
              <w:ind w:left="340"/>
              <w:spacing w:after="0"/>
              <w:rPr>
                <w:rFonts w:ascii="Arial" w:cs="Arial" w:eastAsia="Arial" w:hAnsi="Arial"/>
                <w:sz w:val="18"/>
                <w:szCs w:val="18"/>
                <w:color w:val="0000FF"/>
              </w:rPr>
            </w:pPr>
            <w:hyperlink w:anchor="page37">
              <w:r>
                <w:rPr>
                  <w:rFonts w:ascii="Arial" w:cs="Arial" w:eastAsia="Arial" w:hAnsi="Arial"/>
                  <w:sz w:val="18"/>
                  <w:szCs w:val="18"/>
                  <w:color w:val="0000FF"/>
                </w:rPr>
                <w:t>Item 1A. Risk Factors</w:t>
              </w:r>
            </w:hyperlink>
          </w:p>
        </w:tc>
        <w:tc>
          <w:tcPr>
            <w:tcW w:w="60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30"/>
        </w:trPr>
        <w:tc>
          <w:tcPr>
            <w:tcW w:w="10220" w:type="dxa"/>
            <w:vAlign w:val="bottom"/>
            <w:gridSpan w:val="2"/>
            <w:shd w:val="clear" w:color="auto" w:fill="CCEEFF"/>
          </w:tcPr>
          <w:p>
            <w:pPr>
              <w:ind w:left="340"/>
              <w:spacing w:after="0"/>
              <w:rPr>
                <w:rFonts w:ascii="Arial" w:cs="Arial" w:eastAsia="Arial" w:hAnsi="Arial"/>
                <w:sz w:val="18"/>
                <w:szCs w:val="18"/>
                <w:color w:val="0000FF"/>
              </w:rPr>
            </w:pPr>
            <w:hyperlink w:anchor="page37">
              <w:r>
                <w:rPr>
                  <w:rFonts w:ascii="Arial" w:cs="Arial" w:eastAsia="Arial" w:hAnsi="Arial"/>
                  <w:sz w:val="18"/>
                  <w:szCs w:val="18"/>
                  <w:color w:val="0000FF"/>
                </w:rPr>
                <w:t>Item 2. Unregistered Sales of Equity Securities and Use of Proceeds</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29"/>
        </w:trPr>
        <w:tc>
          <w:tcPr>
            <w:tcW w:w="10220" w:type="dxa"/>
            <w:vAlign w:val="bottom"/>
            <w:gridSpan w:val="2"/>
          </w:tcPr>
          <w:p>
            <w:pPr>
              <w:ind w:left="340"/>
              <w:spacing w:after="0"/>
              <w:rPr>
                <w:rFonts w:ascii="Arial" w:cs="Arial" w:eastAsia="Arial" w:hAnsi="Arial"/>
                <w:sz w:val="18"/>
                <w:szCs w:val="18"/>
                <w:color w:val="0000FF"/>
              </w:rPr>
            </w:pPr>
            <w:hyperlink w:anchor="page37">
              <w:r>
                <w:rPr>
                  <w:rFonts w:ascii="Arial" w:cs="Arial" w:eastAsia="Arial" w:hAnsi="Arial"/>
                  <w:sz w:val="18"/>
                  <w:szCs w:val="18"/>
                  <w:color w:val="0000FF"/>
                </w:rPr>
                <w:t>Item 3. Defaults upon Senior Securities</w:t>
              </w:r>
            </w:hyperlink>
          </w:p>
        </w:tc>
        <w:tc>
          <w:tcPr>
            <w:tcW w:w="60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30"/>
        </w:trPr>
        <w:tc>
          <w:tcPr>
            <w:tcW w:w="10220" w:type="dxa"/>
            <w:vAlign w:val="bottom"/>
            <w:gridSpan w:val="2"/>
            <w:shd w:val="clear" w:color="auto" w:fill="CCEEFF"/>
          </w:tcPr>
          <w:p>
            <w:pPr>
              <w:ind w:left="340"/>
              <w:spacing w:after="0"/>
              <w:rPr>
                <w:rFonts w:ascii="Arial" w:cs="Arial" w:eastAsia="Arial" w:hAnsi="Arial"/>
                <w:sz w:val="18"/>
                <w:szCs w:val="18"/>
                <w:color w:val="0000FF"/>
              </w:rPr>
            </w:pPr>
            <w:hyperlink w:anchor="page37">
              <w:r>
                <w:rPr>
                  <w:rFonts w:ascii="Arial" w:cs="Arial" w:eastAsia="Arial" w:hAnsi="Arial"/>
                  <w:sz w:val="18"/>
                  <w:szCs w:val="18"/>
                  <w:color w:val="0000FF"/>
                </w:rPr>
                <w:t>Item 4. Mine Safety Disclosures</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30"/>
        </w:trPr>
        <w:tc>
          <w:tcPr>
            <w:tcW w:w="10220" w:type="dxa"/>
            <w:vAlign w:val="bottom"/>
            <w:gridSpan w:val="2"/>
          </w:tcPr>
          <w:p>
            <w:pPr>
              <w:ind w:left="340"/>
              <w:spacing w:after="0"/>
              <w:rPr>
                <w:rFonts w:ascii="Arial" w:cs="Arial" w:eastAsia="Arial" w:hAnsi="Arial"/>
                <w:sz w:val="18"/>
                <w:szCs w:val="18"/>
                <w:color w:val="0000FF"/>
              </w:rPr>
            </w:pPr>
            <w:hyperlink w:anchor="page37">
              <w:r>
                <w:rPr>
                  <w:rFonts w:ascii="Arial" w:cs="Arial" w:eastAsia="Arial" w:hAnsi="Arial"/>
                  <w:sz w:val="18"/>
                  <w:szCs w:val="18"/>
                  <w:color w:val="0000FF"/>
                </w:rPr>
                <w:t>Item 5. Other Information</w:t>
              </w:r>
            </w:hyperlink>
          </w:p>
        </w:tc>
        <w:tc>
          <w:tcPr>
            <w:tcW w:w="60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29"/>
        </w:trPr>
        <w:tc>
          <w:tcPr>
            <w:tcW w:w="10220" w:type="dxa"/>
            <w:vAlign w:val="bottom"/>
            <w:gridSpan w:val="2"/>
            <w:shd w:val="clear" w:color="auto" w:fill="CCEEFF"/>
          </w:tcPr>
          <w:p>
            <w:pPr>
              <w:ind w:left="340"/>
              <w:spacing w:after="0"/>
              <w:rPr>
                <w:rFonts w:ascii="Arial" w:cs="Arial" w:eastAsia="Arial" w:hAnsi="Arial"/>
                <w:sz w:val="18"/>
                <w:szCs w:val="18"/>
                <w:color w:val="0000FF"/>
              </w:rPr>
            </w:pPr>
            <w:hyperlink w:anchor="page38">
              <w:r>
                <w:rPr>
                  <w:rFonts w:ascii="Arial" w:cs="Arial" w:eastAsia="Arial" w:hAnsi="Arial"/>
                  <w:sz w:val="18"/>
                  <w:szCs w:val="18"/>
                  <w:color w:val="0000FF"/>
                </w:rPr>
                <w:t>Item 6. Exhibits</w:t>
              </w:r>
            </w:hyperlink>
          </w:p>
        </w:tc>
        <w:tc>
          <w:tcPr>
            <w:tcW w:w="600" w:type="dxa"/>
            <w:vAlign w:val="bottom"/>
            <w:shd w:val="clear" w:color="auto" w:fill="CCEEFF"/>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30"/>
        </w:trPr>
        <w:tc>
          <w:tcPr>
            <w:tcW w:w="10220" w:type="dxa"/>
            <w:vAlign w:val="bottom"/>
            <w:gridSpan w:val="2"/>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Signatures</w:t>
              </w:r>
            </w:hyperlink>
          </w:p>
        </w:tc>
        <w:tc>
          <w:tcPr>
            <w:tcW w:w="60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189"/>
        </w:trPr>
        <w:tc>
          <w:tcPr>
            <w:tcW w:w="10220" w:type="dxa"/>
            <w:vAlign w:val="bottom"/>
            <w:gridSpan w:val="2"/>
            <w:shd w:val="clear" w:color="auto" w:fill="CCEEFF"/>
          </w:tcPr>
          <w:p>
            <w:pPr>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Exhibit Index</w:t>
              </w:r>
            </w:hyperlink>
          </w:p>
        </w:tc>
        <w:tc>
          <w:tcPr>
            <w:tcW w:w="600" w:type="dxa"/>
            <w:vAlign w:val="bottom"/>
            <w:shd w:val="clear" w:color="auto" w:fill="CCEEFF"/>
          </w:tcPr>
          <w:p>
            <w:pPr>
              <w:jc w:val="right"/>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1060" w:type="dxa"/>
            <w:vAlign w:val="bottom"/>
            <w:tcBorders>
              <w:top w:val="single" w:sz="8" w:color="0000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1093" w:right="539" w:bottom="1440" w:gutter="0" w:footer="0" w:header="0"/>
        </w:sectPr>
      </w:pPr>
    </w:p>
    <w:bookmarkStart w:id="3" w:name="page4"/>
    <w:bookmarkEnd w:id="3"/>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34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340" w:type="dxa"/>
            <w:vAlign w:val="bottom"/>
          </w:tcPr>
          <w:p>
            <w:pPr>
              <w:spacing w:after="0"/>
              <w:rPr>
                <w:sz w:val="14"/>
                <w:szCs w:val="14"/>
                <w:color w:val="auto"/>
              </w:rPr>
            </w:pPr>
          </w:p>
        </w:tc>
        <w:tc>
          <w:tcPr>
            <w:tcW w:w="1220" w:type="dxa"/>
            <w:vAlign w:val="bottom"/>
          </w:tcPr>
          <w:p>
            <w:pPr>
              <w:jc w:val="right"/>
              <w:ind w:right="491"/>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41,618</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44,661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receivables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28,085</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service inventories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Assets held for sale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139,950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37,247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31,995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Short-term lease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payments and unearned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Short-term debt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93,970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Reserve for uncertain tax positions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111,120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tcPr>
          <w:p>
            <w:pPr>
              <w:ind w:left="220"/>
              <w:spacing w:after="0" w:line="176" w:lineRule="exact"/>
              <w:rPr>
                <w:sz w:val="20"/>
                <w:szCs w:val="20"/>
                <w:color w:val="auto"/>
              </w:rPr>
            </w:pPr>
            <w:r>
              <w:rPr>
                <w:rFonts w:ascii="Arial" w:cs="Arial" w:eastAsia="Arial" w:hAnsi="Arial"/>
                <w:sz w:val="18"/>
                <w:szCs w:val="18"/>
                <w:color w:val="auto"/>
                <w:w w:val="90"/>
              </w:rPr>
              <w:t>Common stock, $0.01 par value, 300,000,000 shares authorized, 11,164,194 shares issued and outstanding</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w w:val="98"/>
              </w:rPr>
              <w:t>at April 2, 2021; 10,792,674 shares issued and outstanding at July 3, 2020 (see Note 1 Stock Split)</w:t>
            </w: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818,155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814,283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(730,741)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68,681</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179,801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72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2"/>
              <w:spacing w:after="0" w:line="135"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412"/>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Revenue from 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45,246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40,930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136,401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111,676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64,314</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175,990</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Cost of product sales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81,823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68,466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44,688</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113,154</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15,069</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44,334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61,578</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of common stock outstanding:</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Weighted-average shares outstanding (see Note 1 Stock Split):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720" w:type="dxa"/>
            <w:vAlign w:val="bottom"/>
            <w:gridSpan w:val="4"/>
          </w:tcPr>
          <w:p>
            <w:pPr>
              <w:jc w:val="right"/>
              <w:ind w:right="8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April 2,</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36"/>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416"/>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49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cumulative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8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118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2,</w:t>
            </w:r>
          </w:p>
        </w:tc>
        <w:tc>
          <w:tcPr>
            <w:tcW w:w="280" w:type="dxa"/>
            <w:vAlign w:val="bottom"/>
          </w:tcPr>
          <w:p>
            <w:pPr>
              <w:spacing w:after="0"/>
              <w:rPr>
                <w:sz w:val="11"/>
                <w:szCs w:val="11"/>
                <w:color w:val="auto"/>
              </w:rPr>
            </w:pPr>
          </w:p>
        </w:tc>
        <w:tc>
          <w:tcPr>
            <w:tcW w:w="1060" w:type="dxa"/>
            <w:vAlign w:val="bottom"/>
          </w:tcPr>
          <w:p>
            <w:pPr>
              <w:jc w:val="right"/>
              <w:ind w:right="351"/>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6"/>
        </w:trPr>
        <w:tc>
          <w:tcPr>
            <w:tcW w:w="846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107,308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Depreciation and amortization of property, plant and equipment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uncollectible receivables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Charges for inventory and customer service inventory write-downs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disposition of property, plant and equipment,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Noncash lease expense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service inventories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Advance payments and unearned revenue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 or receivable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Other assets and liabilities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23"/>
        </w:trPr>
        <w:tc>
          <w:tcPr>
            <w:tcW w:w="846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Payments for acquisition of property, plant and equipment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0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borrowings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Repayments of borrowings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repurchase of common stock</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Payments for repurchase of common stock - treasury shares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taxes related to net settlement of equity awards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32,201</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AVIAT NETWORKS, INC.</w:t>
      </w:r>
    </w:p>
    <w:p>
      <w:pPr>
        <w:jc w:val="center"/>
        <w:ind w:right="-19"/>
        <w:spacing w:after="0" w:line="222" w:lineRule="auto"/>
        <w:rPr>
          <w:sz w:val="20"/>
          <w:szCs w:val="20"/>
          <w:color w:val="auto"/>
        </w:rPr>
      </w:pPr>
      <w:r>
        <w:rPr>
          <w:rFonts w:ascii="Arial" w:cs="Arial" w:eastAsia="Arial" w:hAnsi="Arial"/>
          <w:sz w:val="18"/>
          <w:szCs w:val="18"/>
          <w:b w:val="1"/>
          <w:bCs w:val="1"/>
          <w:color w:val="auto"/>
        </w:rPr>
        <w:t xml:space="preserve">CONDENSED CONSOLIDATED STATEMENTS OF EQUITY </w:t>
      </w:r>
      <w:r>
        <w:rPr>
          <w:rFonts w:ascii="Arial" w:cs="Arial" w:eastAsia="Arial" w:hAnsi="Arial"/>
          <w:sz w:val="23"/>
          <w:szCs w:val="23"/>
          <w:b w:val="1"/>
          <w:bCs w:val="1"/>
          <w:color w:val="auto"/>
          <w:vertAlign w:val="superscript"/>
        </w:rPr>
        <w:t>(1)</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0"/>
          </w:tcPr>
          <w:p>
            <w:pPr>
              <w:ind w:left="580"/>
              <w:spacing w:after="0"/>
              <w:rPr>
                <w:sz w:val="20"/>
                <w:szCs w:val="20"/>
                <w:color w:val="auto"/>
              </w:rPr>
            </w:pPr>
            <w:r>
              <w:rPr>
                <w:rFonts w:ascii="Arial" w:cs="Arial" w:eastAsia="Arial" w:hAnsi="Arial"/>
                <w:sz w:val="14"/>
                <w:szCs w:val="14"/>
                <w:b w:val="1"/>
                <w:bCs w:val="1"/>
                <w:color w:val="auto"/>
              </w:rPr>
              <w:t>Three Months Ended April 2, 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gridSpan w:val="8"/>
          </w:tcPr>
          <w:p>
            <w:pPr>
              <w:ind w:left="38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share amounts)</w:t>
            </w:r>
          </w:p>
        </w:tc>
        <w:tc>
          <w:tcPr>
            <w:tcW w:w="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2021</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11,119,536</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816,988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(718,164)</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(14,371)</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84,564</w:t>
            </w:r>
          </w:p>
        </w:tc>
        <w:tc>
          <w:tcPr>
            <w:tcW w:w="0" w:type="dxa"/>
            <w:vAlign w:val="bottom"/>
          </w:tcPr>
          <w:p>
            <w:pPr>
              <w:spacing w:after="0"/>
              <w:rPr>
                <w:sz w:val="1"/>
                <w:szCs w:val="1"/>
                <w:color w:val="auto"/>
              </w:rPr>
            </w:pPr>
          </w:p>
        </w:tc>
      </w:tr>
      <w:tr>
        <w:trPr>
          <w:trHeight w:val="186"/>
        </w:trPr>
        <w:tc>
          <w:tcPr>
            <w:tcW w:w="37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94,731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94,731</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 net of tax</w:t>
            </w:r>
          </w:p>
        </w:tc>
        <w:tc>
          <w:tcPr>
            <w:tcW w:w="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6"/>
        </w:trPr>
        <w:tc>
          <w:tcPr>
            <w:tcW w:w="370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54,324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38"/>
        </w:trPr>
        <w:tc>
          <w:tcPr>
            <w:tcW w:w="370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rPr>
              <w:t>Shares withheld for taxes related to vesting of equity</w:t>
            </w:r>
          </w:p>
        </w:tc>
        <w:tc>
          <w:tcPr>
            <w:tcW w:w="9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w w:val="94"/>
              </w:rPr>
              <w:t>(1,366)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awards</w:t>
            </w: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w w:val="94"/>
              </w:rPr>
              <w:t>(8,300)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Balance as of April 2, 2021</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11,164,194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818,155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(623,433)</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(14,655)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179,721</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rPr>
              <w:t>Three Months Ended April 3, 2020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gridSpan w:val="8"/>
          </w:tcPr>
          <w:p>
            <w:pPr>
              <w:ind w:left="4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440" w:type="dxa"/>
            <w:vAlign w:val="bottom"/>
            <w:gridSpan w:val="5"/>
            <w:vMerge w:val="continue"/>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Equity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share amounts)</w:t>
            </w:r>
          </w:p>
        </w:tc>
        <w:tc>
          <w:tcPr>
            <w:tcW w:w="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9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27, 2019</w:t>
            </w: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10,820,660</w:t>
            </w: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813,813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(732,615)</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(12,839)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68,467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w w:val="85"/>
              </w:rPr>
              <w:t>731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net of tax</w:t>
            </w:r>
          </w:p>
        </w:tc>
        <w:tc>
          <w:tcPr>
            <w:tcW w:w="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(2,374)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13,430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(3,362)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(52,968)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Balance as of April 3, 2020</w:t>
            </w: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10,777,760</w:t>
            </w: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813,932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(731,884)</w:t>
            </w: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(15,213)</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66,943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12"/>
          </w:tcPr>
          <w:p>
            <w:pPr>
              <w:ind w:left="660"/>
              <w:spacing w:after="0"/>
              <w:rPr>
                <w:sz w:val="20"/>
                <w:szCs w:val="20"/>
                <w:color w:val="auto"/>
              </w:rPr>
            </w:pPr>
            <w:r>
              <w:rPr>
                <w:rFonts w:ascii="Arial" w:cs="Arial" w:eastAsia="Arial" w:hAnsi="Arial"/>
                <w:sz w:val="14"/>
                <w:szCs w:val="14"/>
                <w:b w:val="1"/>
                <w:bCs w:val="1"/>
                <w:color w:val="auto"/>
              </w:rPr>
              <w:t>Nine Months Ended April 2, 2021</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gridSpan w:val="7"/>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68"/>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share amounts)</w:t>
            </w:r>
          </w:p>
        </w:tc>
        <w:tc>
          <w:tcPr>
            <w:tcW w:w="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Deficit</w:t>
            </w: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 2020</w:t>
            </w:r>
          </w:p>
        </w:tc>
        <w:tc>
          <w:tcPr>
            <w:tcW w:w="9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10,792,674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814,283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(730,741)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(14,969)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68,681</w:t>
            </w:r>
          </w:p>
        </w:tc>
        <w:tc>
          <w:tcPr>
            <w:tcW w:w="0" w:type="dxa"/>
            <w:vAlign w:val="bottom"/>
          </w:tcPr>
          <w:p>
            <w:pPr>
              <w:spacing w:after="0"/>
              <w:rPr>
                <w:sz w:val="1"/>
                <w:szCs w:val="1"/>
                <w:color w:val="auto"/>
              </w:rPr>
            </w:pPr>
          </w:p>
        </w:tc>
      </w:tr>
      <w:tr>
        <w:trPr>
          <w:trHeight w:val="186"/>
        </w:trPr>
        <w:tc>
          <w:tcPr>
            <w:tcW w:w="37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107,308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107,308</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 net of tax</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6"/>
        </w:trPr>
        <w:tc>
          <w:tcPr>
            <w:tcW w:w="370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393,354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(13,534)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370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(8,300)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ind w:left="420"/>
              <w:spacing w:after="0"/>
              <w:rPr>
                <w:sz w:val="20"/>
                <w:szCs w:val="20"/>
                <w:color w:val="auto"/>
              </w:rPr>
            </w:pPr>
            <w:r>
              <w:rPr>
                <w:rFonts w:ascii="Arial" w:cs="Arial" w:eastAsia="Arial" w:hAnsi="Arial"/>
                <w:sz w:val="14"/>
                <w:szCs w:val="14"/>
                <w:color w:val="auto"/>
                <w:w w:val="97"/>
              </w:rPr>
              <w:t>(458)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Balance as of April 2, 2021</w:t>
            </w:r>
          </w:p>
        </w:tc>
        <w:tc>
          <w:tcPr>
            <w:tcW w:w="9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11,164,194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w w:val="97"/>
              </w:rPr>
              <w:t>(458)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818,155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(623,433)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(14,655)</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179,721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8"/>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5"/>
              </w:rPr>
              <w:t>Nine Months Ended April 3, 2020</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gridSpan w:val="7"/>
          </w:tcPr>
          <w:p>
            <w:pPr>
              <w:ind w:lef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8"/>
                <w:szCs w:val="8"/>
                <w:color w:val="auto"/>
              </w:rPr>
            </w:pPr>
          </w:p>
        </w:tc>
        <w:tc>
          <w:tcPr>
            <w:tcW w:w="14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5"/>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Total Equity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share amounts)</w:t>
            </w:r>
          </w:p>
        </w:tc>
        <w:tc>
          <w:tcPr>
            <w:tcW w:w="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104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28, 2019</w:t>
            </w: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10,711,090</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815,142</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(730,998)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(12,736)</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71,516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 net of tax</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430,846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(108,130)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(256,046)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(1,770)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1,315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Balance as of April 3, 2020</w:t>
            </w:r>
          </w:p>
        </w:tc>
        <w:tc>
          <w:tcPr>
            <w:tcW w:w="4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10,777,760</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813,932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(731,884)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(15,213)</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66,943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See Note 1 Stock Split.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10" w:name="page11"/>
    <w:bookmarkEnd w:id="10"/>
    <w:p>
      <w:pPr>
        <w:ind w:left="4560"/>
        <w:spacing w:after="0"/>
        <w:rPr>
          <w:sz w:val="20"/>
          <w:szCs w:val="20"/>
          <w:color w:val="auto"/>
        </w:rPr>
      </w:pPr>
      <w:r>
        <w:rPr>
          <w:rFonts w:ascii="Arial" w:cs="Arial" w:eastAsia="Arial" w:hAnsi="Arial"/>
          <w:sz w:val="18"/>
          <w:szCs w:val="18"/>
          <w:b w:val="1"/>
          <w:bCs w:val="1"/>
          <w:color w:val="auto"/>
        </w:rPr>
        <w:t>AVIAT NETWORKS,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nine months April 2, 2021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3, 2020.</w:t>
      </w:r>
    </w:p>
    <w:p>
      <w:pPr>
        <w:spacing w:after="0" w:line="11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 owned and majority-owned subsidiaries. All intercompany transactions and accounts have been eliminated.</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operate on a 52-week or 53-week year ending on the Friday closest to June 30. The three months ended April 2, 2021 consisted of 13 weeks while the three months ended April 3, 2020 consisted of 14 weeks. Fiscal year 2021 will be comprised of 52 weeks and will end on July 2, 2021. Fiscal year 2020 was comprised of 53 weeks and ended on July 3,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April 7, 2021 we effected a two-for-one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contingencies and recoverability of long-lived assets. The actual results that we experience may differ materially from our estimates.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April 2, 2021 and for the nine months ended April 2, 2021, as compared to the significant accounting policies described in our Annual Report on Form 10-K for the fiscal year ended July 3,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2018-15, </w:t>
      </w:r>
      <w:r>
        <w:rPr>
          <w:rFonts w:ascii="Arial" w:cs="Arial" w:eastAsia="Arial" w:hAnsi="Arial"/>
          <w:sz w:val="18"/>
          <w:szCs w:val="18"/>
          <w:i w:val="1"/>
          <w:iCs w:val="1"/>
          <w:color w:val="auto"/>
        </w:rPr>
        <w:t>Intangibles-Goodwill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8"/>
          <w:szCs w:val="18"/>
          <w:color w:val="auto"/>
        </w:rPr>
        <w:t>This guidance aligns the requirements for capitalizing implementation costs incurred in a hosting arrangement that is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with the requirements for capitalizing implementation costs incurred to develop or obtain internal-use software. ASU 2018-15 became effective for us in our first quarter of fiscal 2021. We adopted this guidance during the first quarter of fiscal 2021. The adoption had no material impact on our unaudited condensed consolidated financial statements.</w:t>
      </w:r>
    </w:p>
    <w:p>
      <w:pPr>
        <w:spacing w:after="0" w:line="1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update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We adopted this update during the first quarter of fiscal 2021. The adoption had no material impact on our unaudited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was effective March 12, 2020 through December 31, 2022. We are currently evaluating the potential impact ASU 2020-04 will have on our unaudited condensed consolidated financial statements.</w:t>
      </w:r>
    </w:p>
    <w:p>
      <w:pPr>
        <w:spacing w:after="0" w:line="13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This guidance simplifies the accounting for income taxes by removing certain exceptions to the general principles and also simplifies areas such as franchise taxes, step-up in tax basis goodwill, separate entity financial statements and interim recognition of enactment of tax laws and rate changes. ASU 2019-12 will be effective for us in our first quarter of fiscal 2022. We are currently evaluating the potential impact that adopting ASU 2019-12 will have on our unaudited condensed consolidated financial statements.</w:t>
      </w:r>
    </w:p>
    <w:p>
      <w:pPr>
        <w:spacing w:after="0" w:line="10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and also issued subsequent amendments to the initial guidance: ASU 2018-19, ASU 2019-04, and ASU 2019-05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Topic 326). Topic 326 requires measurement and recognition of expected credit losses for financial assets held. Topic 326 will be effective for us in our first quarter of fiscal 2024 and earlier adoption is permitted. We are evaluating the impact adopting Topic 326 will have on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2.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April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497"/>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41,618</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cash equivalents, and restricted cash in the Statement of Cash Flows</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500"/>
              <w:spacing w:after="0"/>
              <w:rPr>
                <w:sz w:val="20"/>
                <w:szCs w:val="20"/>
                <w:color w:val="auto"/>
              </w:rPr>
            </w:pPr>
            <w:r>
              <w:rPr>
                <w:rFonts w:ascii="Arial" w:cs="Arial" w:eastAsia="Arial" w:hAnsi="Arial"/>
                <w:sz w:val="18"/>
                <w:szCs w:val="18"/>
                <w:color w:val="auto"/>
              </w:rPr>
              <w:t>Our net accounts receivable are summarized below:</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April 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center"/>
              <w:ind w:right="437"/>
              <w:spacing w:after="0"/>
              <w:rPr>
                <w:sz w:val="20"/>
                <w:szCs w:val="20"/>
                <w:color w:val="auto"/>
              </w:rPr>
            </w:pPr>
            <w:r>
              <w:rPr>
                <w:rFonts w:ascii="Arial" w:cs="Arial" w:eastAsia="Arial" w:hAnsi="Arial"/>
                <w:sz w:val="14"/>
                <w:szCs w:val="14"/>
                <w:b w:val="1"/>
                <w:bCs w:val="1"/>
                <w:color w:val="auto"/>
                <w:w w:val="91"/>
              </w:rPr>
              <w:t>July 3,</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46,502</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Allowances for collection losses</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500"/>
              <w:spacing w:after="0"/>
              <w:rPr>
                <w:sz w:val="20"/>
                <w:szCs w:val="20"/>
                <w:color w:val="auto"/>
              </w:rPr>
            </w:pPr>
            <w:r>
              <w:rPr>
                <w:rFonts w:ascii="Arial" w:cs="Arial" w:eastAsia="Arial" w:hAnsi="Arial"/>
                <w:sz w:val="18"/>
                <w:szCs w:val="18"/>
                <w:color w:val="auto"/>
              </w:rPr>
              <w:t>Our inventories are summarized below:</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April 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center"/>
              <w:ind w:right="437"/>
              <w:spacing w:after="0"/>
              <w:rPr>
                <w:sz w:val="20"/>
                <w:szCs w:val="20"/>
                <w:color w:val="auto"/>
              </w:rPr>
            </w:pPr>
            <w:r>
              <w:rPr>
                <w:rFonts w:ascii="Arial" w:cs="Arial" w:eastAsia="Arial" w:hAnsi="Arial"/>
                <w:sz w:val="14"/>
                <w:szCs w:val="14"/>
                <w:b w:val="1"/>
                <w:bCs w:val="1"/>
                <w:color w:val="auto"/>
                <w:w w:val="91"/>
              </w:rPr>
              <w:t>July 3,</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13,997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Consigned inventories included within raw materials and supplies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vMerge w:val="continue"/>
          </w:tcPr>
          <w:p>
            <w:pPr>
              <w:spacing w:after="0"/>
              <w:rPr>
                <w:sz w:val="17"/>
                <w:szCs w:val="17"/>
                <w:color w:val="auto"/>
              </w:rPr>
            </w:pPr>
          </w:p>
        </w:tc>
        <w:tc>
          <w:tcPr>
            <w:tcW w:w="240" w:type="dxa"/>
            <w:vAlign w:val="bottom"/>
          </w:tcPr>
          <w:p>
            <w:pPr>
              <w:jc w:val="right"/>
              <w:ind w:right="50"/>
              <w:spacing w:after="0" w:line="204"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4,846</w:t>
            </w:r>
          </w:p>
        </w:tc>
        <w:tc>
          <w:tcPr>
            <w:tcW w:w="10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4" w:lineRule="exact"/>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increased certain levels of inventory during the three and nine months ended April 2, 2021 primarily to mitigate supply chain constraints.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currently rely on a few vendors for substantially all of our inventory purchases.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record charges to adjust our inventory and customer service inventory due to excess and obsolete inventory resulting from lower sales forecasts, product transitioning, or discontinuance. The charges during the three and nine months April 2, 2021 and April 3, 2020 were classified in cost of product sales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right"/>
              <w:ind w:right="19"/>
              <w:spacing w:after="0" w:line="135" w:lineRule="exact"/>
              <w:rPr>
                <w:sz w:val="20"/>
                <w:szCs w:val="20"/>
                <w:color w:val="auto"/>
              </w:rPr>
            </w:pPr>
            <w:r>
              <w:rPr>
                <w:rFonts w:ascii="Arial" w:cs="Arial" w:eastAsia="Arial" w:hAnsi="Arial"/>
                <w:sz w:val="14"/>
                <w:szCs w:val="14"/>
                <w:b w:val="1"/>
                <w:bCs w:val="1"/>
                <w:color w:val="auto"/>
              </w:rPr>
              <w:t>April 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1"/>
                <w:szCs w:val="11"/>
                <w:color w:val="auto"/>
              </w:rPr>
            </w:pPr>
          </w:p>
        </w:tc>
        <w:tc>
          <w:tcPr>
            <w:tcW w:w="1240" w:type="dxa"/>
            <w:vAlign w:val="bottom"/>
          </w:tcPr>
          <w:p>
            <w:pPr>
              <w:jc w:val="right"/>
              <w:ind w:right="457"/>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and obsolete inventory charges (recovery)</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Customer service inventory write-downs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inventory charges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472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consider properties to be Assets held for sale when management approves and commits to a plan to dispose of a property or group of properties.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property held for sale prior to the sale date is separately presented on the balance sheet as Assets held for sale.</w:t>
      </w:r>
    </w:p>
    <w:p>
      <w:pPr>
        <w:spacing w:after="0" w:line="15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During the second quarter of fiscal 2021 management initiated the sale of our facility located in the United Kingdom. We expect to complete the sale within twelve months. The carrying value of this asset held for sale as of April 2, 2021 of $2.2 million which represents the lower of 1) the carrying value or 2) fair value of the assets, less estimated costs to sell the assets. We performed an analysis and determined the estimated fair value of the assets, less estimated selling costs, is higher than the carrying value of the assets. As a result, no impairment charge was recorded in our statement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property, plant and equipment, net are summarized below: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614"/>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gross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(66,687)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(65,716)</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property, plant and equipment, net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Excluded in the total plant, property and equipment above were $0.5 million for land, $4.9 million for buildings and leasehold improvements and $3.2 million for accumulated depreciation in connection with Assets Held for Sale.</w:t>
      </w:r>
    </w:p>
    <w:p>
      <w:pPr>
        <w:spacing w:after="0" w:line="1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Included in the total plant, property and equipment above were $0.2 million and $3.5 million of assets in progress which have not been placed in service as of April 2, 2021 and July 3, 2020, respectively. Depreciation and amortization expense related to property, plant and equipment, including amortization of software developed for internal use, was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917"/>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April 2,</w:t>
            </w:r>
          </w:p>
        </w:tc>
        <w:tc>
          <w:tcPr>
            <w:tcW w:w="1040" w:type="dxa"/>
            <w:vAlign w:val="bottom"/>
          </w:tcPr>
          <w:p>
            <w:pPr>
              <w:jc w:val="center"/>
              <w:ind w:left="422"/>
              <w:spacing w:after="0" w:line="135" w:lineRule="exact"/>
              <w:rPr>
                <w:sz w:val="20"/>
                <w:szCs w:val="20"/>
                <w:color w:val="auto"/>
              </w:rPr>
            </w:pPr>
            <w:r>
              <w:rPr>
                <w:rFonts w:ascii="Arial" w:cs="Arial" w:eastAsia="Arial" w:hAnsi="Arial"/>
                <w:sz w:val="14"/>
                <w:szCs w:val="14"/>
                <w:b w:val="1"/>
                <w:bCs w:val="1"/>
                <w:color w:val="auto"/>
                <w:w w:val="96"/>
              </w:rPr>
              <w:t>April 3,</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380"/>
              <w:spacing w:after="0" w:line="135"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right"/>
              <w:ind w:right="457"/>
              <w:spacing w:after="0" w:line="135" w:lineRule="exact"/>
              <w:rPr>
                <w:sz w:val="20"/>
                <w:szCs w:val="20"/>
                <w:color w:val="auto"/>
              </w:rPr>
            </w:pPr>
            <w:r>
              <w:rPr>
                <w:rFonts w:ascii="Arial" w:cs="Arial" w:eastAsia="Arial" w:hAnsi="Arial"/>
                <w:sz w:val="14"/>
                <w:szCs w:val="14"/>
                <w:b w:val="1"/>
                <w:bCs w:val="1"/>
                <w:color w:val="auto"/>
              </w:rPr>
              <w:t>April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1,111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ind w:left="500"/>
              <w:spacing w:after="0"/>
              <w:rPr>
                <w:sz w:val="20"/>
                <w:szCs w:val="20"/>
                <w:color w:val="auto"/>
              </w:rPr>
            </w:pPr>
            <w:r>
              <w:rPr>
                <w:rFonts w:ascii="Arial" w:cs="Arial" w:eastAsia="Arial" w:hAnsi="Arial"/>
                <w:sz w:val="18"/>
                <w:szCs w:val="18"/>
                <w:color w:val="auto"/>
              </w:rPr>
              <w:t>Our accrued expenses are summarized below:</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577"/>
              <w:spacing w:after="0"/>
              <w:rPr>
                <w:sz w:val="20"/>
                <w:szCs w:val="20"/>
                <w:color w:val="auto"/>
              </w:rPr>
            </w:pPr>
            <w:r>
              <w:rPr>
                <w:rFonts w:ascii="Arial" w:cs="Arial" w:eastAsia="Arial" w:hAnsi="Arial"/>
                <w:sz w:val="14"/>
                <w:szCs w:val="14"/>
                <w:b w:val="1"/>
                <w:bCs w:val="1"/>
                <w:color w:val="auto"/>
              </w:rPr>
              <w:t>July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Accrued agent commissions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warranties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are included as a component of accrued expenses in our unaudited condensed consolidated balance sheets were as follows: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9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400"/>
              <w:spacing w:after="0" w:line="135" w:lineRule="exact"/>
              <w:rPr>
                <w:sz w:val="20"/>
                <w:szCs w:val="20"/>
                <w:color w:val="auto"/>
              </w:rPr>
            </w:pPr>
            <w:r>
              <w:rPr>
                <w:rFonts w:ascii="Arial" w:cs="Arial" w:eastAsia="Arial" w:hAnsi="Arial"/>
                <w:sz w:val="14"/>
                <w:szCs w:val="14"/>
                <w:b w:val="1"/>
                <w:bCs w:val="1"/>
                <w:color w:val="auto"/>
              </w:rPr>
              <w:t>April 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ind w:right="457"/>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the beginning of the period</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3,197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center"/>
              <w:ind w:left="778"/>
              <w:spacing w:after="0"/>
              <w:rPr>
                <w:sz w:val="20"/>
                <w:szCs w:val="20"/>
                <w:color w:val="auto"/>
              </w:rPr>
            </w:pPr>
            <w:r>
              <w:rPr>
                <w:rFonts w:ascii="Arial" w:cs="Arial" w:eastAsia="Arial" w:hAnsi="Arial"/>
                <w:sz w:val="18"/>
                <w:szCs w:val="18"/>
                <w:color w:val="auto"/>
                <w:w w:val="93"/>
              </w:rPr>
              <w:t>3,196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Warranty provision recorded during the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center"/>
              <w:ind w:left="778"/>
              <w:spacing w:after="0"/>
              <w:rPr>
                <w:sz w:val="20"/>
                <w:szCs w:val="20"/>
                <w:color w:val="auto"/>
              </w:rPr>
            </w:pPr>
            <w:r>
              <w:rPr>
                <w:rFonts w:ascii="Arial" w:cs="Arial" w:eastAsia="Arial" w:hAnsi="Arial"/>
                <w:sz w:val="18"/>
                <w:szCs w:val="18"/>
                <w:color w:val="auto"/>
                <w:w w:val="93"/>
              </w:rPr>
              <w:t>1,242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Consumption during the period</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center"/>
              <w:ind w:left="758"/>
              <w:spacing w:after="0"/>
              <w:rPr>
                <w:sz w:val="20"/>
                <w:szCs w:val="20"/>
                <w:color w:val="auto"/>
              </w:rPr>
            </w:pPr>
            <w:r>
              <w:rPr>
                <w:rFonts w:ascii="Arial" w:cs="Arial" w:eastAsia="Arial" w:hAnsi="Arial"/>
                <w:sz w:val="18"/>
                <w:szCs w:val="18"/>
                <w:color w:val="auto"/>
                <w:w w:val="91"/>
              </w:rPr>
              <w:t>(1,145)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the end of the period</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3,293</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3,250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8"/>
                <w:szCs w:val="18"/>
                <w:color w:val="auto"/>
                <w:w w:val="93"/>
              </w:rPr>
              <w:t>3,293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 Payments and Unearned Revenue</w:t>
            </w: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60" w:type="dxa"/>
            <w:vAlign w:val="bottom"/>
            <w:gridSpan w:val="2"/>
          </w:tcPr>
          <w:p>
            <w:pPr>
              <w:ind w:left="500"/>
              <w:spacing w:after="0"/>
              <w:rPr>
                <w:sz w:val="20"/>
                <w:szCs w:val="20"/>
                <w:color w:val="auto"/>
              </w:rPr>
            </w:pPr>
            <w:r>
              <w:rPr>
                <w:rFonts w:ascii="Arial" w:cs="Arial" w:eastAsia="Arial" w:hAnsi="Arial"/>
                <w:sz w:val="18"/>
                <w:szCs w:val="18"/>
                <w:color w:val="auto"/>
                <w:w w:val="93"/>
              </w:rPr>
              <w:t>Our advance payments and unearned revenue are summarized below:</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617"/>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payments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Unearned revenue</w:t>
            </w:r>
          </w:p>
        </w:tc>
        <w:tc>
          <w:tcPr>
            <w:tcW w:w="10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19,343</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advance payments and unearned revenue</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Excluded from the balances above are $9.0 million and $8.1 million in long-term unearned revenue as of April 2, 2021 and July 3, 2020, respectively.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 of Assets and Liabilities</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April 2, 2021 and July 3, 2020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July 3, 2020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58"/>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 Inputs</w:t>
            </w: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April 2, 2021 and July 3, 2020, these money market funds were valued at $1.00 net asset value per share.</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w:t>
      </w:r>
    </w:p>
    <w:p>
      <w:pPr>
        <w:sectPr>
          <w:pgSz w:w="11900" w:h="16838" w:orient="portrait"/>
          <w:cols w:equalWidth="0" w:num="1">
            <w:col w:w="11240"/>
          </w:cols>
          <w:pgMar w:left="320" w:top="12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type w:val="continuous"/>
        </w:sectPr>
      </w:pPr>
    </w:p>
    <w:bookmarkStart w:id="15" w:name="page16"/>
    <w:bookmarkEnd w:id="15"/>
    <w:p>
      <w:pPr>
        <w:ind w:left="500"/>
        <w:spacing w:after="0"/>
        <w:rPr>
          <w:sz w:val="20"/>
          <w:szCs w:val="20"/>
          <w:color w:val="auto"/>
        </w:rPr>
      </w:pPr>
      <w:r>
        <w:rPr>
          <w:rFonts w:ascii="Arial" w:cs="Arial" w:eastAsia="Arial" w:hAnsi="Arial"/>
          <w:sz w:val="17"/>
          <w:szCs w:val="17"/>
          <w:color w:val="auto"/>
        </w:rPr>
        <w:t>As of April 2, 2021 and July 3, 2020, we did not have any recurring assets or liabilities that were valued using significant unobservable inputs.</w:t>
      </w:r>
    </w:p>
    <w:p>
      <w:pPr>
        <w:spacing w:after="0" w:line="1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nine months of fiscal 2021 and 2020, we had no transfers between levels of the fair value hierarchy of our assets or liabilities measured at fair value.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has facilities under non-cancelable operating lease agreements. These leases have varying terms that range from one to 20 years and contain leasehold improvement incentives, rent holidays and escalation clauses.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determine if an arrangement contains a lease at inception. These operating leases are included in "Right of use assets"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nine months ended April 2, 2021.</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lease costs (in thousands):</w:t>
      </w:r>
    </w:p>
    <w:p>
      <w:pPr>
        <w:sectPr>
          <w:pgSz w:w="11900" w:h="16838" w:orient="portrait"/>
          <w:cols w:equalWidth="0" w:num="1">
            <w:col w:w="11240"/>
          </w:cols>
          <w:pgMar w:left="320" w:top="1259" w:right="339" w:bottom="1440" w:gutter="0" w:footer="0" w:header="0"/>
        </w:sectPr>
      </w:pPr>
    </w:p>
    <w:p>
      <w:pPr>
        <w:spacing w:after="0" w:line="203" w:lineRule="exact"/>
        <w:rPr>
          <w:sz w:val="20"/>
          <w:szCs w:val="20"/>
          <w:color w:val="auto"/>
        </w:rPr>
      </w:pPr>
    </w:p>
    <w:tbl>
      <w:tblPr>
        <w:tblLayout w:type="fixed"/>
        <w:tblInd w:w="5320" w:type="dxa"/>
        <w:tblCellMar>
          <w:top w:w="0" w:type="dxa"/>
          <w:left w:w="0" w:type="dxa"/>
          <w:bottom w:w="0" w:type="dxa"/>
          <w:right w:w="0" w:type="dxa"/>
        </w:tblCellMar>
      </w:tblPr>
      <w:tr>
        <w:trPr>
          <w:trHeight w:val="186"/>
        </w:trPr>
        <w:tc>
          <w:tcPr>
            <w:tcW w:w="2260" w:type="dxa"/>
            <w:vAlign w:val="bottom"/>
            <w:gridSpan w:val="2"/>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80" w:type="dxa"/>
            <w:vAlign w:val="bottom"/>
          </w:tcPr>
          <w:p>
            <w:pPr>
              <w:jc w:val="center"/>
              <w:ind w:right="428"/>
              <w:spacing w:after="0"/>
              <w:rPr>
                <w:sz w:val="20"/>
                <w:szCs w:val="20"/>
                <w:color w:val="auto"/>
              </w:rPr>
            </w:pPr>
            <w:r>
              <w:rPr>
                <w:rFonts w:ascii="Arial" w:cs="Arial" w:eastAsia="Arial" w:hAnsi="Arial"/>
                <w:sz w:val="14"/>
                <w:szCs w:val="14"/>
                <w:b w:val="1"/>
                <w:bCs w:val="1"/>
                <w:color w:val="auto"/>
              </w:rPr>
              <w:t>April 2,</w:t>
            </w:r>
          </w:p>
        </w:tc>
        <w:tc>
          <w:tcPr>
            <w:tcW w:w="1280" w:type="dxa"/>
            <w:vAlign w:val="bottom"/>
            <w:vMerge w:val="restart"/>
          </w:tcPr>
          <w:p>
            <w:pPr>
              <w:ind w:left="500"/>
              <w:spacing w:after="0"/>
              <w:rPr>
                <w:sz w:val="20"/>
                <w:szCs w:val="20"/>
                <w:color w:val="auto"/>
              </w:rPr>
            </w:pPr>
            <w:r>
              <w:rPr>
                <w:rFonts w:ascii="Arial" w:cs="Arial" w:eastAsia="Arial" w:hAnsi="Arial"/>
                <w:sz w:val="14"/>
                <w:szCs w:val="14"/>
                <w:b w:val="1"/>
                <w:bCs w:val="1"/>
                <w:color w:val="auto"/>
                <w:w w:val="92"/>
              </w:rPr>
              <w:t>April 3, 2020</w:t>
            </w:r>
          </w:p>
        </w:tc>
        <w:tc>
          <w:tcPr>
            <w:tcW w:w="0" w:type="dxa"/>
            <w:vAlign w:val="bottom"/>
          </w:tcPr>
          <w:p>
            <w:pPr>
              <w:spacing w:after="0"/>
              <w:rPr>
                <w:sz w:val="1"/>
                <w:szCs w:val="1"/>
                <w:color w:val="auto"/>
              </w:rPr>
            </w:pPr>
          </w:p>
        </w:tc>
      </w:tr>
      <w:tr>
        <w:trPr>
          <w:trHeight w:val="186"/>
        </w:trPr>
        <w:tc>
          <w:tcPr>
            <w:tcW w:w="9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-212090</wp:posOffset>
            </wp:positionV>
            <wp:extent cx="20142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80" w:type="dxa"/>
            <w:vAlign w:val="bottom"/>
            <w:gridSpan w:val="2"/>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80" w:type="dxa"/>
            <w:vAlign w:val="bottom"/>
          </w:tcPr>
          <w:p>
            <w:pPr>
              <w:jc w:val="center"/>
              <w:ind w:right="428"/>
              <w:spacing w:after="0"/>
              <w:rPr>
                <w:sz w:val="20"/>
                <w:szCs w:val="20"/>
                <w:color w:val="auto"/>
              </w:rPr>
            </w:pPr>
            <w:r>
              <w:rPr>
                <w:rFonts w:ascii="Arial" w:cs="Arial" w:eastAsia="Arial" w:hAnsi="Arial"/>
                <w:sz w:val="14"/>
                <w:szCs w:val="14"/>
                <w:b w:val="1"/>
                <w:bCs w:val="1"/>
                <w:color w:val="auto"/>
              </w:rPr>
              <w:t>April 2,</w:t>
            </w:r>
          </w:p>
        </w:tc>
        <w:tc>
          <w:tcPr>
            <w:tcW w:w="1300" w:type="dxa"/>
            <w:vAlign w:val="bottom"/>
            <w:vMerge w:val="restart"/>
          </w:tcPr>
          <w:p>
            <w:pPr>
              <w:ind w:left="500"/>
              <w:spacing w:after="0"/>
              <w:rPr>
                <w:sz w:val="20"/>
                <w:szCs w:val="20"/>
                <w:color w:val="auto"/>
              </w:rPr>
            </w:pPr>
            <w:r>
              <w:rPr>
                <w:rFonts w:ascii="Arial" w:cs="Arial" w:eastAsia="Arial" w:hAnsi="Arial"/>
                <w:sz w:val="14"/>
                <w:szCs w:val="14"/>
                <w:b w:val="1"/>
                <w:bCs w:val="1"/>
                <w:color w:val="auto"/>
                <w:w w:val="94"/>
              </w:rPr>
              <w:t>April 3, 2020</w:t>
            </w:r>
          </w:p>
        </w:tc>
        <w:tc>
          <w:tcPr>
            <w:tcW w:w="0" w:type="dxa"/>
            <w:vAlign w:val="bottom"/>
          </w:tcPr>
          <w:p>
            <w:pPr>
              <w:spacing w:after="0"/>
              <w:rPr>
                <w:sz w:val="1"/>
                <w:szCs w:val="1"/>
                <w:color w:val="auto"/>
              </w:rPr>
            </w:pPr>
          </w:p>
        </w:tc>
      </w:tr>
      <w:tr>
        <w:trPr>
          <w:trHeight w:val="186"/>
        </w:trPr>
        <w:tc>
          <w:tcPr>
            <w:tcW w:w="9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-212090</wp:posOffset>
            </wp:positionV>
            <wp:extent cx="20231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60" w:space="720"/>
            <w:col w:w="2660"/>
          </w:cols>
          <w:pgMar w:left="320" w:top="1259"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right"/>
              <w:ind w:right="33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4"/>
                <w:szCs w:val="14"/>
                <w:color w:val="auto"/>
              </w:rPr>
              <w:t>(In thousands)</w:t>
            </w:r>
          </w:p>
        </w:tc>
        <w:tc>
          <w:tcPr>
            <w:tcW w:w="820" w:type="dxa"/>
            <w:vAlign w:val="bottom"/>
            <w:tcBorders>
              <w:top w:val="single" w:sz="8" w:color="auto"/>
            </w:tcBorders>
          </w:tcPr>
          <w:p>
            <w:pPr>
              <w:spacing w:after="0"/>
              <w:rPr>
                <w:sz w:val="15"/>
                <w:szCs w:val="15"/>
                <w:color w:val="auto"/>
              </w:rPr>
            </w:pPr>
          </w:p>
        </w:tc>
      </w:tr>
      <w:tr>
        <w:trPr>
          <w:trHeight w:val="23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1,164</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4780" w:type="dxa"/>
            <w:vAlign w:val="bottom"/>
          </w:tcPr>
          <w:p>
            <w:pPr>
              <w:ind w:left="180"/>
              <w:spacing w:after="0"/>
              <w:rPr>
                <w:sz w:val="20"/>
                <w:szCs w:val="20"/>
                <w:color w:val="auto"/>
              </w:rPr>
            </w:pPr>
            <w:r>
              <w:rPr>
                <w:rFonts w:ascii="Arial" w:cs="Arial" w:eastAsia="Arial" w:hAnsi="Arial"/>
                <w:sz w:val="18"/>
                <w:szCs w:val="18"/>
                <w:color w:val="auto"/>
              </w:rPr>
              <w:t>Total lease costs</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r>
      <w:tr>
        <w:trPr>
          <w:trHeight w:val="20"/>
        </w:trPr>
        <w:tc>
          <w:tcPr>
            <w:tcW w:w="4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lease term and discount rate for the nine months ended April 2, 2021: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years</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520" w:type="dxa"/>
            <w:vAlign w:val="bottom"/>
          </w:tcPr>
          <w:p>
            <w:pPr>
              <w:jc w:val="right"/>
              <w:spacing w:after="0"/>
              <w:rPr>
                <w:sz w:val="20"/>
                <w:szCs w:val="20"/>
                <w:color w:val="auto"/>
              </w:rPr>
            </w:pPr>
            <w:r>
              <w:rPr>
                <w:rFonts w:ascii="Arial" w:cs="Arial" w:eastAsia="Arial" w:hAnsi="Arial"/>
                <w:sz w:val="18"/>
                <w:szCs w:val="18"/>
                <w:color w:val="auto"/>
              </w:rPr>
              <w:t>6.5 %</w:t>
            </w:r>
          </w:p>
        </w:tc>
      </w:tr>
    </w:tbl>
    <w:p>
      <w:pPr>
        <w:spacing w:after="0" w:line="39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April 2, 2021, our future minimum lease payments under all non-cancelable operating leases with an initial term in excess of one year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Amount</w:t>
            </w:r>
          </w:p>
        </w:tc>
      </w:tr>
      <w:tr>
        <w:trPr>
          <w:trHeight w:val="185"/>
        </w:trPr>
        <w:tc>
          <w:tcPr>
            <w:tcW w:w="9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jc w:val="right"/>
              <w:ind w:right="493"/>
              <w:spacing w:after="0"/>
              <w:rPr>
                <w:sz w:val="20"/>
                <w:szCs w:val="20"/>
                <w:color w:val="auto"/>
              </w:rPr>
            </w:pPr>
            <w:r>
              <w:rPr>
                <w:rFonts w:ascii="Arial" w:cs="Arial" w:eastAsia="Arial" w:hAnsi="Arial"/>
                <w:sz w:val="14"/>
                <w:szCs w:val="14"/>
                <w:color w:val="auto"/>
              </w:rPr>
              <w:t>(In thousands)</w:t>
            </w:r>
          </w:p>
        </w:tc>
      </w:tr>
      <w:tr>
        <w:trPr>
          <w:trHeight w:val="233"/>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23"/>
        </w:trPr>
        <w:tc>
          <w:tcPr>
            <w:tcW w:w="9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Credit Facility and Debt</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May 4, 2020, we entered into Amendment No. 3 to Third Amended and Restated Loan and Security Agreement with Silicon Valley Bank (the “SVB Credit Facility”) which extended the expiration date to June 28, 2021. The SVB Credit Facility provides for a $25.0 million accounts receivable formula-based revolving credit facility that can be borrowed by our U.S. company, with a $25.0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April 2, 2021, available credit under the SVB Credit Facility was $23.5 million, reflecting the lower available limit of $25.0 million less outstanding letters of credit of $1.5 million. As of July 3, 2020, our outstanding debt balance under the SVB Credit Facility, classified as a current liability, was $9.0 million, and the interest rate was 3.75%. We repaid the outstanding debt balance in July 2020.</w:t>
      </w:r>
    </w:p>
    <w:p>
      <w:pPr>
        <w:spacing w:after="0" w:line="14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the first nine months of fiscal 2021, the weighted-average interest rate on our outstanding loan was 3.75%.</w:t>
      </w:r>
    </w:p>
    <w:p>
      <w:pPr>
        <w:spacing w:after="0" w:line="13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April 2, 2021, we were in compliance with the quarterly financial covenants contained in the SVB Credit Facility, as amended.</w:t>
      </w:r>
    </w:p>
    <w:p>
      <w:pPr>
        <w:spacing w:after="0" w:line="14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obtained an uncommitted short-term line of credit of $0.4 million from a bank in New Zealand to support the operations of our New Zealand subsidiary. This line of credit provides for up to $0.3 million in short-term advances at various interest rates, all of which was available as of April 2, 2021 and July 3, 2020. The line of credit also provides for the issuance of standby letters of credit and company credit cards, of which $0.1 million was outstanding as of April 2, 2021 and July 3, 2020. This line of credit may be terminated upon notice, is reviewed annually for renewal or modification, and is supported by a corporate guarantee.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Performance Obligations, and Backlog</w:t>
      </w: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receivables and liabilities from contracts with customers (in thousands):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 2021</w:t>
            </w:r>
          </w:p>
        </w:tc>
        <w:tc>
          <w:tcPr>
            <w:tcW w:w="320" w:type="dxa"/>
            <w:vAlign w:val="bottom"/>
          </w:tcPr>
          <w:p>
            <w:pPr>
              <w:spacing w:after="0"/>
              <w:rPr>
                <w:sz w:val="16"/>
                <w:szCs w:val="16"/>
                <w:color w:val="auto"/>
              </w:rPr>
            </w:pPr>
          </w:p>
        </w:tc>
        <w:tc>
          <w:tcPr>
            <w:tcW w:w="1480" w:type="dxa"/>
            <w:vAlign w:val="bottom"/>
          </w:tcPr>
          <w:p>
            <w:pPr>
              <w:jc w:val="right"/>
              <w:ind w:right="453"/>
              <w:spacing w:after="0"/>
              <w:rPr>
                <w:sz w:val="20"/>
                <w:szCs w:val="20"/>
                <w:color w:val="auto"/>
              </w:rPr>
            </w:pPr>
            <w:r>
              <w:rPr>
                <w:rFonts w:ascii="Arial" w:cs="Arial" w:eastAsia="Arial" w:hAnsi="Arial"/>
                <w:sz w:val="14"/>
                <w:szCs w:val="14"/>
                <w:b w:val="1"/>
                <w:bCs w:val="1"/>
                <w:color w:val="auto"/>
              </w:rPr>
              <w:t>July 3, 2020</w:t>
            </w: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44,661</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37,862</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28,085</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commissions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payments and unearned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21,872</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Unearned revenue, long-term</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9,021</w:t>
            </w:r>
          </w:p>
        </w:tc>
        <w:tc>
          <w:tcPr>
            <w:tcW w:w="1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8,142</w:t>
            </w:r>
          </w:p>
        </w:tc>
      </w:tr>
    </w:tbl>
    <w:p>
      <w:pPr>
        <w:spacing w:after="0" w:line="14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Significant changes in contract balances may arise as a result of recognition over time for services, transfer of control for equipment, and periodic payments (both in arrears and in advance).</w:t>
      </w:r>
    </w:p>
    <w:p>
      <w:pPr>
        <w:spacing w:after="0" w:line="11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 of April 2, 2021, we had $36 million in advance payments and unearned revenue and long-term unearned revenue, of which approximately 27% is expected to be recognized as revenue in the remainder of fiscal 2021 and the balance thereafter. During the three and nine months ended April 2, 2021 we recognized $3.6 million and $19.4 million, respectively, of revenue which was included in advance payments and unearned revenue at July 3,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aggregate amount of transaction price allocated to our unsatisfied (or partially unsatisfied) performance obligations was approximately $73 million at April 2, 2021. Of this amount, we expect to recognize approximately 60% as revenue during the next 12 months, with the remaining amount to be recognized as revenue within two to five years.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and Geographic Information</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operate in one reportable business segment: the design, manufacturing, and sale of a range of wireless networking products, solutions, and services. Our financial performance is regularly reviewed by our chief operating decision maker who is our chief executive officer.</w:t>
      </w:r>
    </w:p>
    <w:p>
      <w:pPr>
        <w:spacing w:after="0" w:line="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and nine months April 2, 2021 and April 3, 2020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90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April 2,</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55"/>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April 2,</w:t>
            </w: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55"/>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4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113,489</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Africa and the Middle East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28,679</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and Russia</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 and Asia Pacific</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26,094</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loss of a significant portion of business from any significant customers could adversely affect our unaudited condensed consolidated financial statements.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Customers accounting for 10% or more of our total revenue was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760" w:type="dxa"/>
            <w:vAlign w:val="bottom"/>
            <w:gridSpan w:val="6"/>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5"/>
          </w:tcPr>
          <w:p>
            <w:pPr>
              <w:jc w:val="right"/>
              <w:ind w:right="839"/>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4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62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April 2,</w:t>
            </w:r>
          </w:p>
        </w:tc>
        <w:tc>
          <w:tcPr>
            <w:tcW w:w="152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spacing w:after="0" w:line="135" w:lineRule="exact"/>
              <w:rPr>
                <w:sz w:val="20"/>
                <w:szCs w:val="20"/>
                <w:color w:val="auto"/>
              </w:rPr>
            </w:pPr>
            <w:r>
              <w:rPr>
                <w:rFonts w:ascii="Arial" w:cs="Arial" w:eastAsia="Arial" w:hAnsi="Arial"/>
                <w:sz w:val="14"/>
                <w:szCs w:val="14"/>
                <w:b w:val="1"/>
                <w:bCs w:val="1"/>
                <w:color w:val="auto"/>
              </w:rPr>
              <w:t>April 2,</w:t>
            </w:r>
          </w:p>
        </w:tc>
        <w:tc>
          <w:tcPr>
            <w:tcW w:w="1440" w:type="dxa"/>
            <w:vAlign w:val="bottom"/>
            <w:tcBorders>
              <w:top w:val="single" w:sz="8" w:color="auto"/>
            </w:tcBorders>
          </w:tcPr>
          <w:p>
            <w:pPr>
              <w:jc w:val="right"/>
              <w:ind w:right="399"/>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42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24"/>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Motorola Solutions, Inc.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324"/>
        </w:trPr>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Less than 10.0%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420" w:type="dxa"/>
            <w:vAlign w:val="bottom"/>
          </w:tcPr>
          <w:p>
            <w:pPr>
              <w:spacing w:after="0"/>
              <w:rPr>
                <w:sz w:val="24"/>
                <w:szCs w:val="24"/>
                <w:color w:val="auto"/>
              </w:rPr>
            </w:pPr>
          </w:p>
        </w:tc>
        <w:tc>
          <w:tcPr>
            <w:tcW w:w="6140" w:type="dxa"/>
            <w:vAlign w:val="bottom"/>
            <w:gridSpan w:val="3"/>
          </w:tcPr>
          <w:p>
            <w:pPr>
              <w:ind w:left="80"/>
              <w:spacing w:after="0"/>
              <w:rPr>
                <w:sz w:val="20"/>
                <w:szCs w:val="20"/>
                <w:color w:val="auto"/>
              </w:rPr>
            </w:pPr>
            <w:r>
              <w:rPr>
                <w:rFonts w:ascii="Arial" w:cs="Arial" w:eastAsia="Arial" w:hAnsi="Arial"/>
                <w:sz w:val="18"/>
                <w:szCs w:val="18"/>
                <w:color w:val="auto"/>
                <w:w w:val="92"/>
              </w:rPr>
              <w:t>Customers accounting for 10% or more of our accounts receivable was as follows:</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0"/>
        </w:trPr>
        <w:tc>
          <w:tcPr>
            <w:tcW w:w="420" w:type="dxa"/>
            <w:vAlign w:val="bottom"/>
            <w:tcBorders>
              <w:bottom w:val="single" w:sz="8" w:color="CCEEFF"/>
            </w:tcBorders>
          </w:tcPr>
          <w:p>
            <w:pPr>
              <w:spacing w:after="0"/>
              <w:rPr>
                <w:sz w:val="18"/>
                <w:szCs w:val="18"/>
                <w:color w:val="auto"/>
              </w:rPr>
            </w:pPr>
          </w:p>
        </w:tc>
        <w:tc>
          <w:tcPr>
            <w:tcW w:w="45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4"/>
              </w:rPr>
              <w:t>April 2, 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July 3, 2020</w:t>
            </w:r>
          </w:p>
        </w:tc>
      </w:tr>
      <w:tr>
        <w:trPr>
          <w:trHeight w:val="229"/>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 U.S. State Government Customer</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Mobile Telephone Networks Group (MTN Group)</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323"/>
        </w:trPr>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520" w:type="dxa"/>
            <w:vAlign w:val="bottom"/>
          </w:tcPr>
          <w:p>
            <w:pPr>
              <w:ind w:left="60"/>
              <w:spacing w:after="0"/>
              <w:rPr>
                <w:sz w:val="20"/>
                <w:szCs w:val="20"/>
                <w:color w:val="auto"/>
              </w:rPr>
            </w:pPr>
            <w:r>
              <w:rPr>
                <w:rFonts w:ascii="Arial" w:cs="Arial" w:eastAsia="Arial" w:hAnsi="Arial"/>
                <w:sz w:val="18"/>
                <w:szCs w:val="18"/>
                <w:color w:val="auto"/>
              </w:rPr>
              <w:t>Less than 10.0%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May 2018, our board of directors approved a stock repurchase program, which does not have an expiration date, for the repurchase of up to $7.5 million of our common stock.</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April 2, 2021, $3.0 million remained available under our stock repurchase program. The repurchase program was suspended temporarily from February 2020 to February 2021. During the third quarter of fiscal 2021, our Board of Directors voted to re-instate our stock repurchase program and repurchased 8,300 shares of our common stock in the open market for an aggregate purchase price, including commissions, of $0.5 million. These shares were recorded as treasury stock and we do not anticipate retiring them. Treasury stock did not participate in the two-for-one stock split in the form of a stock dividend paid on April 7,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April 2, 2021, we had one stock incentive plan for our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1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nine months ended April 2, 2021, we granted 116,396 restricted stock units, 76,706 performance restricted stock units, 72,000 market-based stock units and 243,810 stock options to purchase shares of our common stock. These amounts reflect the two-for-one stock split in the form of a stock dividend paid on April 7, 2021.</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auto"/>
              </w:rPr>
              <w:t>April 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1"/>
                <w:szCs w:val="11"/>
                <w:color w:val="auto"/>
              </w:rPr>
            </w:pPr>
          </w:p>
        </w:tc>
        <w:tc>
          <w:tcPr>
            <w:tcW w:w="1240" w:type="dxa"/>
            <w:vAlign w:val="bottom"/>
          </w:tcPr>
          <w:p>
            <w:pPr>
              <w:jc w:val="right"/>
              <w:ind w:right="454"/>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gridSpan w:val="3"/>
            <w:vMerge w:val="continue"/>
          </w:tcPr>
          <w:p>
            <w:pPr>
              <w:spacing w:after="0"/>
              <w:rPr>
                <w:sz w:val="16"/>
                <w:szCs w:val="16"/>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By Expense Category:</w:t>
            </w:r>
          </w:p>
        </w:tc>
        <w:tc>
          <w:tcPr>
            <w:tcW w:w="29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Cost of revenues</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Selling and administrative</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0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By Types of Award: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70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Options</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Restricted and performance stock awards and units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 of April 2, 2021, there was approximately $1.2 million of total unrecognized compensation expense related to non-vested stock options granted which is expected to be recognized over a weighted-average period of 1.9 years. As of April 2, 2021, there was $3.9 million of total unrecognized compensation expense related to non-vested stock awards which is expected to be recognized over a weighted-average period of 1.7 years.</w:t>
      </w:r>
    </w:p>
    <w:p>
      <w:pPr>
        <w:spacing w:after="0" w:line="9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On September 6, 2016, our Board of Directors authorized and declared a dividend distribution of one right (a “Right”) for each outstanding share of our common stock, par value $0.01 per share, to our stockholders of record as of the close of business on September 16, 2016 (the “Record Date”). Each Right entitles the registered holder to purchase from the Company one one-thousandth of a share of Series A Participating Preferred Stock, par value $0.01 per share (the “Preferred Shares”), of the Company at an exercise price of $35.00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 The Plan expired on September 6, 2019. On March 3, 2020, our Board of Directors reauthorized the Plan at the same term with a Record Date of March 13, 2020. On August 27, 2020, we entered into the Amended and Restated Tax Benefit Preservation Plan (the “Amended and Restated Plan”) with Computershare Inc. as Rights Agent.</w:t>
      </w:r>
    </w:p>
    <w:p>
      <w:pPr>
        <w:spacing w:after="0" w:line="1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Amended and Restated Plan, reauthorized by our Board of Directors on March 3, 2020, was approved by our shareholders at our Annual Shareholders’ Meeting held on November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20" w:name="page21"/>
    <w:bookmarkEnd w:id="20"/>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restructuring-related activities: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Severance and Benefits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Facilities and</w:t>
            </w:r>
          </w:p>
        </w:tc>
        <w:tc>
          <w:tcPr>
            <w:tcW w:w="200" w:type="dxa"/>
            <w:vAlign w:val="bottom"/>
          </w:tcPr>
          <w:p>
            <w:pPr>
              <w:spacing w:after="0"/>
              <w:rPr>
                <w:sz w:val="14"/>
                <w:szCs w:val="14"/>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Fiscal 2021</w:t>
            </w:r>
          </w:p>
        </w:tc>
        <w:tc>
          <w:tcPr>
            <w:tcW w:w="10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Q4 2020 Plan</w:t>
            </w:r>
          </w:p>
        </w:tc>
        <w:tc>
          <w:tcPr>
            <w:tcW w:w="10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Q3 2020 Plan</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0"/>
              </w:rPr>
              <w:t>Fiscal 2020</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3"/>
              </w:rPr>
              <w:t>Fiscal 2018-</w:t>
            </w:r>
          </w:p>
        </w:tc>
        <w:tc>
          <w:tcPr>
            <w:tcW w:w="96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97"/>
              </w:rPr>
              <w:t>Prior Years'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4"/>
              <w:spacing w:after="0" w:line="130" w:lineRule="exact"/>
              <w:rPr>
                <w:sz w:val="20"/>
                <w:szCs w:val="20"/>
                <w:color w:val="auto"/>
              </w:rPr>
            </w:pPr>
            <w:r>
              <w:rPr>
                <w:rFonts w:ascii="Arial" w:cs="Arial" w:eastAsia="Arial" w:hAnsi="Arial"/>
                <w:sz w:val="14"/>
                <w:szCs w:val="14"/>
                <w:b w:val="1"/>
                <w:bCs w:val="1"/>
                <w:color w:val="auto"/>
                <w:w w:val="93"/>
              </w:rPr>
              <w:t>Fiscal 2015-</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0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2019 Plan</w:t>
            </w:r>
          </w:p>
        </w:tc>
        <w:tc>
          <w:tcPr>
            <w:tcW w:w="22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2016 Plan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 balance, July 3, 2020</w:t>
            </w: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89"/>
              </w:rPr>
              <w:t>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64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left="413"/>
              <w:spacing w:after="0"/>
              <w:rPr>
                <w:sz w:val="20"/>
                <w:szCs w:val="20"/>
                <w:color w:val="auto"/>
              </w:rPr>
            </w:pPr>
            <w:r>
              <w:rPr>
                <w:rFonts w:ascii="Arial" w:cs="Arial" w:eastAsia="Arial" w:hAnsi="Arial"/>
                <w:sz w:val="18"/>
                <w:szCs w:val="18"/>
                <w:color w:val="auto"/>
                <w:w w:val="93"/>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left="272"/>
              <w:spacing w:after="0"/>
              <w:rPr>
                <w:sz w:val="20"/>
                <w:szCs w:val="20"/>
                <w:color w:val="auto"/>
              </w:rPr>
            </w:pPr>
            <w:r>
              <w:rPr>
                <w:rFonts w:ascii="Arial" w:cs="Arial" w:eastAsia="Arial" w:hAnsi="Arial"/>
                <w:sz w:val="18"/>
                <w:szCs w:val="18"/>
                <w:color w:val="auto"/>
                <w:w w:val="93"/>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impact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Accrual balance, October 2, 2020</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center"/>
              <w:ind w:left="4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center"/>
              <w:ind w:left="312"/>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8"/>
                <w:szCs w:val="18"/>
                <w:color w:val="auto"/>
              </w:rPr>
              <w:t>Foreign exchange impact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left="313"/>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40" w:type="dxa"/>
            <w:vAlign w:val="bottom"/>
          </w:tcPr>
          <w:p>
            <w:pPr>
              <w:jc w:val="center"/>
              <w:ind w:left="312"/>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 balance,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38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8"/>
                <w:szCs w:val="18"/>
                <w:color w:val="auto"/>
              </w:rPr>
              <w:t>Charges, net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left="313"/>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Arial" w:cs="Arial" w:eastAsia="Arial" w:hAnsi="Arial"/>
                <w:sz w:val="18"/>
                <w:szCs w:val="18"/>
                <w:color w:val="auto"/>
              </w:rPr>
              <w:t>Foreign exchange impact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center"/>
              <w:ind w:left="313"/>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40" w:type="dxa"/>
            <w:vAlign w:val="bottom"/>
          </w:tcPr>
          <w:p>
            <w:pPr>
              <w:jc w:val="center"/>
              <w:ind w:left="312"/>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 balance, April 2,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April 2, 2021, the accrual balance of $2.0 million was in short-term restructuring liabilities on our unaudited condensed consolidated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Plan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third quarter of fiscal 2021, our Board of Directors approved a restructuring plan (the “Fiscal 2021 Plan”) in order to continue to reduce operating costs and improve profitability as part of our transformational initiative to optimize our business model and increase efficiencies. The Fiscal 2021 Plan is anticipated to entail a reduction in force of approximately 30 employees to be implemented through the second quarter of fiscal year 2022, with a certain number of positions being consolidated and/or relocated.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Q4 2020 Plan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fourth quarter of fiscal 2020, our Board of Directors approved a restructuring plan (the “Q4 2020 Plan”) in order to continue to reduce our operating costs and improve profitability to optimize our business model and increase efficiencies. The Q4 2020 Plan is being implemented starting with our fourth fiscal quarter of 2020 through the second fiscal quarter of 2021. Payments related to the accrued restructuring liability balance for this plan are expected to be fully paid in fiscal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Q3 2020 Plan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third quarter of fiscal 2020, our Board of Directors approved a restructuring plan (the “Q3 2020 Plan”) in order to reduce our operating costs and improve profitability to optimize our business model and increase efficiencies. Payments related to the accrued restructuring liability balance for this plan are expected to be fully paid in fiscal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Plan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Fiscal 2018-2019 Plan</w:t>
      </w:r>
    </w:p>
    <w:p>
      <w:pPr>
        <w:spacing w:after="0" w:line="17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During the fourth quarter of fiscal 2018, our Board of Directors approved a restructuring plan (the “Fiscal 2018-2019 Plan”) to consolidate back-office support functions and align resources by geography to lower our expense structure. We completed the restructuring activities under the Fiscal 2018-2019 Plan at the end of fiscal 2019. Payments related to the accrued restructuring liability balance for this plan are expected to be fully paid in fiscal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January 2018, we reached a settlement with a certain foreign government for grant liabilities which allowed us to reduce our estimated payments relating to prior years’ restructuring plan by $0.3 million. 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included reductions in workforce across the Company, but primarily in operations outside the United States. We completed the restructuring activities under the Fiscal 2015-2016 Plan as of July 1, 2016. Payments related to the accrued restructuring liability balance for this plan are expected to be paid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effective tax rate varies from the U.S. federal statutory rate of 21% primarily due to results of foreign operations that are subject to income taxes at different statutory rates, certain jurisdictions where we cannot recognize tax benefit on current losses, and tax benefit from the release of valuation allowance on our U.S. federal and state deferred tax assets. During interim periods, we accrue tax expenses for jurisdictions that are anticipated to be profitable for fiscal 2021.</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determination of our income taxes for the nine months ended April 2, 2021 and April 3, 2020 was based on our estimated annual effective tax rate adjusted for losses in certain jurisdictions for which no tax benefit can be recognized. Our tax benefit for the nine months ended April 2, 2021 was primarily due to the release of valuation allowance on our U.S. federal and state deferred tax assets. The tax expense for the nine months ended April 3, 2020 was primarily due to tax expense related to profitable subsidiaries and a $0.4 million increase in our reserves for uncertain tax positions.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At each reporting date, management considers new evidence, both positive and negative, that could affect its view of the future realization of deferred tax assets on a more likely than not basis. During the third quarter of fiscal 2021, we recorded a valuation allowance release of $92.2 million as a discrete item based on management’s reassessment of the amount of its U.S. federal and state deferred tax assets that are more likely than not to be realized, primarily as a result of increases in U.S. profitability in the current period and expectations of continued profitability in future periods. In performing our analysis, we used the most updated plans and estimates that we currently use to manage the underlying business and calculated the utilization of our deferred tax assets. We continue to maintain a valuation allowance of $1.4 million on certain U.S. federal and state deferred tax assets that we believe is not more likely than not to be realized in future periods.</w:t>
      </w:r>
    </w:p>
    <w:p>
      <w:pPr>
        <w:spacing w:after="0" w:line="14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entered into a tax sharing agreement with Harris Corporation (“Harris”) effective on January 26, 2007, the acquisition date of Stratex Networks, Inc. The tax sharing agreement addresses, among other things, the settlement process associated with pre-merger tax liabilities and tax attributes that were attributable to the Microwave Communication Division when it was a division of Harris. There have been no settlement payments recorded since the acquisition date. To the extent we become more profitable in the U.S. in the future and utilize these tax attributes, we may be required to make certain payments to Harris which is currently not estimable.</w:t>
      </w:r>
    </w:p>
    <w:p>
      <w:pPr>
        <w:spacing w:after="0" w:line="13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a number of open income tax audits covering various tax years, which vary from jurisdiction to jurisdiction. Our major tax jurisdictions that are open and subject to potential audits include the U.S., Singapore, Nigeria, Saudi Arabia and the Ivory Coast. The earliest years for these jurisdictions are as follows: U.S. - 2003; Singapore - 2015; Nigeria - 2006; Saudi Arabia - 2019, and Ivory Coast - 2017.</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nine months April 2, 2021 and April 3,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2" w:name="page23"/>
    <w:bookmarkEnd w:id="22"/>
    <w:p>
      <w:pPr>
        <w:jc w:val="both"/>
        <w:ind w:firstLine="486"/>
        <w:spacing w:after="0" w:line="272" w:lineRule="auto"/>
        <w:rPr>
          <w:sz w:val="20"/>
          <w:szCs w:val="20"/>
          <w:color w:val="auto"/>
        </w:rPr>
      </w:pPr>
      <w:r>
        <w:rPr>
          <w:rFonts w:ascii="Arial" w:cs="Arial" w:eastAsia="Arial" w:hAnsi="Arial"/>
          <w:sz w:val="17"/>
          <w:szCs w:val="17"/>
          <w:color w:val="auto"/>
        </w:rPr>
        <w:t>On March 27, 2020, the U.S. enacted the Coronavirus Aid, Relief, and Economic Security (“CARES”) Act which provided certain tax relief measures including, but not limited to, (1) a five-year net operating loss carryback, (2) changes in the deduction of interest, (3) acceleration of alternative minimum tax credit (“AMT”) refunds, and (4) a technical correction to allow accelerated deductions for qualified improvement property. The Tax Cuts and Jobs Act repealed the corporate AMT credit and allowed taxpayers to claim any unused AMT credit over four tax years beginning in tax year 2018. The CARES Act allows for acceleration of the refundable AMT credit up to 100% of the AMT credit to be refunded in tax year 2018. During the third quarter of 2021, we received a tax refund of $3.5 million from the U.S. Internal Revenue Service primarily related to our refundable alternative minimum tax credit claim under the CARES Act and recorded minimal tax benefit related to interest as a discrete item.</w:t>
      </w:r>
    </w:p>
    <w:p>
      <w:pPr>
        <w:spacing w:after="0" w:line="12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second quarter of 2021, we effectively settled a tax audit with the Financial Administration of the Republic of Slovenia for fiscal years 2016 to 2018 and recorded $0.4 million of tax expense related to the denial of research and development tax relief as a discrete item. During the second quarter of 2021, we effectively settled a tax audit with the General Authority of Zakat and Tax in Saudi Arabia for fiscal years 2016 to 2018 and recorded minimal tax benefit related to the release of previously recorded ASC 740-10 reserve as a discrete item.</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first quarter of 2021, we received a tax refund of $1.2 million from the Federal Revenue of Brazil related to our withholding tax refund claim and recorded minimal tax expense related to interest as a discrete item.</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nine months April 2, 2021 and April 3, 2020.</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December 27, 2020, the US enacted the Consolidated Appropriations Act of 2021 (CAA) which extended and expanded certain tax relief measures created by the CARES Act, including, but not limited to, (1) second round of Payroll Protection Program loans, and (2) the Employer Retention Credit for 2021.</w:t>
      </w:r>
    </w:p>
    <w:p>
      <w:pPr>
        <w:spacing w:after="0" w:line="13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the CARES Act, CAA, and ARPA and the impact they may have on our future business.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(Loss) Per Share of Common Stock</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Net income (loss)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2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 The following table presents the computation of basic and diluted net income (loss) per share: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90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April 2,</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35"/>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April 2,</w:t>
            </w: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55"/>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107,308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basic</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potentially dilutive equivalent shares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diluted</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89"/>
              </w:rPr>
              <w:t>Net income (loss) per share of common stock outstanding:</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(loss) per share calculations since they were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74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85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rPr>
              <w:t>April 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368"/>
              <w:spacing w:after="0" w:line="135" w:lineRule="exact"/>
              <w:rPr>
                <w:sz w:val="20"/>
                <w:szCs w:val="20"/>
                <w:color w:val="auto"/>
              </w:rPr>
            </w:pPr>
            <w:r>
              <w:rPr>
                <w:rFonts w:ascii="Arial" w:cs="Arial" w:eastAsia="Arial" w:hAnsi="Arial"/>
                <w:sz w:val="14"/>
                <w:szCs w:val="14"/>
                <w:b w:val="1"/>
                <w:bCs w:val="1"/>
                <w:color w:val="auto"/>
                <w:w w:val="96"/>
              </w:rPr>
              <w:t>April 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ind w:left="540"/>
              <w:spacing w:after="0" w:line="135" w:lineRule="exact"/>
              <w:rPr>
                <w:sz w:val="20"/>
                <w:szCs w:val="20"/>
                <w:color w:val="auto"/>
              </w:rPr>
            </w:pPr>
            <w:r>
              <w:rPr>
                <w:rFonts w:ascii="Arial" w:cs="Arial" w:eastAsia="Arial" w:hAnsi="Arial"/>
                <w:sz w:val="14"/>
                <w:szCs w:val="14"/>
                <w:b w:val="1"/>
                <w:bCs w:val="1"/>
                <w:color w:val="auto"/>
              </w:rPr>
              <w:t>April 2,</w:t>
            </w:r>
          </w:p>
        </w:tc>
        <w:tc>
          <w:tcPr>
            <w:tcW w:w="144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4860" w:type="dxa"/>
            <w:vAlign w:val="bottom"/>
            <w:vMerge w:val="continue"/>
          </w:tcPr>
          <w:p>
            <w:pPr>
              <w:spacing w:after="0"/>
              <w:rPr>
                <w:sz w:val="16"/>
                <w:szCs w:val="16"/>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Restricted stock units and performance stock units</w:t>
            </w:r>
          </w:p>
        </w:tc>
        <w:tc>
          <w:tcPr>
            <w:tcW w:w="1140" w:type="dxa"/>
            <w:vAlign w:val="bottom"/>
          </w:tcPr>
          <w:p>
            <w:pPr>
              <w:spacing w:after="0"/>
              <w:rPr>
                <w:sz w:val="19"/>
                <w:szCs w:val="19"/>
                <w:color w:val="auto"/>
              </w:rPr>
            </w:pPr>
          </w:p>
        </w:tc>
        <w:tc>
          <w:tcPr>
            <w:tcW w:w="1600" w:type="dxa"/>
            <w:vAlign w:val="bottom"/>
            <w:gridSpan w:val="3"/>
          </w:tcPr>
          <w:p>
            <w:pPr>
              <w:jc w:val="right"/>
              <w:ind w:right="120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shares of common stock excluded</w:t>
            </w: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April 2, 2021, we had outstanding purchase obligations with our suppliers or contract manufacturers of $31.4 million. In addition, we had contractual obligations of approximately $1.5 million associated with software licenses as of April 2,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April 2, 2021, we had no guarantees applicable to our debt arrangements.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April 2, 2021, we had commercial commitments of $57.8 million outstanding that were not recorded on our unaudited condensed consolidated balance sheets. We do not believe, based on historical experience and information currently available, that it is probable that any significant amounts will be required to be paid on these performance guarantees in the future.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April 2, 2021,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April 2, 2021, we had not recorded any liabilities related to these indemnifications.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damages from a customer alleging that certain of our products were defective which we settled with an immaterial amount during the third quarter of 2021.</w:t>
      </w:r>
    </w:p>
    <w:p>
      <w:pPr>
        <w:spacing w:after="0" w:line="13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significant.</w:t>
      </w:r>
    </w:p>
    <w:p>
      <w:pPr>
        <w:spacing w:after="0" w:line="1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3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impact to our supply chain lead times and ability to fulfill orders was minimal for the three and nine months ended April 2, 2021.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continue to monitor, assess and adapt to the situation and prepare for implications to our business, supply chain and customer demand. We expect these challenges to continue until business and economic activities return to more normal levels. The financial results for the three and nine months ended April 2, 2021 reflect some of the reduced activity experienced during the period in various locations around the world and are not necessarily indicative of the results for the full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13, 2021, we filed a registration statement on Form S-3 with the SEC using a “shelf” registration process. Once the shelf registration statement is declared effective by the SEC, we will be able to, from time to time, offer and sell, either individually or in combination, in one or more offerings, up to a total dollar amount of $200 million of any combination of the securities described in the shelf registration statement or a related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spacing w:after="0" w:line="269"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COVID-19 on our business, operations and cash flows;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103" w:lineRule="exact"/>
        <w:rPr>
          <w:rFonts w:ascii="Arial" w:cs="Arial" w:eastAsia="Arial" w:hAnsi="Arial"/>
          <w:sz w:val="18"/>
          <w:szCs w:val="18"/>
          <w:i w:val="1"/>
          <w:iCs w:val="1"/>
          <w:color w:val="auto"/>
        </w:rPr>
      </w:pPr>
    </w:p>
    <w:p>
      <w:pPr>
        <w:ind w:left="980" w:right="140" w:hanging="324"/>
        <w:spacing w:after="0" w:line="360" w:lineRule="auto"/>
        <w:tabs>
          <w:tab w:leader="none" w:pos="9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on time as a result of their financial condition, component shortages, the effects of COVID-19 or other supply chain constraints;</w:t>
      </w: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weakness in the global economy affecting customer spending;</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7" w:name="page28"/>
    <w:bookmarkEnd w:id="27"/>
    <w:p>
      <w:pPr>
        <w:ind w:left="980" w:right="360" w:hanging="324"/>
        <w:spacing w:after="0" w:line="360" w:lineRule="auto"/>
        <w:tabs>
          <w:tab w:leader="none" w:pos="97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current and future government regulations, including the effects of current restrictions on various commercial and economic activities in response to the COVID-19 pandemic;</w:t>
      </w:r>
    </w:p>
    <w:p>
      <w:pPr>
        <w:ind w:left="980" w:right="220" w:hanging="324"/>
        <w:spacing w:after="0" w:line="360" w:lineRule="auto"/>
        <w:tabs>
          <w:tab w:leader="none" w:pos="97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including uncertainty regarding the timing, pace and extent of an economic recovery in the United States and other countries where we conduct business;</w:t>
      </w: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03" w:lineRule="exact"/>
        <w:rPr>
          <w:rFonts w:ascii="Arial" w:cs="Arial" w:eastAsia="Arial" w:hAnsi="Arial"/>
          <w:sz w:val="18"/>
          <w:szCs w:val="18"/>
          <w:i w:val="1"/>
          <w:iCs w:val="1"/>
          <w:color w:val="auto"/>
        </w:rPr>
      </w:pPr>
    </w:p>
    <w:p>
      <w:pPr>
        <w:ind w:left="980" w:right="260" w:hanging="324"/>
        <w:spacing w:after="0" w:line="360" w:lineRule="auto"/>
        <w:tabs>
          <w:tab w:leader="none" w:pos="97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implement our stock repurchase program or that it will enhance long-term stockholder value.</w:t>
      </w:r>
    </w:p>
    <w:p>
      <w:pPr>
        <w:spacing w:after="0" w:line="21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2020 Annual Report on Form 10-K filed with the SEC on August 27, 2020 for more information regarding factors that may cause our results to differ materially from those expressed or implied by the forward-looking statements contained in this Quarterly Report on Form 10-Q.</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2021 and 2020 Results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2, 2021 is referred to as “fiscal 2021” or “2021” and our fiscal year ended July 3, 2020 is referred to as “fiscal 2020” or “2020.”</w:t>
      </w:r>
    </w:p>
    <w:p>
      <w:pPr>
        <w:spacing w:after="0" w:line="3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April 7, 2021, we effected a two-for-one split in the form of a stock dividend to shareholders of record as of April 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anticipate growth in revenue in fiscal 2021. We continue to have a backlog entering the final quarter of fiscal 2021 and we anticipate continuing our strong momentum across all verticals. We have made inroads into the U.S. rural broadband and wireless internet service provider areas and there is now further evidence of investment to support 5G deployments with our U.S. service provider customers and we have returned to growth for international.</w:t>
      </w:r>
    </w:p>
    <w:p>
      <w:pPr>
        <w:spacing w:after="0" w:line="9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had and is likely to continue to have an impact on our operations, supply chains and distribution systems. The COVID-19 pandemic has led to an increase in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including the ongoing vaccination efforts and how quickly and to what extent normal economic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operating activities can resume. Management is actively monitoring the impact of the COVID-19 pandemic on our financial condition, liquidity, operations, suppliers, industry, and workforce.</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13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impact to our supply chain lead times and ability to fulfill orders was minimal for the three and nine months ended April 2, 2021.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are monitoring, assessing and adapting to the situation and preparing for possible implications to our business, supply chain and customer demand. We expect the potential for these challenges to continue until business and economic activities return to more normal levels. The financial results for the three and nine months ended April 2, 2021 reflect some of the reduced activity experienced during the period in various locations around the world and are not necessarily indicative of the results for the full year.</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market for mobile backhaul continued to be our primary addressable market segment globally in the first nine months of fiscal 2021.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Annual Report on Form 10-K filed with the SEC on August 27, 2020, a number of factors could prevent us from achieving our objectives, including ongoing pricing pressures attributable to competition and macroeconomic conditions in the geographic markets that we service.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nine months April 2, 2021 and April 3, 2020 and the related changes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0"/>
                <w:szCs w:val="10"/>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April 2, 2021</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9"/>
              </w:rPr>
              <w:t>April 3, 2020</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0"/>
                <w:szCs w:val="10"/>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4"/>
              </w:rPr>
              <w:t>April 2, 2021</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9"/>
              </w:rPr>
              <w:t>April 3, 2020</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0"/>
                <w:szCs w:val="10"/>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Arial" w:cs="Arial" w:eastAsia="Arial" w:hAnsi="Arial"/>
                <w:sz w:val="16"/>
                <w:szCs w:val="16"/>
                <w:color w:val="auto"/>
                <w:w w:val="96"/>
              </w:rPr>
              <w:t>Africa and the Middle East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 and Russia</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6"/>
        </w:trPr>
        <w:tc>
          <w:tcPr>
            <w:tcW w:w="1840" w:type="dxa"/>
            <w:vAlign w:val="bottom"/>
          </w:tcPr>
          <w:p>
            <w:pPr>
              <w:ind w:left="20"/>
              <w:spacing w:after="0" w:line="166" w:lineRule="exact"/>
              <w:rPr>
                <w:sz w:val="20"/>
                <w:szCs w:val="20"/>
                <w:color w:val="auto"/>
              </w:rPr>
            </w:pPr>
            <w:r>
              <w:rPr>
                <w:rFonts w:ascii="Arial" w:cs="Arial" w:eastAsia="Arial" w:hAnsi="Arial"/>
                <w:sz w:val="16"/>
                <w:szCs w:val="16"/>
                <w:color w:val="auto"/>
              </w:rPr>
              <w:t>Latin America and Asia</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11,199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12,996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(1,797)</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28,356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26,094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2,262</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09"/>
        </w:trPr>
        <w:tc>
          <w:tcPr>
            <w:tcW w:w="1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Pacific</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revenue in North America increased by $4.8 million, or 12.8%, during the third quarter of fiscal 2021 compared with the same period of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Revenue in North America increased by $23.2 million, or 20.4%, during the first nine months of fiscal 2021 compared with the same period of fiscal</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2020. The increase in North America revenue during the three and nine months of fiscal 2021 was primarily due to an increase in the number of private network projects.</w:t>
      </w:r>
    </w:p>
    <w:p>
      <w:pPr>
        <w:spacing w:after="0" w:line="1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in Africa and the Middle East increased by $0.7 million or 7.3% during the third quarter of fiscal 2021 compared with the same period of fiscal 2020. Revenue in Africa and the Middle East increased by $2.5 million, or 8.6%, during the first nine months of fiscal 2021 compared with the same period of fiscal 2020. This increase in revenue during the three and nine months of fiscal 2021 was primarily due to increased sales to mobile operators in the region.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9" w:name="page30"/>
    <w:bookmarkEnd w:id="29"/>
    <w:p>
      <w:pPr>
        <w:jc w:val="both"/>
        <w:ind w:right="20" w:firstLine="486"/>
        <w:spacing w:after="0" w:line="311" w:lineRule="auto"/>
        <w:rPr>
          <w:sz w:val="20"/>
          <w:szCs w:val="20"/>
          <w:color w:val="auto"/>
        </w:rPr>
      </w:pPr>
      <w:r>
        <w:rPr>
          <w:rFonts w:ascii="Arial" w:cs="Arial" w:eastAsia="Arial" w:hAnsi="Arial"/>
          <w:sz w:val="16"/>
          <w:szCs w:val="16"/>
          <w:color w:val="auto"/>
        </w:rPr>
        <w:t>Revenue in Europe and Russia increased by $1.4 million, or 72.4%, for the third quarter of fiscal 2021 compared with the same period of fiscal 2020. Revenue in Europe and Russia decreased by $0.7 million, or 8.7%, during the first nine months of fiscal 2021 compared with the same period of fiscal 2020. This increase and decrease during the three and nine months of fiscal 2021 was primarily due to level of sales to mobile operators in the region.</w:t>
      </w:r>
    </w:p>
    <w:p>
      <w:pPr>
        <w:spacing w:after="0" w:line="9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in Latin America and Asia Pacific decreased by $1.8 million, or 13.8%, during the third quarter of fiscal 2021 compared with the same period of fiscal 2020. Revenue in Latin America and Asia Pacific increased by $2.3 million, or 8.7%, during the first nine months of fiscal 2021 compared with the same period of fiscal 2020. The decrease in the third quarter was from lower sales to mobile operator customers. The increase during the nine months of fiscal 2021 was primarily due to increased sales to mobile operators in the region during the first half of fiscal 2021.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0"/>
                <w:szCs w:val="10"/>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April 2, 2021</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6"/>
              </w:rPr>
              <w:t>April 3, 2020</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0"/>
                <w:szCs w:val="10"/>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April 2, 2021</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9"/>
              </w:rPr>
              <w:t>April 3, 2020</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0"/>
                <w:szCs w:val="10"/>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40,930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111,676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0" w:type="dxa"/>
            <w:vAlign w:val="bottom"/>
          </w:tcPr>
          <w:p>
            <w:pPr>
              <w:spacing w:after="0"/>
              <w:rPr>
                <w:sz w:val="1"/>
                <w:szCs w:val="1"/>
                <w:color w:val="auto"/>
              </w:rPr>
            </w:pPr>
          </w:p>
        </w:tc>
      </w:tr>
      <w:tr>
        <w:trPr>
          <w:trHeight w:val="213"/>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Services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21,158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20,449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3.5 %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64,314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38"/>
        </w:trPr>
        <w:tc>
          <w:tcPr>
            <w:tcW w:w="1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66,404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61,379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175,990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Our revenue from product sales increased by $4.3 million, or 10.5%, for the third quarter of fiscal 2021 compared with the same quarter of fiscal 2020. Our services revenue increased by $0.7 million, or 3.5%, during the third quarter of fiscal 2021 compared with the same quarter of fiscal 2020.</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revenue from product sales increased by $24.7 million, or 22.1%, for the first nine months of fiscal 2021 compared with the same period of fiscal 2020. Our services revenue increased by $2.5 million, or 3.9%, during the first nine months of fiscal 2021 compared with the same period of fiscal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78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(In thousands, except</w:t>
            </w:r>
          </w:p>
        </w:tc>
        <w:tc>
          <w:tcPr>
            <w:tcW w:w="160" w:type="dxa"/>
            <w:vAlign w:val="bottom"/>
          </w:tcPr>
          <w:p>
            <w:pPr>
              <w:spacing w:after="0"/>
              <w:rPr>
                <w:sz w:val="9"/>
                <w:szCs w:val="9"/>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April 2, 2021</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96"/>
              </w:rPr>
              <w:t>April 3, 2020</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9"/>
                <w:szCs w:val="9"/>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April 2, 2021</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April 3, 2020</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9"/>
                <w:szCs w:val="9"/>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percentages)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66,404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61,379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203,225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175,990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13"/>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40,826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39,418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126,489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113,154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38"/>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25,578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21,961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76,736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62,836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4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38.5 %</w:t>
            </w:r>
          </w:p>
        </w:tc>
        <w:tc>
          <w:tcPr>
            <w:tcW w:w="2340" w:type="dxa"/>
            <w:vAlign w:val="bottom"/>
          </w:tcPr>
          <w:p>
            <w:pPr>
              <w:jc w:val="right"/>
              <w:ind w:right="1459"/>
              <w:spacing w:after="0"/>
              <w:rPr>
                <w:sz w:val="20"/>
                <w:szCs w:val="20"/>
                <w:color w:val="auto"/>
              </w:rPr>
            </w:pPr>
            <w:r>
              <w:rPr>
                <w:rFonts w:ascii="Arial" w:cs="Arial" w:eastAsia="Arial" w:hAnsi="Arial"/>
                <w:sz w:val="16"/>
                <w:szCs w:val="16"/>
                <w:color w:val="auto"/>
              </w:rPr>
              <w:t>35.8 %</w:t>
            </w:r>
          </w:p>
        </w:tc>
        <w:tc>
          <w:tcPr>
            <w:tcW w:w="2440" w:type="dxa"/>
            <w:vAlign w:val="bottom"/>
          </w:tcPr>
          <w:p>
            <w:pPr>
              <w:jc w:val="right"/>
              <w:ind w:right="359"/>
              <w:spacing w:after="0"/>
              <w:rPr>
                <w:sz w:val="20"/>
                <w:szCs w:val="20"/>
                <w:color w:val="auto"/>
              </w:rPr>
            </w:pPr>
            <w:r>
              <w:rPr>
                <w:rFonts w:ascii="Arial" w:cs="Arial" w:eastAsia="Arial" w:hAnsi="Arial"/>
                <w:sz w:val="16"/>
                <w:szCs w:val="16"/>
                <w:color w:val="auto"/>
              </w:rPr>
              <w:t>37.8 %</w:t>
            </w:r>
          </w:p>
        </w:tc>
        <w:tc>
          <w:tcPr>
            <w:tcW w:w="3120" w:type="dxa"/>
            <w:vAlign w:val="bottom"/>
          </w:tcPr>
          <w:p>
            <w:pPr>
              <w:jc w:val="right"/>
              <w:ind w:right="2139"/>
              <w:spacing w:after="0"/>
              <w:rPr>
                <w:sz w:val="20"/>
                <w:szCs w:val="20"/>
                <w:color w:val="auto"/>
              </w:rPr>
            </w:pPr>
            <w:r>
              <w:rPr>
                <w:rFonts w:ascii="Arial" w:cs="Arial" w:eastAsia="Arial" w:hAnsi="Arial"/>
                <w:sz w:val="16"/>
                <w:szCs w:val="16"/>
                <w:color w:val="auto"/>
              </w:rPr>
              <w:t>35.7 %</w:t>
            </w:r>
          </w:p>
        </w:tc>
      </w:tr>
      <w:tr>
        <w:trPr>
          <w:trHeight w:val="219"/>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 margin %</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41.5 %</w:t>
            </w:r>
          </w:p>
        </w:tc>
        <w:tc>
          <w:tcPr>
            <w:tcW w:w="23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rPr>
              <w:t>39.7 %</w:t>
            </w:r>
          </w:p>
        </w:tc>
        <w:tc>
          <w:tcPr>
            <w:tcW w:w="2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40.0 %</w:t>
            </w:r>
          </w:p>
        </w:tc>
        <w:tc>
          <w:tcPr>
            <w:tcW w:w="3120" w:type="dxa"/>
            <w:vAlign w:val="bottom"/>
            <w:shd w:val="clear" w:color="auto" w:fill="CCEEFF"/>
          </w:tcPr>
          <w:p>
            <w:pPr>
              <w:jc w:val="right"/>
              <w:ind w:right="2139"/>
              <w:spacing w:after="0"/>
              <w:rPr>
                <w:sz w:val="20"/>
                <w:szCs w:val="20"/>
                <w:color w:val="auto"/>
              </w:rPr>
            </w:pPr>
            <w:r>
              <w:rPr>
                <w:rFonts w:ascii="Arial" w:cs="Arial" w:eastAsia="Arial" w:hAnsi="Arial"/>
                <w:sz w:val="16"/>
                <w:szCs w:val="16"/>
                <w:color w:val="auto"/>
              </w:rPr>
              <w:t>38.7 %</w:t>
            </w:r>
          </w:p>
        </w:tc>
      </w:tr>
      <w:tr>
        <w:trPr>
          <w:trHeight w:val="210"/>
        </w:trPr>
        <w:tc>
          <w:tcPr>
            <w:tcW w:w="1940" w:type="dxa"/>
            <w:vAlign w:val="bottom"/>
          </w:tcPr>
          <w:p>
            <w:pPr>
              <w:ind w:left="180"/>
              <w:spacing w:after="0"/>
              <w:rPr>
                <w:sz w:val="20"/>
                <w:szCs w:val="20"/>
                <w:color w:val="auto"/>
              </w:rPr>
            </w:pPr>
            <w:r>
              <w:rPr>
                <w:rFonts w:ascii="Arial" w:cs="Arial" w:eastAsia="Arial" w:hAnsi="Arial"/>
                <w:sz w:val="16"/>
                <w:szCs w:val="16"/>
                <w:color w:val="auto"/>
              </w:rPr>
              <w:t>Service margin %</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32.1 %</w:t>
            </w:r>
          </w:p>
        </w:tc>
        <w:tc>
          <w:tcPr>
            <w:tcW w:w="2340" w:type="dxa"/>
            <w:vAlign w:val="bottom"/>
          </w:tcPr>
          <w:p>
            <w:pPr>
              <w:jc w:val="right"/>
              <w:ind w:right="1459"/>
              <w:spacing w:after="0"/>
              <w:rPr>
                <w:sz w:val="20"/>
                <w:szCs w:val="20"/>
                <w:color w:val="auto"/>
              </w:rPr>
            </w:pPr>
            <w:r>
              <w:rPr>
                <w:rFonts w:ascii="Arial" w:cs="Arial" w:eastAsia="Arial" w:hAnsi="Arial"/>
                <w:sz w:val="16"/>
                <w:szCs w:val="16"/>
                <w:color w:val="auto"/>
              </w:rPr>
              <w:t>27.9 %</w:t>
            </w:r>
          </w:p>
        </w:tc>
        <w:tc>
          <w:tcPr>
            <w:tcW w:w="2440" w:type="dxa"/>
            <w:vAlign w:val="bottom"/>
          </w:tcPr>
          <w:p>
            <w:pPr>
              <w:jc w:val="right"/>
              <w:ind w:right="359"/>
              <w:spacing w:after="0"/>
              <w:rPr>
                <w:sz w:val="20"/>
                <w:szCs w:val="20"/>
                <w:color w:val="auto"/>
              </w:rPr>
            </w:pPr>
            <w:r>
              <w:rPr>
                <w:rFonts w:ascii="Arial" w:cs="Arial" w:eastAsia="Arial" w:hAnsi="Arial"/>
                <w:sz w:val="16"/>
                <w:szCs w:val="16"/>
                <w:color w:val="auto"/>
              </w:rPr>
              <w:t>33.2 %</w:t>
            </w:r>
          </w:p>
        </w:tc>
        <w:tc>
          <w:tcPr>
            <w:tcW w:w="3120" w:type="dxa"/>
            <w:vAlign w:val="bottom"/>
          </w:tcPr>
          <w:p>
            <w:pPr>
              <w:jc w:val="right"/>
              <w:ind w:right="2139"/>
              <w:spacing w:after="0"/>
              <w:rPr>
                <w:sz w:val="20"/>
                <w:szCs w:val="20"/>
                <w:color w:val="auto"/>
              </w:rPr>
            </w:pPr>
            <w:r>
              <w:rPr>
                <w:rFonts w:ascii="Arial" w:cs="Arial" w:eastAsia="Arial" w:hAnsi="Arial"/>
                <w:sz w:val="16"/>
                <w:szCs w:val="16"/>
                <w:color w:val="auto"/>
              </w:rPr>
              <w:t>30.5 %</w:t>
            </w:r>
          </w:p>
        </w:tc>
      </w:tr>
    </w:tbl>
    <w:p>
      <w:pPr>
        <w:spacing w:after="0" w:line="15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Gross margin for the third quarter of fiscal 2021 increased by $3.6 million, or 16.5% compared with the same quarter of fiscal 2020. Gross margin for the first nine months of fiscal 2021 increased by $13.9 million, or 22.1%. For the three and nine months of fiscal 2021, gross margin improved over the same period in fiscal 2020 primarily due to higher volume of Private Network business and increased sales through Aviat Store which serves primarily the Rural Broadband space.</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Both product and service margin as a percentage of product and service revenue increased in the third quarter of fiscal 2021 and in the first nine months of fiscal 2021 compared with the same period of fiscal 2020 primarily due to higher level of Private Network business and increased sales through Aviat Store.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0"/>
                <w:szCs w:val="10"/>
                <w:color w:val="auto"/>
              </w:rPr>
            </w:pPr>
          </w:p>
        </w:tc>
        <w:tc>
          <w:tcPr>
            <w:tcW w:w="10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April 2, 2021</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April 3, 2020</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0"/>
                <w:szCs w:val="10"/>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0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April 2, 2021</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w w:val="99"/>
              </w:rPr>
              <w:t>April 3, 2020</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0"/>
                <w:szCs w:val="10"/>
                <w:color w:val="auto"/>
              </w:rPr>
            </w:pPr>
          </w:p>
        </w:tc>
        <w:tc>
          <w:tcPr>
            <w:tcW w:w="10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60" w:type="dxa"/>
            <w:vAlign w:val="bottom"/>
            <w:shd w:val="clear" w:color="auto" w:fill="CCEEFF"/>
          </w:tcPr>
          <w:p>
            <w:pPr>
              <w:ind w:left="20"/>
              <w:spacing w:after="0" w:line="147" w:lineRule="exact"/>
              <w:rPr>
                <w:sz w:val="20"/>
                <w:szCs w:val="20"/>
                <w:color w:val="auto"/>
              </w:rPr>
            </w:pPr>
            <w:r>
              <w:rPr>
                <w:rFonts w:ascii="Arial" w:cs="Arial" w:eastAsia="Arial" w:hAnsi="Arial"/>
                <w:sz w:val="16"/>
                <w:szCs w:val="16"/>
                <w:color w:val="auto"/>
              </w:rPr>
              <w:t>Research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5,275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4,875</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8.2 %  $</w:t>
            </w:r>
          </w:p>
        </w:tc>
        <w:tc>
          <w:tcPr>
            <w:tcW w:w="10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15,541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15,069</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research and development expenses increased by $0.4 million and $0.5 million, or 8.2% and 3.1%, in the three and nine months, respectively of fiscal 2021 compared with the same periods of fiscal 2020 primarily due to increased product development activities.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(In thousands, except</w:t>
            </w:r>
          </w:p>
        </w:tc>
        <w:tc>
          <w:tcPr>
            <w:tcW w:w="160" w:type="dxa"/>
            <w:vAlign w:val="bottom"/>
          </w:tcPr>
          <w:p>
            <w:pPr>
              <w:spacing w:after="0"/>
              <w:rPr>
                <w:sz w:val="10"/>
                <w:szCs w:val="10"/>
                <w:color w:val="auto"/>
              </w:rPr>
            </w:pPr>
          </w:p>
        </w:tc>
        <w:tc>
          <w:tcPr>
            <w:tcW w:w="10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April 2, 2021</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April 3, 2020</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vMerge w:val="restart"/>
          </w:tcPr>
          <w:p>
            <w:pPr>
              <w:spacing w:after="0"/>
              <w:rPr>
                <w:sz w:val="10"/>
                <w:szCs w:val="10"/>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0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April 2, 2021</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w w:val="99"/>
              </w:rPr>
              <w:t>April 3, 2020</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0"/>
                <w:szCs w:val="10"/>
                <w:color w:val="auto"/>
              </w:rPr>
            </w:pPr>
          </w:p>
        </w:tc>
        <w:tc>
          <w:tcPr>
            <w:tcW w:w="10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60" w:type="dxa"/>
            <w:vAlign w:val="bottom"/>
            <w:shd w:val="clear" w:color="auto" w:fill="CCEEFF"/>
          </w:tcPr>
          <w:p>
            <w:pPr>
              <w:ind w:left="20"/>
              <w:spacing w:after="0" w:line="147" w:lineRule="exact"/>
              <w:rPr>
                <w:sz w:val="20"/>
                <w:szCs w:val="20"/>
                <w:color w:val="auto"/>
              </w:rPr>
            </w:pPr>
            <w:r>
              <w:rPr>
                <w:rFonts w:ascii="Arial" w:cs="Arial" w:eastAsia="Arial" w:hAnsi="Arial"/>
                <w:sz w:val="16"/>
                <w:szCs w:val="16"/>
                <w:color w:val="auto"/>
              </w:rPr>
              <w:t>Selling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15,106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15,233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(0.8)%  $</w:t>
            </w:r>
          </w:p>
        </w:tc>
        <w:tc>
          <w:tcPr>
            <w:tcW w:w="10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41,555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44,334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selling and administrative expenses decreased by $0.1 million, or 0.8%, in the third quarter of fiscal 2021 compared with the same period in fiscal 2020. Our selling and administrative expenses decreased by $2.8 million, or 6.3%, for the nine months of fiscal 2021 compared with the same period in fiscal 2020. The decreases for the three and nine months of fiscal 2021 compared to comparable periods of fiscal 2020 were primarily due to lower travel expenses and restructuring savings offset in part by higher sales-related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0"/>
                <w:szCs w:val="10"/>
                <w:color w:val="auto"/>
              </w:rPr>
            </w:pPr>
          </w:p>
        </w:tc>
        <w:tc>
          <w:tcPr>
            <w:tcW w:w="10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9"/>
              </w:rPr>
              <w:t>April 2, 2021</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w w:val="99"/>
              </w:rPr>
              <w:t>April 3, 2020</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0"/>
                <w:szCs w:val="10"/>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10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9"/>
              </w:rPr>
              <w:t>April 2, 2021</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w w:val="99"/>
              </w:rPr>
              <w:t>April 3, 2020</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vMerge w:val="restart"/>
          </w:tcPr>
          <w:p>
            <w:pPr>
              <w:spacing w:after="0"/>
              <w:rPr>
                <w:sz w:val="10"/>
                <w:szCs w:val="10"/>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88.3 %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the third quarter and the first nine months of fiscal 2021, we recognized restructuring charges of $1.2 million primarily related to the restructuring plan (the “Fiscal 2021 Plan”) approved by our Board of Directors. The Fiscal 2021 Plan is anticipated to entail a reduction in force of approximately 30 employees to be implemented through the second quarter of fiscal year 2022, with a certain number of positions being consolidated and/or relocated.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April 2, 2021</w:t>
            </w:r>
          </w:p>
        </w:tc>
        <w:tc>
          <w:tcPr>
            <w:tcW w:w="1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3, 2020</w:t>
            </w: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April 2, 2021</w:t>
            </w:r>
          </w:p>
        </w:tc>
        <w:tc>
          <w:tcPr>
            <w:tcW w:w="14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3, 2020</w:t>
            </w:r>
          </w:p>
        </w:tc>
        <w:tc>
          <w:tcPr>
            <w:tcW w:w="140" w:type="dxa"/>
            <w:vAlign w:val="bottom"/>
          </w:tcPr>
          <w:p>
            <w:pPr>
              <w:spacing w:after="0"/>
              <w:rPr>
                <w:sz w:val="10"/>
                <w:szCs w:val="10"/>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0"/>
        </w:trPr>
        <w:tc>
          <w:tcPr>
            <w:tcW w:w="1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720"/>
              <w:spacing w:after="0"/>
              <w:rPr>
                <w:sz w:val="20"/>
                <w:szCs w:val="20"/>
                <w:color w:val="auto"/>
              </w:rPr>
            </w:pPr>
            <w:r>
              <w:rPr>
                <w:rFonts w:ascii="Arial" w:cs="Arial" w:eastAsia="Arial" w:hAnsi="Arial"/>
                <w:sz w:val="16"/>
                <w:szCs w:val="16"/>
                <w:color w:val="auto"/>
                <w:w w:val="98"/>
              </w:rPr>
              <w:t>(19)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00"/>
              <w:spacing w:after="0"/>
              <w:rPr>
                <w:sz w:val="20"/>
                <w:szCs w:val="20"/>
                <w:color w:val="auto"/>
              </w:rPr>
            </w:pPr>
            <w:r>
              <w:rPr>
                <w:rFonts w:ascii="Arial" w:cs="Arial" w:eastAsia="Arial" w:hAnsi="Arial"/>
                <w:sz w:val="16"/>
                <w:szCs w:val="16"/>
                <w:color w:val="auto"/>
                <w:w w:val="98"/>
              </w:rPr>
              <w:t>(23)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reflected interest earned on our cash equivalents, which were comprised of money market funds and bank certificates of deposit.</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was primarily related to interest associated with borrowings from Silicon Valley Bank (“SVB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2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2, 2021</w:t>
            </w:r>
          </w:p>
        </w:tc>
        <w:tc>
          <w:tcPr>
            <w:tcW w:w="14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3, 2020</w:t>
            </w: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2, 2021</w:t>
            </w:r>
          </w:p>
        </w:tc>
        <w:tc>
          <w:tcPr>
            <w:tcW w:w="1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3, 2020</w:t>
            </w: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1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2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6"/>
                <w:szCs w:val="16"/>
                <w:color w:val="auto"/>
              </w:rPr>
              <w:t>Income before income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1,329</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213.2 %</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18,679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17,126</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1,102.8 %</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20"/>
              <w:spacing w:after="0" w:line="166" w:lineRule="exact"/>
              <w:rPr>
                <w:sz w:val="20"/>
                <w:szCs w:val="20"/>
                <w:color w:val="auto"/>
              </w:rPr>
            </w:pPr>
            <w:r>
              <w:rPr>
                <w:rFonts w:ascii="Arial" w:cs="Arial" w:eastAsia="Arial" w:hAnsi="Arial"/>
                <w:sz w:val="16"/>
                <w:szCs w:val="16"/>
                <w:color w:val="auto"/>
              </w:rPr>
              <w:t>(Benefit from) provision</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(90,568)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4"/>
              <w:spacing w:after="0"/>
              <w:rPr>
                <w:sz w:val="20"/>
                <w:szCs w:val="20"/>
                <w:color w:val="auto"/>
              </w:rPr>
            </w:pPr>
            <w:r>
              <w:rPr>
                <w:rFonts w:ascii="Arial" w:cs="Arial" w:eastAsia="Arial" w:hAnsi="Arial"/>
                <w:sz w:val="16"/>
                <w:szCs w:val="16"/>
                <w:color w:val="auto"/>
              </w:rPr>
              <w:t>598</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(91,166)</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(15,245.2)%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(88,629)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(91,068)</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(3,733.8)%</w:t>
            </w:r>
          </w:p>
        </w:tc>
        <w:tc>
          <w:tcPr>
            <w:tcW w:w="0" w:type="dxa"/>
            <w:vAlign w:val="bottom"/>
          </w:tcPr>
          <w:p>
            <w:pPr>
              <w:spacing w:after="0"/>
              <w:rPr>
                <w:sz w:val="1"/>
                <w:szCs w:val="1"/>
                <w:color w:val="auto"/>
              </w:rPr>
            </w:pPr>
          </w:p>
        </w:tc>
      </w:tr>
      <w:tr>
        <w:trPr>
          <w:trHeight w:val="206"/>
        </w:trPr>
        <w:tc>
          <w:tcPr>
            <w:tcW w:w="1720" w:type="dxa"/>
            <w:vAlign w:val="bottom"/>
          </w:tcPr>
          <w:p>
            <w:pPr>
              <w:ind w:left="20"/>
              <w:spacing w:after="0"/>
              <w:rPr>
                <w:sz w:val="20"/>
                <w:szCs w:val="20"/>
                <w:color w:val="auto"/>
              </w:rPr>
            </w:pPr>
            <w:r>
              <w:rPr>
                <w:rFonts w:ascii="Arial" w:cs="Arial" w:eastAsia="Arial" w:hAnsi="Arial"/>
                <w:sz w:val="16"/>
                <w:szCs w:val="16"/>
                <w:color w:val="auto"/>
              </w:rPr>
              <w:t>for income taxes</w:t>
            </w:r>
          </w:p>
        </w:tc>
        <w:tc>
          <w:tcPr>
            <w:tcW w:w="1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tax benefit for the first nine months of fiscal 2021 was primarily due to the release of valuation allowance on U.S. federal and state deferred tax assets. The tax expense for the first nine months of fiscal 2020 was primarily related to profitable subsidiaries and a $0.4 million increase in our reserves for uncertain tax positions.</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each reporting date, management considers new evidence, both positive and negative, that could affect its view of the future realization of deferred tax assets on a more likely than not basis. During the third quarter of fiscal 2021, we recorded a valuation allowance release of $92.2 million as a discrete item based on management’s reassessment of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1" w:name="page32"/>
    <w:bookmarkEnd w:id="31"/>
    <w:p>
      <w:pPr>
        <w:jc w:val="both"/>
        <w:spacing w:after="0" w:line="301" w:lineRule="auto"/>
        <w:rPr>
          <w:sz w:val="20"/>
          <w:szCs w:val="20"/>
          <w:color w:val="auto"/>
        </w:rPr>
      </w:pPr>
      <w:r>
        <w:rPr>
          <w:rFonts w:ascii="Arial" w:cs="Arial" w:eastAsia="Arial" w:hAnsi="Arial"/>
          <w:sz w:val="16"/>
          <w:szCs w:val="16"/>
          <w:color w:val="auto"/>
        </w:rPr>
        <w:t>amount of its U.S. federal and state deferred tax assets that are more likely than not to be realized, primarily as a result of increases in U.S. profitability in the current period and expectations of continued profitability in future periods. In performing our analysis, we used the most updated plans and estimates that we currently use to manage the underlying business and calculated the utilization of our deferred tax assets. We continue to maintain a valuation allowance of $1.4 million on certain U.S. federal and state deferred tax assets that we believe is not more likely than not to be realized in future periods.</w:t>
      </w:r>
    </w:p>
    <w:p>
      <w:pPr>
        <w:spacing w:after="0" w:line="1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third quarter of 2021, we received a tax refund of $3.5 million from the U.S. Internal Revenue Service primarily related to our refundable alternative minimum tax credit claim and recorded minimal tax benefit related to interest as a discrete item.</w:t>
      </w:r>
    </w:p>
    <w:p>
      <w:pPr>
        <w:spacing w:after="0" w:line="11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second quarter of 2021, we effectively settled a tax audit with the Financial Administration of the Republic of Slovenia for fiscal years 2016 to 2018 and recorded $0.4 million of tax expense related to the denial of research and development tax relief as a discrete item. During the second quarter of 2021, we effectively settled a tax audit with the General Authority of Zakat and Tax in Saudi Arabia for fiscal years 2016 to 2018 and recorded minimal tax benefit related to the release of previously recorded ASC 740-10 reserve as a discrete item.</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first quarter of 2021, we received a tax refund of $1.2 million from the Federal Revenue of Brazil related to our withholding tax refund claim and recorded minimal tax expense related to interest as a discrete item.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April 2, 2021, our total cash and cash equivalents were $45.8 million. Approximately $25.4 million, or 55.3%, was held in the United States. The remaining balance of $20.5 million, or 44.7%, was held by entities outside the United States. Of the amount of cash and cash equivalents held by our foreign subsidiaries on April 2, 2021, $19.1 million was held in jurisdictions where our undistributed earnings are indefinitely reinvested, and if repatriated, would be subject to foreign withholding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Cash provided by or used in operating activities is presented as net income adjusted for non-cash items and changes in operating assets and liabilities. Net cash provided by operating activities was $14.2 million for the first nine months of fiscal 2021, compared to $14.6 million for the first nine months of fiscal 2020; this difference was primarily related to a net change in Accounts receivable and partially offset by the net change in Net income. Net cash provided by noncash items was $(81.8) million for the first nine months of 2021. The net changes in operating assets and liabilities resulted in a net use of cash of $11.3 million for the first nine months of fiscal 2021, compared to net cash provided by operating activities of $7.4 million for the same period in fiscal 2020.</w:t>
      </w:r>
    </w:p>
    <w:p>
      <w:pPr>
        <w:spacing w:after="0" w:line="1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Changes in operating assets and liabilities resulted in a net use of cash for the first nine months of fiscal 2021 primarily related to Accounts receivable that fluctuate from period to period, depending on the amount, timing of sales and billing activities and cash collections; and an increase in certain levels of inventories primarily to mitigate supply chain constraints. The use of cash from assets and liabilities was partially offset by customer Advance payments and unearned revenue; and the timing of payments of Accounts payable.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was $2.4 million and $3.9 million for the first nine months of fiscal 2021 and 2020, respectively, which consisted of capital expenditures. During the fourth quarter of fiscal year 2021, we expect to spend approximately $1 million to $2 million for capital expenditures, primarily on equipment for development and manufacturing of new products and IT infrastructure.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Financing cash flows consist primarily of proceeds from and repayments of short-term debt, repurchase of stock and proceeds from the sale of shares of common stock through employee equity plans. Net cash used in financing activities was $7.7 million for the first nine months of fiscal 2021, primarily due to $9.0 million repayment of short-term debt partially offset by cash proceeds from the issuance of common stock under employee stock plans of $1.9 million. Net cash used 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financing activities was $2.5 million for the first nine months of fiscal 2020, primarily due to repurchases of common stock of $1.8 million and the payments for taxes related to net settlement of equity awards of $0.8 million.</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April 2, 2021, our principal sources of liquidity consisted of $45.8 million in cash and cash equivalents; $23.5 million of available credit under our $25.0 million SVB Credit Facility, which matures on June 28, 2021,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4, 2020, we entered into Amendment No. 3 to Third Amended and Restated Loan and Security Agreement which extended the maturity date of the SVB Credit Facility to June 28, 2021. While we intend to continue to renew the SVB Credit Facility annually, there can be no assurance that the SVB Credit Facility will be renewed. In addition, there can be no assurance that our business will generate cash flow from operations, that we will be in compliance with the quarterly financial covenants contained in the SVB Credit Facility, or that we will have a sufficient borrowing base under such facility. If we are not in compliance with the financial covenants or do not have sufficient eligible accounts receivable to support our borrowing base, borrowings under the SVB Credit Facility may not be available or our borrowing base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April 2, 2021, we were in compliance with the quarterly financial covenants, as amended, contained in the SVB Credit Facility and there was no amount outstanding under the SVB Credit Facility.</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April 2, 2021 and July 3, 2020. The line of credit also provides for the issuance of standby letters of credit and company credit cards, of which $0.1 million was outstanding as of April 2, 2021 and July 3, 2020. This facility may be terminated upon notice, is reviewed annually for renewal or modification, and is supported by a corporate guarantee.</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13, 2021, we filed a registration statement on Form S-3 with the SEC using a “shelf” registration process. Once the shelf registration statement is declared effective by the SEC, we will be able to, from time to time, offer and sell, either individually or in combination, in one or more offerings, up to a total dollar amount of $200 million of any combination of the securities described in the shelf registration statement or a related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had liabilities for restructuring activities totaling $2.0 million as of April 2, 2021, which were classified as current liabilities and expected to be paid out in cash over the next 12 months. We expect to fund these future payments with available cash and cash provided by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amounts disclosed in our fiscal 2020 Annual Report on Form 10-K filed with the SEC on August 27, 2020 include our commercial commitments and contractual obligations. During the first nine months of fiscal 2021, no material changes occurred in our contractual obligations to purchase goods and services or to make payments under operating leases or our contingent liabilities on outstanding letters of credit, guarantees, and other arrangements as disclosed in our fiscal 2020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3" w:name="page34"/>
    <w:bookmarkEnd w:id="33"/>
    <w:p>
      <w:pPr>
        <w:ind w:firstLine="486"/>
        <w:spacing w:after="0" w:line="277" w:lineRule="auto"/>
        <w:rPr>
          <w:sz w:val="20"/>
          <w:szCs w:val="20"/>
          <w:color w:val="auto"/>
        </w:rPr>
      </w:pPr>
      <w:r>
        <w:rPr>
          <w:rFonts w:ascii="Arial" w:cs="Arial" w:eastAsia="Arial" w:hAnsi="Arial"/>
          <w:sz w:val="18"/>
          <w:szCs w:val="18"/>
          <w:color w:val="auto"/>
        </w:rPr>
        <w:t>In accordance with the definition under SEC rules (Item 303(a)(4)(ii) of Regulation S-K), any of the following qualify as off-balance sheet arrangements:</w:t>
      </w:r>
    </w:p>
    <w:p>
      <w:pPr>
        <w:spacing w:after="0" w:line="116"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171" w:lineRule="exact"/>
        <w:rPr>
          <w:rFonts w:ascii="Arial" w:cs="Arial" w:eastAsia="Arial" w:hAnsi="Arial"/>
          <w:sz w:val="18"/>
          <w:szCs w:val="18"/>
          <w:color w:val="auto"/>
        </w:rPr>
      </w:pPr>
    </w:p>
    <w:p>
      <w:pPr>
        <w:ind w:firstLine="494"/>
        <w:spacing w:after="0" w:line="277"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171" w:lineRule="exact"/>
        <w:rPr>
          <w:rFonts w:ascii="Arial" w:cs="Arial" w:eastAsia="Arial" w:hAnsi="Arial"/>
          <w:sz w:val="18"/>
          <w:szCs w:val="18"/>
          <w:color w:val="auto"/>
        </w:rPr>
      </w:pPr>
    </w:p>
    <w:p>
      <w:pPr>
        <w:ind w:firstLine="494"/>
        <w:spacing w:after="0" w:line="308" w:lineRule="auto"/>
        <w:tabs>
          <w:tab w:leader="none" w:pos="643"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9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April 2, 2021,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2, 2021, we had commercial commitments of $57.8 million.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“Note 12 Commitments and Contingencies” of the Notes to unaudited condensed consolidated financial statements in this Quarterly Report on Form 10-Q for Contractual Obligations and 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2020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The foreign exchange hedges do not qualify as cash flow hedges. The changes in fair value related to the hedges were recorded in income or expenses line items on our statements of operations.</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ind w:left="500"/>
        <w:spacing w:after="0"/>
        <w:rPr>
          <w:sz w:val="20"/>
          <w:szCs w:val="20"/>
          <w:color w:val="auto"/>
        </w:rPr>
      </w:pPr>
      <w:r>
        <w:rPr>
          <w:rFonts w:ascii="Arial" w:cs="Arial" w:eastAsia="Arial" w:hAnsi="Arial"/>
          <w:sz w:val="18"/>
          <w:szCs w:val="18"/>
          <w:color w:val="auto"/>
        </w:rPr>
        <w:t>As of April 2, 2021, we had no foreign currency forward contracts.</w:t>
      </w:r>
    </w:p>
    <w:p>
      <w:pPr>
        <w:spacing w:after="0" w:line="1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Net foreign exchange (income) loss recorded in our unaudited condensed consolidated statements of operations during the three and nine months ended April 2, 2021 and April 3, 2020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880" w:type="dxa"/>
            <w:vAlign w:val="bottom"/>
            <w:gridSpan w:val="4"/>
          </w:tcPr>
          <w:p>
            <w:pPr>
              <w:jc w:val="right"/>
              <w:ind w:right="90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6"/>
              </w:rPr>
              <w:t>April 2,</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242"/>
              <w:spacing w:after="0" w:line="135" w:lineRule="exact"/>
              <w:rPr>
                <w:sz w:val="20"/>
                <w:szCs w:val="20"/>
                <w:color w:val="auto"/>
              </w:rPr>
            </w:pPr>
            <w:r>
              <w:rPr>
                <w:rFonts w:ascii="Arial" w:cs="Arial" w:eastAsia="Arial" w:hAnsi="Arial"/>
                <w:sz w:val="14"/>
                <w:szCs w:val="14"/>
                <w:b w:val="1"/>
                <w:bCs w:val="1"/>
                <w:color w:val="auto"/>
                <w:w w:val="96"/>
              </w:rPr>
              <w:t>April 3,</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6"/>
              </w:rPr>
              <w:t>April 2,</w:t>
            </w: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242"/>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included in costs of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Certain of our international business is transacted in non-U.S. dollar currency. As discussed above, we utilize foreign currency hedging instruments to minimize the currency risk of international transactions. The impact of translating the assets and liabilities of foreign operations to U.S. dollars for the first nine months of fiscal 2021 and 2020 was $0.3 million and $2.5 million, respectively, and was included as a component of stockholders’ equity. As of April 2, 2021 and July 3, 2020, the cumulative translation adjustment decreased our equity by $14.7 million and $15.0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$45.8 million in total cash and cash equivalents as of April 2, 2021. Cash equivalents totaled $27.8 million as of April 2, 2021 and were comprised of money market funds and bank certificates of deposit. Cash equivalents investments have been recorded at fair value on our balance sheet.</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cash equivalents earn interest at fixed rates; therefore, changes in interest rates will not generate a gain or loss on these investments unless they are sold prior to maturity. The weighted-average days to maturity for cash equivalents held as of April 2, 2021 was 27 days, and these investments had an average yield of approximately 3.68% per annum. A 10% change in interest rates on our cash equivalents is not expected to have a material impact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Our borrowings under the SVB Credit Facility incurred interest at the prime rate plus a spread of 0.50% to 1.50% with such spread determined based on our adjusted quick ratio. During the first nine months of fiscal 2021, our weighted-average interest rate was 3.75%, and the interest expense on these borrowings was insignificant.</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Based on management’s evaluation, with the participation of our President and Chief Executive Officer (“CEO”), and Chief Financial Officer (“CFO”), as of April 2, 2021,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There were no changes to our internal controls over financial reporting as defined in Rules 13a-15(f) or 15d-15(f) that occurred during the quarter ended April 2, 2021 that have materially affected, or are reasonably likely to materially affect, our internal controls over financial reporting.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significant.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spacing w:after="0" w:line="200" w:lineRule="exact"/>
        <w:rPr>
          <w:sz w:val="20"/>
          <w:szCs w:val="20"/>
          <w:color w:val="auto"/>
        </w:rPr>
      </w:pPr>
    </w:p>
    <w:p>
      <w:pPr>
        <w:spacing w:after="0" w:line="3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 discussion of legal proceedings as of April 2, 2021, please refer to “Legal Proceedings” and “Contingent Liabilities” under “Note 12 Commitments and Contingencies” of the Notes to unaudited condensed consolidated financial statements in this Quarterly Report on Form 10-Q, which are incorporated into this item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2020 Annual Report on Form 10-K filed with the SEC on August 27, 2020.</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May 2018, our board of directors approved a stock repurchase program, which does not have an expiration date, for the repurchase of up to $7.5 million of our common stock. The repurchase program has been suspended temporarily since February 2020 to February 2021. During the third quarter of fiscal 2021, our Board of Directors voted to re-instate our stock repurchase program and repurchased 8,300 shares of our common stock in the open market for an aggregate purchase price, including commissions, of $0.5 million. These shares were recorded as treasury stock and we do not anticipate retiring them. Treasury stock did not participate in the two-for-one stock split in the form of a stock dividend paid on April 7, 2021. As of April 2, 2021, $3.0 million remained available under our stock repurchase program.</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stock repurchases for the three months ended April 2, 2021:</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80" w:type="dxa"/>
            <w:vAlign w:val="bottom"/>
          </w:tcPr>
          <w:p>
            <w:pPr>
              <w:spacing w:after="0"/>
              <w:rPr>
                <w:sz w:val="14"/>
                <w:szCs w:val="14"/>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Average Price Paid</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236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Approximate Dollar Value of Shares</w:t>
            </w: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Repurchased as Part of Publicly</w:t>
            </w:r>
          </w:p>
        </w:tc>
        <w:tc>
          <w:tcPr>
            <w:tcW w:w="120" w:type="dxa"/>
            <w:vAlign w:val="bottom"/>
          </w:tcPr>
          <w:p>
            <w:pPr>
              <w:spacing w:after="0"/>
              <w:rPr>
                <w:sz w:val="11"/>
                <w:szCs w:val="11"/>
                <w:color w:val="auto"/>
              </w:rPr>
            </w:pPr>
          </w:p>
        </w:tc>
        <w:tc>
          <w:tcPr>
            <w:tcW w:w="23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that May Yet be Repurchased Under</w:t>
            </w:r>
          </w:p>
        </w:tc>
        <w:tc>
          <w:tcPr>
            <w:tcW w:w="0" w:type="dxa"/>
            <w:vAlign w:val="bottom"/>
          </w:tcPr>
          <w:p>
            <w:pPr>
              <w:spacing w:after="0"/>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1520" w:type="dxa"/>
            <w:vAlign w:val="bottom"/>
          </w:tcPr>
          <w:p>
            <w:pPr>
              <w:jc w:val="right"/>
              <w:ind w:right="276"/>
              <w:spacing w:after="0"/>
              <w:rPr>
                <w:sz w:val="20"/>
                <w:szCs w:val="20"/>
                <w:color w:val="auto"/>
              </w:rPr>
            </w:pPr>
            <w:r>
              <w:rPr>
                <w:rFonts w:ascii="Arial" w:cs="Arial" w:eastAsia="Arial" w:hAnsi="Arial"/>
                <w:sz w:val="14"/>
                <w:szCs w:val="14"/>
                <w:b w:val="1"/>
                <w:bCs w:val="1"/>
                <w:color w:val="auto"/>
              </w:rPr>
              <w:t>Repurchased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Announced Program</w:t>
            </w:r>
          </w:p>
        </w:tc>
        <w:tc>
          <w:tcPr>
            <w:tcW w:w="120" w:type="dxa"/>
            <w:vAlign w:val="bottom"/>
          </w:tcPr>
          <w:p>
            <w:pPr>
              <w:spacing w:after="0"/>
              <w:rPr>
                <w:sz w:val="16"/>
                <w:szCs w:val="16"/>
                <w:color w:val="auto"/>
              </w:rPr>
            </w:pPr>
          </w:p>
        </w:tc>
        <w:tc>
          <w:tcPr>
            <w:tcW w:w="2360" w:type="dxa"/>
            <w:vAlign w:val="bottom"/>
          </w:tcPr>
          <w:p>
            <w:pPr>
              <w:jc w:val="center"/>
              <w:ind w:right="39"/>
              <w:spacing w:after="0" w:line="189" w:lineRule="exact"/>
              <w:rPr>
                <w:sz w:val="20"/>
                <w:szCs w:val="20"/>
                <w:color w:val="auto"/>
              </w:rPr>
            </w:pPr>
            <w:r>
              <w:rPr>
                <w:rFonts w:ascii="Arial" w:cs="Arial" w:eastAsia="Arial" w:hAnsi="Arial"/>
                <w:sz w:val="14"/>
                <w:szCs w:val="14"/>
                <w:b w:val="1"/>
                <w:bCs w:val="1"/>
                <w:color w:val="auto"/>
                <w:w w:val="91"/>
              </w:rPr>
              <w:t xml:space="preserve">the Program </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207"/>
        </w:trPr>
        <w:tc>
          <w:tcPr>
            <w:tcW w:w="3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3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 2021 through January 29,2021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January 30, 2021 through February 26, 2021</w:t>
            </w:r>
          </w:p>
        </w:tc>
        <w:tc>
          <w:tcPr>
            <w:tcW w:w="1520" w:type="dxa"/>
            <w:vAlign w:val="bottom"/>
          </w:tcPr>
          <w:p>
            <w:pPr>
              <w:jc w:val="right"/>
              <w:spacing w:after="0"/>
              <w:rPr>
                <w:sz w:val="20"/>
                <w:szCs w:val="20"/>
                <w:color w:val="auto"/>
              </w:rPr>
            </w:pPr>
            <w:r>
              <w:rPr>
                <w:rFonts w:ascii="Arial" w:cs="Arial" w:eastAsia="Arial" w:hAnsi="Arial"/>
                <w:sz w:val="18"/>
                <w:szCs w:val="18"/>
                <w:color w:val="auto"/>
              </w:rPr>
              <w:t>2,100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27, 2021 through April 2,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23"/>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Stock Repurchase Programs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center"/>
        <w:ind w:right="8099"/>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805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36" w:right="1440" w:bottom="1440" w:gutter="0" w:footer="0" w:header="0"/>
        </w:sectPr>
      </w:pPr>
    </w:p>
    <w:bookmarkStart w:id="38" w:name="page39"/>
    <w:bookmarkEnd w:id="38"/>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5760" w:type="dxa"/>
            <w:vAlign w:val="bottom"/>
            <w:gridSpan w:val="7"/>
          </w:tcPr>
          <w:p>
            <w:pPr>
              <w:ind w:left="360"/>
              <w:spacing w:after="0"/>
              <w:rPr>
                <w:sz w:val="20"/>
                <w:szCs w:val="20"/>
                <w:color w:val="auto"/>
              </w:rPr>
            </w:pPr>
            <w:r>
              <w:rPr>
                <w:rFonts w:ascii="Arial" w:cs="Arial" w:eastAsia="Arial" w:hAnsi="Arial"/>
                <w:sz w:val="14"/>
                <w:szCs w:val="14"/>
                <w:b w:val="1"/>
                <w:bCs w:val="1"/>
                <w:color w:val="auto"/>
              </w:rPr>
              <w:t>Descriptions</w:t>
            </w:r>
          </w:p>
        </w:tc>
      </w:tr>
      <w:tr>
        <w:trPr>
          <w:trHeight w:val="188"/>
        </w:trPr>
        <w:tc>
          <w:tcPr>
            <w:tcW w:w="114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00" w:type="dxa"/>
            <w:vAlign w:val="bottom"/>
            <w:tcBorders>
              <w:top w:val="single" w:sz="8" w:color="auto"/>
            </w:tcBorders>
            <w:gridSpan w:val="8"/>
            <w:shd w:val="clear" w:color="auto" w:fill="CCEEFF"/>
          </w:tcPr>
          <w:p>
            <w:pPr>
              <w:spacing w:after="0" w:line="189"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Amended and Restated Certificate of Incorporation of Aviat Networks, Inc., as amended (incorporated by reference to Exhibit 3.1 to the</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Current Report on Form 10-Q filed with the SEC on February 10, 2017, File No. 001-33278)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8"/>
          </w:tcPr>
          <w:p>
            <w:pPr>
              <w:spacing w:after="0" w:line="189"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Amended and Restated Bylaws of Aviat Networks, Inc. (incorporated by reference to Exhibit 3.1 to the Current Report on Form 8-K filed</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with the SEC on September 24, 2020, File No. 001-33278)</w:t>
              </w:r>
            </w:hyperlink>
          </w:p>
        </w:tc>
        <w:tc>
          <w:tcPr>
            <w:tcW w:w="2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92"/>
              </w:rPr>
            </w:pPr>
            <w:hyperlink w:anchor="page41">
              <w:r>
                <w:rPr>
                  <w:rFonts w:ascii="Arial" w:cs="Arial" w:eastAsia="Arial" w:hAnsi="Arial"/>
                  <w:sz w:val="18"/>
                  <w:szCs w:val="18"/>
                  <w:color w:val="0000FF"/>
                  <w:w w:val="92"/>
                </w:rPr>
                <w:t>Rule 13a-14(a)/15d-14(a) Certification of President and Chief Executive Officer</w:t>
              </w:r>
            </w:hyperlink>
          </w:p>
        </w:tc>
        <w:tc>
          <w:tcPr>
            <w:tcW w:w="4200" w:type="dxa"/>
            <w:vAlign w:val="bottom"/>
            <w:tcBorders>
              <w:bottom w:val="single" w:sz="8" w:color="CCEEFF"/>
            </w:tcBorders>
            <w:gridSpan w:val="5"/>
            <w:shd w:val="clear" w:color="auto" w:fill="CCEEFF"/>
          </w:tcPr>
          <w:p>
            <w:pPr>
              <w:spacing w:after="0"/>
              <w:rPr>
                <w:sz w:val="18"/>
                <w:szCs w:val="18"/>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8"/>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Rule 13a-14(a)/15d-14(a) Certification of Chief Financial Officer</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0000FF"/>
            </w:tcBorders>
            <w:gridSpan w:val="4"/>
            <w:shd w:val="clear" w:color="auto" w:fill="CCEEFF"/>
          </w:tcPr>
          <w:p>
            <w:pPr>
              <w:spacing w:after="0" w:line="189" w:lineRule="exact"/>
              <w:rPr>
                <w:rFonts w:ascii="Arial" w:cs="Arial" w:eastAsia="Arial" w:hAnsi="Arial"/>
                <w:sz w:val="18"/>
                <w:szCs w:val="18"/>
                <w:color w:val="0000FF"/>
                <w:w w:val="93"/>
              </w:rPr>
            </w:pPr>
            <w:hyperlink w:anchor="page43">
              <w:r>
                <w:rPr>
                  <w:rFonts w:ascii="Arial" w:cs="Arial" w:eastAsia="Arial" w:hAnsi="Arial"/>
                  <w:sz w:val="18"/>
                  <w:szCs w:val="18"/>
                  <w:color w:val="0000FF"/>
                  <w:w w:val="93"/>
                </w:rPr>
                <w:t>Section 1350 Certification of Chief Executive Officer and Chief Financial Officer</w:t>
              </w:r>
            </w:hyperlink>
          </w:p>
        </w:tc>
        <w:tc>
          <w:tcPr>
            <w:tcW w:w="4100" w:type="dxa"/>
            <w:vAlign w:val="bottom"/>
            <w:tcBorders>
              <w:bottom w:val="single" w:sz="8" w:color="CCEEFF"/>
            </w:tcBorders>
            <w:gridSpan w:val="4"/>
            <w:shd w:val="clear" w:color="auto" w:fill="CCEEFF"/>
          </w:tcPr>
          <w:p>
            <w:pPr>
              <w:spacing w:after="0"/>
              <w:rPr>
                <w:sz w:val="18"/>
                <w:szCs w:val="18"/>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60" w:hanging="1234"/>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 w:lineRule="exact"/>
        <w:rPr>
          <w:sz w:val="20"/>
          <w:szCs w:val="20"/>
          <w:color w:val="auto"/>
        </w:rPr>
      </w:pPr>
    </w:p>
    <w:p>
      <w:pPr>
        <w:ind w:left="1260" w:hanging="123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AVIAT NETWORKS, INC.</w:t>
      </w:r>
    </w:p>
    <w:p>
      <w:pPr>
        <w:ind w:left="6060"/>
        <w:spacing w:after="0"/>
        <w:rPr>
          <w:sz w:val="20"/>
          <w:szCs w:val="20"/>
          <w:color w:val="auto"/>
        </w:rPr>
      </w:pPr>
      <w:r>
        <w:rPr>
          <w:rFonts w:ascii="Arial" w:cs="Arial" w:eastAsia="Arial" w:hAnsi="Arial"/>
          <w:sz w:val="18"/>
          <w:szCs w:val="18"/>
          <w:color w:val="auto"/>
        </w:rPr>
        <w:t>(Registrant)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00" w:lineRule="exact"/>
        <w:rPr>
          <w:sz w:val="20"/>
          <w:szCs w:val="20"/>
          <w:color w:val="auto"/>
        </w:rPr>
      </w:pPr>
    </w:p>
    <w:p>
      <w:pPr>
        <w:spacing w:after="0" w:line="201"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31750</wp:posOffset>
            </wp:positionV>
            <wp:extent cx="3265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Eric Chang</w:t>
      </w:r>
    </w:p>
    <w:p>
      <w:pPr>
        <w:ind w:left="6120"/>
        <w:spacing w:after="0" w:line="215" w:lineRule="auto"/>
        <w:rPr>
          <w:sz w:val="20"/>
          <w:szCs w:val="20"/>
          <w:color w:val="auto"/>
        </w:rPr>
      </w:pPr>
      <w:r>
        <w:rPr>
          <w:rFonts w:ascii="Arial" w:cs="Arial" w:eastAsia="Arial" w:hAnsi="Arial"/>
          <w:sz w:val="17"/>
          <w:szCs w:val="17"/>
          <w:color w:val="auto"/>
        </w:rPr>
        <w:t>Senior Vice President and Chief Financial Officer (duly authorized</w:t>
      </w:r>
    </w:p>
    <w:p>
      <w:pPr>
        <w:ind w:left="61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3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Peter Smith.,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2, 2021, of Aviat Networks,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May 5, 2021</w:t>
            </w:r>
          </w:p>
        </w:tc>
        <w:tc>
          <w:tcPr>
            <w:tcW w:w="4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Peter Smith</w:t>
            </w:r>
          </w:p>
        </w:tc>
      </w:tr>
      <w:tr>
        <w:trPr>
          <w:trHeight w:val="222"/>
        </w:trPr>
        <w:tc>
          <w:tcPr>
            <w:tcW w:w="63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3960" w:type="dxa"/>
            <w:vAlign w:val="bottom"/>
          </w:tcPr>
          <w:p>
            <w:pPr>
              <w:ind w:left="300"/>
              <w:spacing w:after="0"/>
              <w:rPr>
                <w:sz w:val="20"/>
                <w:szCs w:val="20"/>
                <w:color w:val="auto"/>
              </w:rPr>
            </w:pPr>
            <w:r>
              <w:rPr>
                <w:rFonts w:ascii="Arial" w:cs="Arial" w:eastAsia="Arial" w:hAnsi="Arial"/>
                <w:sz w:val="18"/>
                <w:szCs w:val="18"/>
                <w:color w:val="auto"/>
              </w:rPr>
              <w:t>Peter Smith</w:t>
            </w:r>
          </w:p>
        </w:tc>
      </w:tr>
      <w:tr>
        <w:trPr>
          <w:trHeight w:val="230"/>
        </w:trPr>
        <w:tc>
          <w:tcPr>
            <w:tcW w:w="63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39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Eric Chang,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2, 2021, of Aviat Networks,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Date: May 5, 2021</w:t>
            </w:r>
          </w:p>
        </w:tc>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Eric Chang</w:t>
            </w:r>
          </w:p>
        </w:tc>
      </w:tr>
      <w:tr>
        <w:trPr>
          <w:trHeight w:val="222"/>
        </w:trPr>
        <w:tc>
          <w:tcPr>
            <w:tcW w:w="552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840" w:type="dxa"/>
            <w:vAlign w:val="bottom"/>
          </w:tcPr>
          <w:p>
            <w:pPr>
              <w:ind w:left="180"/>
              <w:spacing w:after="0"/>
              <w:rPr>
                <w:sz w:val="20"/>
                <w:szCs w:val="20"/>
                <w:color w:val="auto"/>
              </w:rPr>
            </w:pPr>
            <w:r>
              <w:rPr>
                <w:rFonts w:ascii="Arial" w:cs="Arial" w:eastAsia="Arial" w:hAnsi="Arial"/>
                <w:sz w:val="18"/>
                <w:szCs w:val="18"/>
                <w:color w:val="auto"/>
              </w:rPr>
              <w:t>Eric Chang</w:t>
            </w:r>
          </w:p>
        </w:tc>
      </w:tr>
      <w:tr>
        <w:trPr>
          <w:trHeight w:val="230"/>
        </w:trPr>
        <w:tc>
          <w:tcPr>
            <w:tcW w:w="55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84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line="323" w:lineRule="auto"/>
        <w:rPr>
          <w:sz w:val="20"/>
          <w:szCs w:val="20"/>
          <w:color w:val="auto"/>
        </w:rPr>
      </w:pPr>
      <w:r>
        <w:rPr>
          <w:rFonts w:ascii="Arial" w:cs="Arial" w:eastAsia="Arial" w:hAnsi="Arial"/>
          <w:sz w:val="18"/>
          <w:szCs w:val="18"/>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April 2, 2021, as filed with the Securities and Exchange Commission on the date hereof (the “Report”), we, Peter Smith, President and Chief Executive Officer of Aviat Networks, and Eric Chang, Senior Vice President, Chief Financial Officer of Aviat Networks, hereby certify, pursuant to Section 906 of the Sarbanes-Oxley Act of 2002, 18 U.S.C. §1350, that:</w:t>
      </w:r>
    </w:p>
    <w:p>
      <w:pPr>
        <w:spacing w:after="0" w:line="14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9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8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spacing w:after="0"/>
              <w:rPr>
                <w:sz w:val="17"/>
                <w:szCs w:val="17"/>
                <w:color w:val="auto"/>
              </w:rPr>
            </w:pPr>
          </w:p>
        </w:tc>
      </w:tr>
      <w:tr>
        <w:trPr>
          <w:trHeight w:val="230"/>
        </w:trPr>
        <w:tc>
          <w:tcPr>
            <w:tcW w:w="5840" w:type="dxa"/>
            <w:vAlign w:val="bottom"/>
          </w:tcPr>
          <w:p>
            <w:pPr>
              <w:ind w:left="660"/>
              <w:spacing w:after="0"/>
              <w:rPr>
                <w:sz w:val="20"/>
                <w:szCs w:val="20"/>
                <w:color w:val="auto"/>
              </w:rPr>
            </w:pPr>
            <w:r>
              <w:rPr>
                <w:rFonts w:ascii="Arial" w:cs="Arial" w:eastAsia="Arial" w:hAnsi="Arial"/>
                <w:sz w:val="18"/>
                <w:szCs w:val="18"/>
                <w:color w:val="auto"/>
              </w:rPr>
              <w:t>May 5,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Smith</w:t>
            </w:r>
          </w:p>
        </w:tc>
      </w:tr>
      <w:tr>
        <w:trPr>
          <w:trHeight w:val="222"/>
        </w:trPr>
        <w:tc>
          <w:tcPr>
            <w:tcW w:w="58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Peter Smith</w:t>
            </w:r>
          </w:p>
        </w:tc>
      </w:tr>
      <w:tr>
        <w:trPr>
          <w:trHeight w:val="230"/>
        </w:trPr>
        <w:tc>
          <w:tcPr>
            <w:tcW w:w="58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Title: President and Chief Executive Officer</w:t>
            </w:r>
          </w:p>
        </w:tc>
      </w:tr>
      <w:tr>
        <w:trPr>
          <w:trHeight w:val="512"/>
        </w:trPr>
        <w:tc>
          <w:tcPr>
            <w:tcW w:w="58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spacing w:after="0"/>
              <w:rPr>
                <w:sz w:val="24"/>
                <w:szCs w:val="24"/>
                <w:color w:val="auto"/>
              </w:rPr>
            </w:pPr>
          </w:p>
        </w:tc>
      </w:tr>
      <w:tr>
        <w:trPr>
          <w:trHeight w:val="230"/>
        </w:trPr>
        <w:tc>
          <w:tcPr>
            <w:tcW w:w="5840" w:type="dxa"/>
            <w:vAlign w:val="bottom"/>
          </w:tcPr>
          <w:p>
            <w:pPr>
              <w:ind w:left="660"/>
              <w:spacing w:after="0"/>
              <w:rPr>
                <w:sz w:val="20"/>
                <w:szCs w:val="20"/>
                <w:color w:val="auto"/>
              </w:rPr>
            </w:pPr>
            <w:r>
              <w:rPr>
                <w:rFonts w:ascii="Arial" w:cs="Arial" w:eastAsia="Arial" w:hAnsi="Arial"/>
                <w:sz w:val="18"/>
                <w:szCs w:val="18"/>
                <w:color w:val="auto"/>
              </w:rPr>
              <w:t>May 5,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Chang</w:t>
            </w:r>
          </w:p>
        </w:tc>
      </w:tr>
      <w:tr>
        <w:trPr>
          <w:trHeight w:val="222"/>
        </w:trPr>
        <w:tc>
          <w:tcPr>
            <w:tcW w:w="58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Eric Chang</w:t>
            </w:r>
          </w:p>
        </w:tc>
      </w:tr>
      <w:tr>
        <w:trPr>
          <w:trHeight w:val="230"/>
        </w:trPr>
        <w:tc>
          <w:tcPr>
            <w:tcW w:w="58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6" Type="http://schemas.openxmlformats.org/officeDocument/2006/relationships/hyperlink" Target="http://www.sec.gov/Archives/edgar/data/1377789/000137778917000022/avnwexhibit31amendedandres.htm" TargetMode="External"/><Relationship Id="rId57" Type="http://schemas.openxmlformats.org/officeDocument/2006/relationships/hyperlink" Target="http://www.sec.gov/Archives/edgar/data/1377789/000137778920000079/bylawupdate923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2021-05-05T15:22:21Z</dcterms:created>
  <dcterms:modified xsi:type="dcterms:W3CDTF">2021-05-05T15:22:21Z</dcterms:modified>
</cp:coreProperties>
</file>