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April 3, 2015</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448310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1480" w:type="dxa"/>
        <w:tblCellMar>
          <w:top w:w="0" w:type="dxa"/>
          <w:left w:w="0" w:type="dxa"/>
          <w:bottom w:w="0" w:type="dxa"/>
          <w:right w:w="0" w:type="dxa"/>
        </w:tblCellMar>
      </w:tblP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88"/>
              </w:rPr>
              <w:t>Delaware</w:t>
            </w:r>
          </w:p>
        </w:tc>
        <w:tc>
          <w:tcPr>
            <w:tcW w:w="1560" w:type="dxa"/>
            <w:vAlign w:val="bottom"/>
          </w:tcPr>
          <w:p>
            <w:pPr>
              <w:jc w:val="right"/>
              <w:ind w:right="72"/>
              <w:spacing w:after="0"/>
              <w:rPr>
                <w:sz w:val="20"/>
                <w:szCs w:val="20"/>
                <w:color w:val="auto"/>
              </w:rPr>
            </w:pPr>
            <w:r>
              <w:rPr>
                <w:rFonts w:ascii="Arial" w:cs="Arial" w:eastAsia="Arial" w:hAnsi="Arial"/>
                <w:sz w:val="20"/>
                <w:szCs w:val="20"/>
                <w:b w:val="1"/>
                <w:bCs w:val="1"/>
                <w:color w:val="auto"/>
              </w:rPr>
              <w:t>20-5961564</w:t>
            </w:r>
          </w:p>
        </w:tc>
      </w:tr>
      <w:tr>
        <w:trPr>
          <w:trHeight w:val="239"/>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incorporation or organization)</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Identification No.)</w:t>
            </w:r>
          </w:p>
        </w:tc>
      </w:tr>
      <w:tr>
        <w:trPr>
          <w:trHeight w:val="402"/>
        </w:trPr>
        <w:tc>
          <w:tcPr>
            <w:tcW w:w="6340" w:type="dxa"/>
            <w:vAlign w:val="bottom"/>
          </w:tcPr>
          <w:p>
            <w:pPr>
              <w:jc w:val="center"/>
              <w:ind w:right="3570"/>
              <w:spacing w:after="0"/>
              <w:rPr>
                <w:sz w:val="20"/>
                <w:szCs w:val="20"/>
                <w:color w:val="auto"/>
              </w:rPr>
            </w:pPr>
            <w:r>
              <w:rPr>
                <w:rFonts w:ascii="Arial" w:cs="Arial" w:eastAsia="Arial" w:hAnsi="Arial"/>
                <w:sz w:val="20"/>
                <w:szCs w:val="20"/>
                <w:b w:val="1"/>
                <w:bCs w:val="1"/>
                <w:color w:val="auto"/>
                <w:w w:val="92"/>
              </w:rPr>
              <w:t>5200 Great America Parkway</w:t>
            </w:r>
          </w:p>
        </w:tc>
        <w:tc>
          <w:tcPr>
            <w:tcW w:w="1560" w:type="dxa"/>
            <w:vAlign w:val="bottom"/>
          </w:tcPr>
          <w:p>
            <w:pPr>
              <w:spacing w:after="0"/>
              <w:rPr>
                <w:sz w:val="24"/>
                <w:szCs w:val="24"/>
                <w:color w:val="auto"/>
              </w:rPr>
            </w:pPr>
          </w:p>
        </w:tc>
      </w:t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92"/>
              </w:rPr>
              <w:t>Santa Clara, California</w:t>
            </w:r>
          </w:p>
        </w:tc>
        <w:tc>
          <w:tcPr>
            <w:tcW w:w="1560" w:type="dxa"/>
            <w:vAlign w:val="bottom"/>
          </w:tcPr>
          <w:p>
            <w:pPr>
              <w:jc w:val="right"/>
              <w:ind w:right="312"/>
              <w:spacing w:after="0"/>
              <w:rPr>
                <w:sz w:val="20"/>
                <w:szCs w:val="20"/>
                <w:color w:val="auto"/>
              </w:rPr>
            </w:pPr>
            <w:r>
              <w:rPr>
                <w:rFonts w:ascii="Arial" w:cs="Arial" w:eastAsia="Arial" w:hAnsi="Arial"/>
                <w:sz w:val="20"/>
                <w:szCs w:val="20"/>
                <w:b w:val="1"/>
                <w:bCs w:val="1"/>
                <w:color w:val="auto"/>
              </w:rPr>
              <w:t>95054</w:t>
            </w:r>
          </w:p>
        </w:tc>
      </w:tr>
      <w:tr>
        <w:trPr>
          <w:trHeight w:val="247"/>
        </w:trPr>
        <w:tc>
          <w:tcPr>
            <w:tcW w:w="6340" w:type="dxa"/>
            <w:vAlign w:val="bottom"/>
          </w:tcPr>
          <w:p>
            <w:pPr>
              <w:jc w:val="center"/>
              <w:ind w:right="357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6"/>
              </w:rPr>
              <w:t>(Zip Code)</w:t>
            </w:r>
          </w:p>
        </w:tc>
      </w:tr>
      <w:tr>
        <w:trPr>
          <w:trHeight w:val="357"/>
        </w:trPr>
        <w:tc>
          <w:tcPr>
            <w:tcW w:w="6340" w:type="dxa"/>
            <w:vAlign w:val="bottom"/>
          </w:tcPr>
          <w:p>
            <w:pPr>
              <w:jc w:val="right"/>
              <w:ind w:right="1390"/>
              <w:spacing w:after="0"/>
              <w:rPr>
                <w:sz w:val="20"/>
                <w:szCs w:val="20"/>
                <w:color w:val="auto"/>
              </w:rPr>
            </w:pPr>
            <w:r>
              <w:rPr>
                <w:rFonts w:ascii="Arial" w:cs="Arial" w:eastAsia="Arial" w:hAnsi="Arial"/>
                <w:sz w:val="20"/>
                <w:szCs w:val="20"/>
                <w:b w:val="1"/>
                <w:bCs w:val="1"/>
                <w:color w:val="auto"/>
              </w:rPr>
              <w:t>(408) 567-7000</w:t>
            </w:r>
          </w:p>
        </w:tc>
        <w:tc>
          <w:tcPr>
            <w:tcW w:w="1560" w:type="dxa"/>
            <w:vAlign w:val="bottom"/>
          </w:tcPr>
          <w:p>
            <w:pPr>
              <w:spacing w:after="0"/>
              <w:rPr>
                <w:sz w:val="24"/>
                <w:szCs w:val="24"/>
                <w:color w:val="auto"/>
              </w:rPr>
            </w:pPr>
          </w:p>
        </w:tc>
      </w:tr>
      <w:tr>
        <w:trPr>
          <w:trHeight w:val="210"/>
        </w:trPr>
        <w:tc>
          <w:tcPr>
            <w:tcW w:w="6340" w:type="dxa"/>
            <w:vAlign w:val="bottom"/>
          </w:tcPr>
          <w:p>
            <w:pPr>
              <w:jc w:val="center"/>
              <w:ind w:left="203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7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0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9"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spacing w:after="0" w:line="15" w:lineRule="exact"/>
        <w:rPr>
          <w:sz w:val="24"/>
          <w:szCs w:val="24"/>
          <w:color w:val="auto"/>
        </w:rPr>
      </w:pPr>
    </w:p>
    <w:p>
      <w:pPr>
        <w:ind w:right="204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May 6, 2015 was 62,411,592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rPr>
              <w:t>AVIAT NETWORKS, INC.</w:t>
            </w:r>
          </w:p>
        </w:tc>
        <w:tc>
          <w:tcPr>
            <w:tcW w:w="640" w:type="dxa"/>
            <w:vAlign w:val="bottom"/>
          </w:tcPr>
          <w:p>
            <w:pPr>
              <w:spacing w:after="0"/>
              <w:rPr>
                <w:sz w:val="20"/>
                <w:szCs w:val="20"/>
                <w:color w:val="auto"/>
              </w:rPr>
            </w:pPr>
          </w:p>
        </w:tc>
      </w:tr>
      <w:tr>
        <w:trPr>
          <w:trHeight w:val="297"/>
        </w:trPr>
        <w:tc>
          <w:tcPr>
            <w:tcW w:w="1034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For the Quarterly Period Ended April 3, 2015</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r>
      <w:tr>
        <w:trPr>
          <w:trHeight w:val="872"/>
        </w:trPr>
        <w:tc>
          <w:tcPr>
            <w:tcW w:w="10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50"/>
        </w:trPr>
        <w:tc>
          <w:tcPr>
            <w:tcW w:w="10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2">
              <w:r>
                <w:rPr>
                  <w:rFonts w:ascii="Arial" w:cs="Arial" w:eastAsia="Arial" w:hAnsi="Arial"/>
                  <w:sz w:val="18"/>
                  <w:szCs w:val="18"/>
                  <w:color w:val="auto"/>
                </w:rPr>
                <w:t>Item 1. Financial Statements</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10340" w:type="dxa"/>
            <w:vAlign w:val="bottom"/>
            <w:shd w:val="clear" w:color="auto" w:fill="CCEEFF"/>
          </w:tcPr>
          <w:p>
            <w:pPr>
              <w:ind w:left="380"/>
              <w:spacing w:after="0"/>
              <w:rPr>
                <w:rFonts w:ascii="Arial" w:cs="Arial" w:eastAsia="Arial" w:hAnsi="Arial"/>
                <w:sz w:val="18"/>
                <w:szCs w:val="18"/>
                <w:color w:val="auto"/>
                <w:w w:val="97"/>
              </w:rPr>
            </w:pPr>
            <w:hyperlink w:anchor="page3">
              <w:r>
                <w:rPr>
                  <w:rFonts w:ascii="Arial" w:cs="Arial" w:eastAsia="Arial" w:hAnsi="Arial"/>
                  <w:sz w:val="18"/>
                  <w:szCs w:val="18"/>
                  <w:color w:val="auto"/>
                  <w:w w:val="97"/>
                </w:rPr>
                <w:t>Condensed Consolidated Statements of Operations for the Quarter and Three Quarters Ended April 3, 2015 and March 28, 2014</w:t>
              </w:r>
            </w:hyperlink>
          </w:p>
        </w:tc>
        <w:tc>
          <w:tcPr>
            <w:tcW w:w="640" w:type="dxa"/>
            <w:vAlign w:val="bottom"/>
            <w:shd w:val="clear" w:color="auto" w:fill="CCEEFF"/>
          </w:tcPr>
          <w:p>
            <w:pPr>
              <w:spacing w:after="0"/>
              <w:rPr>
                <w:sz w:val="19"/>
                <w:szCs w:val="19"/>
                <w:color w:val="auto"/>
              </w:rPr>
            </w:pPr>
          </w:p>
        </w:tc>
      </w:tr>
      <w:tr>
        <w:trPr>
          <w:trHeight w:val="237"/>
        </w:trPr>
        <w:tc>
          <w:tcPr>
            <w:tcW w:w="10340" w:type="dxa"/>
            <w:vAlign w:val="bottom"/>
            <w:tcBorders>
              <w:bottom w:val="single" w:sz="8" w:color="CCEEFF"/>
            </w:tcBorders>
            <w:shd w:val="clear" w:color="auto" w:fill="CCEEFF"/>
          </w:tcPr>
          <w:p>
            <w:pPr>
              <w:ind w:left="620"/>
              <w:spacing w:after="0"/>
              <w:rPr>
                <w:rFonts w:ascii="Arial" w:cs="Arial" w:eastAsia="Arial" w:hAnsi="Arial"/>
                <w:sz w:val="18"/>
                <w:szCs w:val="18"/>
                <w:color w:val="auto"/>
              </w:rPr>
            </w:pPr>
            <w:hyperlink w:anchor="page3">
              <w:r>
                <w:rPr>
                  <w:rFonts w:ascii="Arial" w:cs="Arial" w:eastAsia="Arial" w:hAnsi="Arial"/>
                  <w:sz w:val="18"/>
                  <w:szCs w:val="18"/>
                  <w:color w:val="auto"/>
                </w:rPr>
                <w:t>(Unaudited)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29"/>
        </w:trPr>
        <w:tc>
          <w:tcPr>
            <w:tcW w:w="10340" w:type="dxa"/>
            <w:vAlign w:val="bottom"/>
          </w:tcPr>
          <w:p>
            <w:pPr>
              <w:ind w:left="380"/>
              <w:spacing w:after="0"/>
              <w:rPr>
                <w:rFonts w:ascii="Arial" w:cs="Arial" w:eastAsia="Arial" w:hAnsi="Arial"/>
                <w:sz w:val="18"/>
                <w:szCs w:val="18"/>
                <w:color w:val="auto"/>
                <w:w w:val="93"/>
              </w:rPr>
            </w:pPr>
            <w:hyperlink w:anchor="page3">
              <w:r>
                <w:rPr>
                  <w:rFonts w:ascii="Arial" w:cs="Arial" w:eastAsia="Arial" w:hAnsi="Arial"/>
                  <w:sz w:val="18"/>
                  <w:szCs w:val="18"/>
                  <w:color w:val="auto"/>
                  <w:w w:val="93"/>
                </w:rPr>
                <w:t>Condensed Consolidated Statements of Comprehensive Loss for the Quarter and Three Quarters Ended April 3, 2015 and March 28,</w:t>
              </w:r>
            </w:hyperlink>
          </w:p>
        </w:tc>
        <w:tc>
          <w:tcPr>
            <w:tcW w:w="640" w:type="dxa"/>
            <w:vAlign w:val="bottom"/>
          </w:tcPr>
          <w:p>
            <w:pPr>
              <w:spacing w:after="0"/>
              <w:rPr>
                <w:sz w:val="19"/>
                <w:szCs w:val="19"/>
                <w:color w:val="auto"/>
              </w:rPr>
            </w:pPr>
          </w:p>
        </w:tc>
      </w:tr>
      <w:tr>
        <w:trPr>
          <w:trHeight w:val="230"/>
        </w:trPr>
        <w:tc>
          <w:tcPr>
            <w:tcW w:w="10340" w:type="dxa"/>
            <w:vAlign w:val="bottom"/>
          </w:tcPr>
          <w:p>
            <w:pPr>
              <w:ind w:left="620"/>
              <w:spacing w:after="0"/>
              <w:rPr>
                <w:rFonts w:ascii="Arial" w:cs="Arial" w:eastAsia="Arial" w:hAnsi="Arial"/>
                <w:sz w:val="18"/>
                <w:szCs w:val="18"/>
                <w:color w:val="auto"/>
              </w:rPr>
            </w:pPr>
            <w:hyperlink w:anchor="page3">
              <w:r>
                <w:rPr>
                  <w:rFonts w:ascii="Arial" w:cs="Arial" w:eastAsia="Arial" w:hAnsi="Arial"/>
                  <w:sz w:val="18"/>
                  <w:szCs w:val="18"/>
                  <w:color w:val="auto"/>
                </w:rPr>
                <w:t>2014 (Unaudited)</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as of April 3, 2014 and June 27, 2014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43"/>
        </w:trPr>
        <w:tc>
          <w:tcPr>
            <w:tcW w:w="10340" w:type="dxa"/>
            <w:vAlign w:val="bottom"/>
          </w:tcPr>
          <w:p>
            <w:pPr>
              <w:ind w:left="380"/>
              <w:spacing w:after="0"/>
              <w:rPr>
                <w:rFonts w:ascii="Arial" w:cs="Arial" w:eastAsia="Arial" w:hAnsi="Arial"/>
                <w:sz w:val="18"/>
                <w:szCs w:val="18"/>
                <w:color w:val="auto"/>
                <w:w w:val="96"/>
              </w:rPr>
            </w:pPr>
            <w:hyperlink w:anchor="page5">
              <w:r>
                <w:rPr>
                  <w:rFonts w:ascii="Arial" w:cs="Arial" w:eastAsia="Arial" w:hAnsi="Arial"/>
                  <w:sz w:val="18"/>
                  <w:szCs w:val="18"/>
                  <w:color w:val="auto"/>
                  <w:w w:val="96"/>
                </w:rPr>
                <w:t>Condensed Consolidated Statements of Cash Flows for the Three Quarters Ended April 3, 2015 and March 28, 2014 (Unaudited)</w:t>
              </w:r>
            </w:hyperlink>
          </w:p>
        </w:tc>
        <w:tc>
          <w:tcPr>
            <w:tcW w:w="6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0">
              <w:r>
                <w:rPr>
                  <w:rFonts w:ascii="Arial" w:cs="Arial" w:eastAsia="Arial" w:hAnsi="Arial"/>
                  <w:sz w:val="18"/>
                  <w:szCs w:val="18"/>
                  <w:color w:val="auto"/>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4. Controls and Procedures</w:t>
              </w:r>
            </w:hyperlink>
          </w:p>
        </w:tc>
        <w:tc>
          <w:tcPr>
            <w:tcW w:w="6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Part II. Other Information</w:t>
              </w:r>
            </w:hyperlink>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1. Legal Proceedings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2. 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4. Mine Safety Disclosures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6. Exhibits</w:t>
              </w:r>
            </w:hyperlink>
          </w:p>
        </w:tc>
        <w:tc>
          <w:tcPr>
            <w:tcW w:w="6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43"/>
        </w:trPr>
        <w:tc>
          <w:tcPr>
            <w:tcW w:w="10340" w:type="dxa"/>
            <w:vAlign w:val="bottom"/>
          </w:tcPr>
          <w:p>
            <w:pPr>
              <w:ind w:left="40"/>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Exhibit Index</w:t>
              </w:r>
            </w:hyperlink>
          </w:p>
        </w:tc>
        <w:tc>
          <w:tcPr>
            <w:tcW w:w="6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702"/>
        </w:trPr>
        <w:tc>
          <w:tcPr>
            <w:tcW w:w="10340" w:type="dxa"/>
            <w:vAlign w:val="bottom"/>
          </w:tcPr>
          <w:p>
            <w:pPr>
              <w:jc w:val="center"/>
              <w:ind w:left="55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80" w:right="4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and diluted income (loss) per common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Change in unrealized gain (loss) on cash flow hedges</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Reclassification adjustment for realized net gain or loss on cash flow</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hedges included in net loss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change in unrealized gain (loss) on cash flow hedges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Restructuring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12)</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Charges for inventory and customer service inventory write-downs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Gain on disposition of the WiMAX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of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short-term debt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on capital leases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under employee stock plans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and three quarters ended April 3, 2015 (the “third quarter and first three quarters of fiscal 2015”)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27, 2014.</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two quarters of fiscal 2015 and the first three quarters of fiscal 2014 included 13 weeks in each quarter. The third quarter of fiscal 2015 included 14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Previously Issued Condensed Consolidated Interim Financial Statements</w:t>
      </w:r>
    </w:p>
    <w:p>
      <w:pPr>
        <w:spacing w:after="0" w:line="17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Company identified a misstatement in its condensed consolidated statement of operations for the second quarter of fiscal 2015 ended December 26, 2014 with respect to the recognition of certain revenue and cost of revenue prior to obtaining final evidence of the arrangement. This revision had no impact on operating cash flows for the two quarters ended December 26, 2014. The Company has assessed this misstatement on the financial statements and determined that, on both a qualitative and quantitative basis, the adjustment is immaterial to the condensed consolidated interim financial statements. Thus, the Company will not amend its previously filed second quarterly report on Form 10-Q and will adjust the financial statements on a prospective basis.</w:t>
      </w:r>
    </w:p>
    <w:p>
      <w:pPr>
        <w:spacing w:after="0" w:line="10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the effect of this correction on the previously filed condensed consolidated statements of operations for the quarter and two quarters ended December 26, 2014, which will be revised in future filings for comparative purposes only: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Quarter Ended December 26, 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532"/>
              <w:spacing w:after="0"/>
              <w:rPr>
                <w:sz w:val="20"/>
                <w:szCs w:val="20"/>
                <w:color w:val="auto"/>
              </w:rPr>
            </w:pPr>
            <w:r>
              <w:rPr>
                <w:rFonts w:ascii="Arial" w:cs="Arial" w:eastAsia="Arial" w:hAnsi="Arial"/>
                <w:sz w:val="14"/>
                <w:szCs w:val="14"/>
                <w:b w:val="1"/>
                <w:bCs w:val="1"/>
                <w:color w:val="auto"/>
              </w:rPr>
              <w:t>Two Quarters Ended December 26, 2014</w:t>
            </w: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3"/>
                <w:szCs w:val="13"/>
                <w:color w:val="auto"/>
              </w:rPr>
            </w:pP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 from product sales</w:t>
            </w:r>
          </w:p>
        </w:tc>
        <w:tc>
          <w:tcPr>
            <w:tcW w:w="1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Cost of product sales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three quarters of fiscal 2015, as compared to the significant accounting policies described in our Annual Report on Form 10-K for the fiscal year ended June 27,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July 2013, the Financial Accounting Standards Board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We adopted this new guidance in the first quarter of fiscal 2015 and the adoption of this standard did not have an effect on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No. 2014-09”), which requires an entity to recognize the amount of revenue to which it expects to be entitled for the transfer of promised goods or services to customers. The new standard is effective for us beginning in our fiscal year 2018. Early application is not permitted. In April 2015, the FASB proposed a one-year delay in the effective date of ASU No. 2014-09 to 2018. Under this proposal, early adoption will be allowed, but not earlier than the original effective date. The principles may be applied retrospectively to each prior period presented or retrospectively with the cumulative effect recognized as of the date of initial application. We are currently evaluating the adoption method and the effect that ASU 2014-09 will have on our consolidated financial statements and related disclosures.</w:t>
      </w:r>
    </w:p>
    <w:p>
      <w:pPr>
        <w:spacing w:after="0" w:line="11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August 2014, FASB issued a new standard on the disclosure of uncertainties about an entity’s ability to continue as a going concern. The guidance seeks to define management’s responsibility to decide whether there is substantial doubt about an organization’s ability to continue as a going concern and to provide related footnote disclosures. This standard is effective for annual reporting periods beginning after December 15, 2016, including interim periods during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68" w:right="23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the annual period. Early application is permitted. We are currently evaluating the effect of the adoption of the standard will have on our consolidated financial statements and related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components of our accumulated other comprehensive loss during the first three quarters of fiscal 2015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Gains (Losses)</w:t>
            </w: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on</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Cash Flow</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Loss</w:t>
            </w: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reclassified from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April 3, 2015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During the first three quarters of fiscal 2015, the amount reclassified out of our accumulated other comprehensive loss of $0.4 million for realized gains on cash flow hedges were included within revenues for which the hedged transactions related in the condensed consolidated statements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 diluted net loss per share calculations: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620" w:type="dxa"/>
            <w:vAlign w:val="bottom"/>
          </w:tcPr>
          <w:p>
            <w:pPr>
              <w:spacing w:after="0"/>
              <w:rPr>
                <w:sz w:val="13"/>
                <w:szCs w:val="13"/>
                <w:color w:val="auto"/>
              </w:rPr>
            </w:pPr>
          </w:p>
        </w:tc>
        <w:tc>
          <w:tcPr>
            <w:tcW w:w="94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9"/>
              </w:rPr>
              <w:t>March 28,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w:t>
            </w:r>
          </w:p>
        </w:tc>
        <w:tc>
          <w:tcPr>
            <w:tcW w:w="136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6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5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440" w:type="dxa"/>
            <w:vAlign w:val="bottom"/>
          </w:tcPr>
          <w:p>
            <w:pPr>
              <w:jc w:val="right"/>
              <w:ind w:right="5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0.5</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6560" w:type="dxa"/>
            <w:vAlign w:val="bottom"/>
            <w:gridSpan w:val="2"/>
          </w:tcPr>
          <w:p>
            <w:pPr>
              <w:jc w:val="right"/>
              <w:ind w:right="728"/>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receivables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w w:val="96"/>
              </w:rPr>
              <w:t>June 27,</w:t>
            </w:r>
          </w:p>
        </w:tc>
      </w:tr>
      <w:tr>
        <w:trPr>
          <w:trHeight w:val="192"/>
        </w:trPr>
        <w:tc>
          <w:tcPr>
            <w:tcW w:w="8580" w:type="dxa"/>
            <w:vAlign w:val="bottom"/>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regularly require letters of credit from certain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616"/>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6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338"/>
              <w:spacing w:after="0" w:line="153" w:lineRule="exact"/>
              <w:rPr>
                <w:sz w:val="20"/>
                <w:szCs w:val="20"/>
                <w:color w:val="auto"/>
              </w:rPr>
            </w:pPr>
            <w:r>
              <w:rPr>
                <w:rFonts w:ascii="Arial" w:cs="Arial" w:eastAsia="Arial" w:hAnsi="Arial"/>
                <w:sz w:val="14"/>
                <w:szCs w:val="14"/>
                <w:b w:val="1"/>
                <w:bCs w:val="1"/>
                <w:color w:val="auto"/>
                <w:w w:val="96"/>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9"/>
              </w:rPr>
              <w:t>March 28,</w:t>
            </w: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358"/>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8"/>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486"/>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562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5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318"/>
              <w:spacing w:after="0"/>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center"/>
              <w:ind w:right="296"/>
              <w:spacing w:after="0"/>
              <w:rPr>
                <w:sz w:val="20"/>
                <w:szCs w:val="20"/>
                <w:color w:val="auto"/>
              </w:rPr>
            </w:pPr>
            <w:r>
              <w:rPr>
                <w:rFonts w:ascii="Arial" w:cs="Arial" w:eastAsia="Arial" w:hAnsi="Arial"/>
                <w:sz w:val="14"/>
                <w:szCs w:val="14"/>
                <w:b w:val="1"/>
                <w:bCs w:val="1"/>
                <w:color w:val="auto"/>
                <w:w w:val="92"/>
              </w:rPr>
              <w:t>June 27,</w:t>
            </w:r>
          </w:p>
        </w:tc>
      </w:tr>
      <w:tr>
        <w:trPr>
          <w:trHeight w:val="192"/>
        </w:trPr>
        <w:tc>
          <w:tcPr>
            <w:tcW w:w="5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ind w:left="358"/>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r>
      <w:tr>
        <w:trPr>
          <w:trHeight w:val="237"/>
        </w:trPr>
        <w:tc>
          <w:tcPr>
            <w:tcW w:w="5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1"/>
              </w:rPr>
              <w:t>38.5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38.1</w:t>
            </w:r>
          </w:p>
        </w:tc>
      </w:tr>
      <w:tr>
        <w:trPr>
          <w:trHeight w:val="67"/>
        </w:trPr>
        <w:tc>
          <w:tcPr>
            <w:tcW w:w="56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or customer insolvency. During the first three quarters of fiscal 2015 and 2014, such charges incurred were classified in cost of product sales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40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3"/>
                <w:szCs w:val="13"/>
                <w:color w:val="auto"/>
              </w:rPr>
            </w:pPr>
          </w:p>
        </w:tc>
        <w:tc>
          <w:tcPr>
            <w:tcW w:w="11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5400" w:type="dxa"/>
            <w:vAlign w:val="bottom"/>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r>
      <w:tr>
        <w:trPr>
          <w:trHeight w:val="250"/>
        </w:trPr>
        <w:tc>
          <w:tcPr>
            <w:tcW w:w="5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and deferred cost of sales charges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96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ind w:left="7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2.7</w:t>
            </w:r>
          </w:p>
        </w:tc>
      </w:tr>
      <w:tr>
        <w:trPr>
          <w:trHeight w:val="27"/>
        </w:trPr>
        <w:tc>
          <w:tcPr>
            <w:tcW w:w="5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96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7"/>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8"/>
                <w:szCs w:val="18"/>
                <w:color w:val="auto"/>
                <w:w w:val="97"/>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1.7%</w:t>
            </w:r>
          </w:p>
        </w:tc>
      </w:tr>
      <w:tr>
        <w:trPr>
          <w:trHeight w:val="486"/>
        </w:trPr>
        <w:tc>
          <w:tcPr>
            <w:tcW w:w="5400" w:type="dxa"/>
            <w:vAlign w:val="bottom"/>
          </w:tcPr>
          <w:p>
            <w:pPr>
              <w:spacing w:after="0"/>
              <w:rPr>
                <w:sz w:val="24"/>
                <w:szCs w:val="24"/>
                <w:color w:val="auto"/>
              </w:rPr>
            </w:pP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net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360" w:type="dxa"/>
            <w:vAlign w:val="bottom"/>
          </w:tcPr>
          <w:p>
            <w:pPr>
              <w:spacing w:after="0"/>
              <w:rPr>
                <w:sz w:val="14"/>
                <w:szCs w:val="14"/>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June 27,</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47.1</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620" w:type="dxa"/>
            <w:vAlign w:val="bottom"/>
          </w:tcPr>
          <w:p>
            <w:pPr>
              <w:spacing w:after="0"/>
              <w:rPr>
                <w:sz w:val="13"/>
                <w:szCs w:val="13"/>
                <w:color w:val="auto"/>
              </w:rPr>
            </w:pPr>
          </w:p>
        </w:tc>
        <w:tc>
          <w:tcPr>
            <w:tcW w:w="94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6"/>
              </w:rPr>
              <w:t>April 3,</w:t>
            </w:r>
          </w:p>
        </w:tc>
        <w:tc>
          <w:tcPr>
            <w:tcW w:w="460" w:type="dxa"/>
            <w:vAlign w:val="bottom"/>
          </w:tcPr>
          <w:p>
            <w:pPr>
              <w:spacing w:after="0"/>
              <w:rPr>
                <w:sz w:val="13"/>
                <w:szCs w:val="13"/>
                <w:color w:val="auto"/>
              </w:rPr>
            </w:pPr>
          </w:p>
        </w:tc>
        <w:tc>
          <w:tcPr>
            <w:tcW w:w="1100" w:type="dxa"/>
            <w:vAlign w:val="bottom"/>
          </w:tcPr>
          <w:p>
            <w:pPr>
              <w:jc w:val="center"/>
              <w:ind w:left="342"/>
              <w:spacing w:after="0" w:line="153" w:lineRule="exact"/>
              <w:rPr>
                <w:sz w:val="20"/>
                <w:szCs w:val="20"/>
                <w:color w:val="auto"/>
              </w:rPr>
            </w:pPr>
            <w:r>
              <w:rPr>
                <w:rFonts w:ascii="Arial" w:cs="Arial" w:eastAsia="Arial" w:hAnsi="Arial"/>
                <w:sz w:val="14"/>
                <w:szCs w:val="14"/>
                <w:b w:val="1"/>
                <w:bCs w:val="1"/>
                <w:color w:val="auto"/>
                <w:w w:val="99"/>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6"/>
              </w:rPr>
              <w:t>April 3,</w:t>
            </w:r>
          </w:p>
        </w:tc>
        <w:tc>
          <w:tcPr>
            <w:tcW w:w="320" w:type="dxa"/>
            <w:vAlign w:val="bottom"/>
          </w:tcPr>
          <w:p>
            <w:pPr>
              <w:spacing w:after="0"/>
              <w:rPr>
                <w:sz w:val="13"/>
                <w:szCs w:val="13"/>
                <w:color w:val="auto"/>
              </w:rPr>
            </w:pPr>
          </w:p>
        </w:tc>
        <w:tc>
          <w:tcPr>
            <w:tcW w:w="11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9"/>
              </w:rPr>
              <w:t>March 28,</w:t>
            </w: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We accrue for the estimated cost to repair or replace products under warranty at the time of sale. Changes in our warranty liability, which are included as a component of other accrued expenses in the condensed consolidated balance sheets, during the first three quarters of fiscal 2015 and 2014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85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w w:val="95"/>
              </w:rPr>
              <w:t>March 28,</w:t>
            </w:r>
          </w:p>
        </w:tc>
      </w:tr>
      <w:tr>
        <w:trPr>
          <w:trHeight w:val="192"/>
        </w:trPr>
        <w:tc>
          <w:tcPr>
            <w:tcW w:w="8580" w:type="dxa"/>
            <w:vAlign w:val="bottom"/>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94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3.9</w:t>
            </w:r>
          </w:p>
        </w:tc>
      </w:tr>
      <w:tr>
        <w:trPr>
          <w:trHeight w:val="27"/>
        </w:trPr>
        <w:tc>
          <w:tcPr>
            <w:tcW w:w="8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940" w:type="dxa"/>
            <w:vAlign w:val="bottom"/>
            <w:tcBorders>
              <w:top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w:t>
            </w:r>
          </w:p>
        </w:tc>
      </w:tr>
      <w:tr>
        <w:trPr>
          <w:trHeight w:val="27"/>
        </w:trPr>
        <w:tc>
          <w:tcPr>
            <w:tcW w:w="8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April 3, 2015 and June 27, 2014 were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27, 2014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1"/>
              </w:rPr>
              <w:t>10.8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6"/>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bl>
    <w:p>
      <w:pPr>
        <w:spacing w:after="0" w:line="229"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April 3, 2015 and June 27, 2014, these money market shares were valued at $1.00 net asset value per share by these financial institutions.</w:t>
      </w:r>
    </w:p>
    <w:p>
      <w:pPr>
        <w:spacing w:after="0" w:line="127"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April 3, 2015 and June 27, 2014. We did not have any recurring assets whose fair value was measured using significant unobservable inputs.</w:t>
      </w:r>
    </w:p>
    <w:p>
      <w:pPr>
        <w:spacing w:after="0" w:line="13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quarters of fiscal 2015 and 2014, we had no transfers between levels of the fair value hierarchy of our assets or liabilities measured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(as amended, the “SVB Credit Facility”). The SVB Credit Facility was amended on September 25, 2014, October 30, 2014 and December 2, 2014 to provide for extensions to the deadline for preparing and filing our fiscal 2014 financial statements with the Securities and Exchange Commission (the “SEC”). On February 27, 2015, the SVB Credit Facility was further amended to provide for certain amendments to the financial covenants, borrowing base and an early termination fee if the SVB Credit Facility is terminated prior to its expiration. This agreement amends and restates our existing First Amended and Restated Loan and Security Agreement, which was entered into on September 27, 2013 and amended providing for certain amendments to the maximum borrowing limit and financial covenants. Our outstanding debt balance under the SVB Credit Facility was $9.0 million and $6.0 million as of April 3, 2015 and June 27, 2014.</w:t>
      </w:r>
    </w:p>
    <w:p>
      <w:pPr>
        <w:spacing w:after="0" w:line="11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April 3, 2015, available credit under the SVB Credit Facility was $15.1 million reflecting the calculated borrowing base of $29.2 million less existing borrowings of $9.0 million and outstanding letters of credit of $5.1 million.</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three quarters of fiscal year 2015, the weighted average interest rate on our outstanding loan was 3.75%.</w:t>
      </w:r>
    </w:p>
    <w:p>
      <w:pPr>
        <w:spacing w:after="0" w:line="13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2" w:name="page13"/>
    <w:bookmarkEnd w:id="12"/>
    <w:p>
      <w:pPr>
        <w:ind w:right="40"/>
        <w:spacing w:after="0" w:line="257" w:lineRule="auto"/>
        <w:rPr>
          <w:sz w:val="20"/>
          <w:szCs w:val="20"/>
          <w:color w:val="auto"/>
        </w:rPr>
      </w:pPr>
      <w:r>
        <w:rPr>
          <w:rFonts w:ascii="Arial" w:cs="Arial" w:eastAsia="Arial" w:hAnsi="Arial"/>
          <w:sz w:val="18"/>
          <w:szCs w:val="18"/>
          <w:color w:val="auto"/>
        </w:rPr>
        <w:t>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April 3, 2015, we were in compliance with the quarterly financial covenants contained in the SVB Credit Facility. However, as a result of uncertainty on our ability to meet the financial covenants in future and the fact that the SVB Credit Facility contains subjective acceleration clauses that could be triggered by the lender, the $9.0 million borrowing was classified as a current liability as of April 3,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2015-2016 Plan</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new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3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of fiscal 2015, estimated additional costs to be incurred and estimated total costs expected to be incurred as of April 3, 2015 under the Fiscal 2015-2016 Plan: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Costs Incurred</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Incurred During</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During Quarter Ended</w:t>
            </w: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Three Quarters Ended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Through</w:t>
            </w: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6"/>
              </w:rPr>
              <w:t>Costs to be</w:t>
            </w:r>
          </w:p>
        </w:tc>
        <w:tc>
          <w:tcPr>
            <w:tcW w:w="140" w:type="dxa"/>
            <w:vAlign w:val="bottom"/>
          </w:tcPr>
          <w:p>
            <w:pPr>
              <w:spacing w:after="0"/>
              <w:rPr>
                <w:sz w:val="4"/>
                <w:szCs w:val="4"/>
                <w:color w:val="auto"/>
              </w:rPr>
            </w:pPr>
          </w:p>
        </w:tc>
        <w:tc>
          <w:tcPr>
            <w:tcW w:w="1340" w:type="dxa"/>
            <w:vAlign w:val="bottom"/>
            <w:vMerge w:val="restart"/>
          </w:tcPr>
          <w:p>
            <w:pPr>
              <w:jc w:val="center"/>
              <w:ind w:right="39"/>
              <w:spacing w:after="0" w:line="13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April 3, 2015</w:t>
            </w:r>
          </w:p>
        </w:tc>
        <w:tc>
          <w:tcPr>
            <w:tcW w:w="220" w:type="dxa"/>
            <w:vAlign w:val="bottom"/>
          </w:tcPr>
          <w:p>
            <w:pPr>
              <w:spacing w:after="0"/>
              <w:rPr>
                <w:sz w:val="5"/>
                <w:szCs w:val="5"/>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April 3, 2015</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April 3, 2015</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12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2015-2016 Plan</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the third quarter of fiscal 2015, we recorded $2.5 million in severance and related benefits costs and $0.6 million for a Slovenia government fund penalty charge related to the workforce reduction. We intend to substantially complete the remaining restructuring activities under the Fiscal 2015-2016 Plan by the first half of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9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and first three quarters of fiscal 2015 and 2014, estimated additional costs to be incurred and estimated total costs expected to be incurred as of April 3, 2015 under the Fiscal 2014-2015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14"/>
                <w:szCs w:val="14"/>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Costs Incurred During</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1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80" w:type="dxa"/>
            <w:vAlign w:val="bottom"/>
            <w:gridSpan w:val="4"/>
            <w:vMerge w:val="restart"/>
          </w:tcPr>
          <w:p>
            <w:pPr>
              <w:jc w:val="right"/>
              <w:ind w:right="177"/>
              <w:spacing w:after="0"/>
              <w:rPr>
                <w:sz w:val="20"/>
                <w:szCs w:val="20"/>
                <w:color w:val="auto"/>
              </w:rPr>
            </w:pPr>
            <w:r>
              <w:rPr>
                <w:rFonts w:ascii="Arial" w:cs="Arial" w:eastAsia="Arial" w:hAnsi="Arial"/>
                <w:sz w:val="14"/>
                <w:szCs w:val="14"/>
                <w:b w:val="1"/>
                <w:bCs w:val="1"/>
                <w:color w:val="auto"/>
              </w:rPr>
              <w:t>During Quarter Ended</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w w:val="99"/>
              </w:rPr>
              <w:t>Three Quarters Ended</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0"/>
                <w:szCs w:val="10"/>
                <w:color w:val="auto"/>
              </w:rPr>
            </w:pPr>
          </w:p>
        </w:tc>
        <w:tc>
          <w:tcPr>
            <w:tcW w:w="9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120" w:type="dxa"/>
            <w:vAlign w:val="bottom"/>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April 3, 2015</w:t>
            </w:r>
          </w:p>
        </w:tc>
        <w:tc>
          <w:tcPr>
            <w:tcW w:w="14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Through</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3"/>
                <w:szCs w:val="13"/>
                <w:color w:val="auto"/>
              </w:rPr>
            </w:pPr>
          </w:p>
        </w:tc>
        <w:tc>
          <w:tcPr>
            <w:tcW w:w="112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April 3, 2015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00" w:type="dxa"/>
            <w:vAlign w:val="bottom"/>
          </w:tcPr>
          <w:p>
            <w:pPr>
              <w:spacing w:after="0"/>
              <w:rPr>
                <w:sz w:val="21"/>
                <w:szCs w:val="21"/>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2014-2015 Plan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2014-2015 Plan as of April 3, 2015. The remaining additional costs to be incurred under the Fiscal 2014-2015 Plan primarily included our facility charges related to the cease-to-use space at our Santa Clara, California headquarters through the remaining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12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third quarter and first three quarters of fiscal 2015 and 2014, estimated additional costs to be incurred and estimated total costs expected to be incurred as of April 3, 2015 under the Fiscal 2013-2014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Costs Incurred During</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1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80" w:type="dxa"/>
            <w:vAlign w:val="bottom"/>
            <w:gridSpan w:val="4"/>
            <w:vMerge w:val="restart"/>
          </w:tcPr>
          <w:p>
            <w:pPr>
              <w:jc w:val="right"/>
              <w:ind w:right="177"/>
              <w:spacing w:after="0"/>
              <w:rPr>
                <w:sz w:val="20"/>
                <w:szCs w:val="20"/>
                <w:color w:val="auto"/>
              </w:rPr>
            </w:pPr>
            <w:r>
              <w:rPr>
                <w:rFonts w:ascii="Arial" w:cs="Arial" w:eastAsia="Arial" w:hAnsi="Arial"/>
                <w:sz w:val="14"/>
                <w:szCs w:val="14"/>
                <w:b w:val="1"/>
                <w:bCs w:val="1"/>
                <w:color w:val="auto"/>
              </w:rPr>
              <w:t>During Quarter Ended</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0"/>
                <w:szCs w:val="10"/>
                <w:color w:val="auto"/>
              </w:rPr>
            </w:pPr>
          </w:p>
        </w:tc>
        <w:tc>
          <w:tcPr>
            <w:tcW w:w="9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120" w:type="dxa"/>
            <w:vAlign w:val="bottom"/>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April 3, 2015</w:t>
            </w:r>
          </w:p>
        </w:tc>
        <w:tc>
          <w:tcPr>
            <w:tcW w:w="140" w:type="dxa"/>
            <w:vAlign w:val="bottom"/>
          </w:tcPr>
          <w:p>
            <w:pPr>
              <w:spacing w:after="0"/>
              <w:rPr>
                <w:sz w:val="13"/>
                <w:szCs w:val="13"/>
                <w:color w:val="auto"/>
              </w:rPr>
            </w:pPr>
          </w:p>
        </w:tc>
        <w:tc>
          <w:tcPr>
            <w:tcW w:w="8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Through</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3"/>
                <w:szCs w:val="13"/>
                <w:color w:val="auto"/>
              </w:rPr>
            </w:pPr>
          </w:p>
        </w:tc>
        <w:tc>
          <w:tcPr>
            <w:tcW w:w="112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April 3, 2015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2013-2014 Plan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2013-2014 Plan as of April 3, 2015. The remaining additional costs to be incurred under the Fiscal 2013-2014 Plan primarily included our facility charges related to the cease-to-use space at our Santa Clara, California headquarters through the remaining lease term.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restructuring liabilities consisted primarily of accrued severance and benefits as well as facilities restructuring reserves primarily related to our office leases in California. The fair value of the facilities restructuring liability was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included anticipated timing of sublease rentals and estimates of sublease rental receipts and related costs based on market conditions. To the extent there are material differences between these estimates or assumptions and actual results, our restructuring liabilities and restructuring charges would be significantly affected.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in the following table summarizes the changes in our restructuring liabilities during the first three quarters of fiscal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27,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April 3,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April 3, 2015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April 3, 2015</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received $0.1 million in total of such contingent payments through June 27, 2014, and do not expect any further payments from EION. In addition, EION is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w:t>
      </w:r>
    </w:p>
    <w:p>
      <w:pPr>
        <w:spacing w:after="0" w:line="1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three quarters of fiscal 2015 primarily related to a write-off of accrued liabilities due to EION.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940" w:type="dxa"/>
            <w:vAlign w:val="bottom"/>
          </w:tcPr>
          <w:p>
            <w:pPr>
              <w:ind w:left="440"/>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13"/>
                <w:szCs w:val="13"/>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March 28, 2014</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 related to WiMAX</w:t>
            </w: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6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of April 3, 2015,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four vesting schedules: (1) 25% one year from the grant date and 1/48 each month thereafter over the remaining three-year period; (2) 50% one year from the grant date and 25% each year thereafter over a three-year period from the date of grant; (3) one-third annually over a three-year period from the date of grant; or (4) 25% annually over a four-year period from date of grant. Stock options are issued to directors annually and generally vest on the day before the annual stockholders’ meeting.</w:t>
      </w:r>
    </w:p>
    <w:p>
      <w:pPr>
        <w:spacing w:after="0" w:line="13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on the day before the annual stockholders’ meeting.</w:t>
      </w:r>
    </w:p>
    <w:p>
      <w:pPr>
        <w:spacing w:after="0" w:line="93"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first three quarters of fiscal 2015, we granted options to purchase 1,378,501 shares of our common stock to employees under our 2007 Stock Plan. During the first three quarters of fiscal 2015, we awarded 803,210 performance units and 969,153 restricted stock units associated primarily with our fiscal 2015 AIP and LTIP under the 2007 Stock Plan.</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967,609 as of April 3,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90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third quarter and first three quarters of fiscal 2015 and 2014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gridSpan w:val="4"/>
            <w:vMerge w:val="continue"/>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2"/>
        </w:trPr>
        <w:tc>
          <w:tcPr>
            <w:tcW w:w="5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94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4"/>
            <w:vMerge w:val="continue"/>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94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April 3, 2015, there was $4.6 million of total unrecognized compensation expense related to nonvested share-based awards granted under our 2007 Stock Plan. This expense is expected to be recognized over a weighted average period of 1.84 years.</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440" w:type="dxa"/>
            <w:vAlign w:val="bottom"/>
          </w:tcPr>
          <w:p>
            <w:pPr>
              <w:spacing w:after="0"/>
              <w:rPr>
                <w:sz w:val="13"/>
                <w:szCs w:val="13"/>
                <w:color w:val="auto"/>
              </w:rPr>
            </w:pPr>
          </w:p>
        </w:tc>
        <w:tc>
          <w:tcPr>
            <w:tcW w:w="15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April 3,</w:t>
            </w:r>
          </w:p>
        </w:tc>
        <w:tc>
          <w:tcPr>
            <w:tcW w:w="15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March 28,</w:t>
            </w: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April 3,</w:t>
            </w:r>
          </w:p>
        </w:tc>
        <w:tc>
          <w:tcPr>
            <w:tcW w:w="142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5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4.40</w:t>
            </w:r>
          </w:p>
        </w:tc>
      </w:tr>
      <w:tr>
        <w:trPr>
          <w:trHeight w:val="27"/>
        </w:trPr>
        <w:tc>
          <w:tcPr>
            <w:tcW w:w="5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third quarter and first three quarters of fiscal 2015 and 2014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Quarters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2014</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28, 2014</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84.7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42.9</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260.6</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third quarter and first three quarters of fiscal 2015 and 2014, we had one international customer in Africa (Mobile Telephone Networks Group or “MTN Group”) that accounted for more than 10% of our total revenue. MTN Group also accounted for more than 10% of our accounts receivable at April 3, 2015 and June 27,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accrued tax expenses for foreign jurisdictions that are anticipated to be profitable for fiscal 2015.</w:t>
      </w:r>
    </w:p>
    <w:p>
      <w:pPr>
        <w:spacing w:after="0" w:line="12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determination of our provision for the first three quarters of fiscal 2015 and 2014 was based on our estimated annual effective tax rate adjusted for losses in certain jurisdictions for which no tax benefit can be recognized. The tax expense for the first three quarters of fiscal 2015 was primarily attributable to tax expense related to profitable foreign subsidiaries.</w:t>
      </w:r>
    </w:p>
    <w:p>
      <w:pPr>
        <w:spacing w:after="0" w:line="12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we accrued for was not material for the third quarter and first three quarters of fiscal 2015 and fiscal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Beginning in the first quarter of fiscal 2015, approximately three-fourths of our Santa Clara headquarters building was vacated and made available for sublease. As of April 3, 2015, future minimum lease payments for our headquarters totaled $13.3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100" w:firstLine="432"/>
        <w:spacing w:after="0" w:line="277" w:lineRule="auto"/>
        <w:rPr>
          <w:sz w:val="20"/>
          <w:szCs w:val="20"/>
          <w:color w:val="auto"/>
        </w:rPr>
      </w:pPr>
      <w:r>
        <w:rPr>
          <w:rFonts w:ascii="Arial" w:cs="Arial" w:eastAsia="Arial" w:hAnsi="Arial"/>
          <w:sz w:val="18"/>
          <w:szCs w:val="18"/>
          <w:color w:val="auto"/>
        </w:rPr>
        <w:t>As of April 3, 2015, our future minimum lease payments under all non-cancelable operating leases with an initial lease term in excess of one year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(one quarter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were $0.1 million as of April 3,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Quarters Ended</w:t>
            </w:r>
          </w:p>
        </w:tc>
      </w:tr>
      <w:tr>
        <w:trPr>
          <w:trHeight w:val="152"/>
        </w:trPr>
        <w:tc>
          <w:tcPr>
            <w:tcW w:w="5620" w:type="dxa"/>
            <w:vAlign w:val="bottom"/>
          </w:tcPr>
          <w:p>
            <w:pPr>
              <w:spacing w:after="0"/>
              <w:rPr>
                <w:sz w:val="13"/>
                <w:szCs w:val="13"/>
                <w:color w:val="auto"/>
              </w:rPr>
            </w:pPr>
          </w:p>
        </w:tc>
        <w:tc>
          <w:tcPr>
            <w:tcW w:w="94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6"/>
              </w:rPr>
              <w:t>April 3,</w:t>
            </w:r>
          </w:p>
        </w:tc>
        <w:tc>
          <w:tcPr>
            <w:tcW w:w="460" w:type="dxa"/>
            <w:vAlign w:val="bottom"/>
          </w:tcPr>
          <w:p>
            <w:pPr>
              <w:spacing w:after="0"/>
              <w:rPr>
                <w:sz w:val="13"/>
                <w:szCs w:val="13"/>
                <w:color w:val="auto"/>
              </w:rPr>
            </w:pPr>
          </w:p>
        </w:tc>
        <w:tc>
          <w:tcPr>
            <w:tcW w:w="1100" w:type="dxa"/>
            <w:vAlign w:val="bottom"/>
          </w:tcPr>
          <w:p>
            <w:pPr>
              <w:jc w:val="center"/>
              <w:ind w:left="342"/>
              <w:spacing w:after="0" w:line="153" w:lineRule="exact"/>
              <w:rPr>
                <w:sz w:val="20"/>
                <w:szCs w:val="20"/>
                <w:color w:val="auto"/>
              </w:rPr>
            </w:pPr>
            <w:r>
              <w:rPr>
                <w:rFonts w:ascii="Arial" w:cs="Arial" w:eastAsia="Arial" w:hAnsi="Arial"/>
                <w:sz w:val="14"/>
                <w:szCs w:val="14"/>
                <w:b w:val="1"/>
                <w:bCs w:val="1"/>
                <w:color w:val="auto"/>
                <w:w w:val="99"/>
              </w:rPr>
              <w:t>March 28,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6"/>
              </w:rPr>
              <w:t>April 3,</w:t>
            </w:r>
          </w:p>
        </w:tc>
        <w:tc>
          <w:tcPr>
            <w:tcW w:w="320" w:type="dxa"/>
            <w:vAlign w:val="bottom"/>
          </w:tcPr>
          <w:p>
            <w:pPr>
              <w:spacing w:after="0"/>
              <w:rPr>
                <w:sz w:val="13"/>
                <w:szCs w:val="13"/>
                <w:color w:val="auto"/>
              </w:rPr>
            </w:pPr>
          </w:p>
        </w:tc>
        <w:tc>
          <w:tcPr>
            <w:tcW w:w="11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9"/>
              </w:rPr>
              <w:t>March 28,</w:t>
            </w: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5.9</w:t>
            </w:r>
          </w:p>
        </w:tc>
      </w:tr>
      <w:tr>
        <w:trPr>
          <w:trHeight w:val="27"/>
        </w:trPr>
        <w:tc>
          <w:tcPr>
            <w:tcW w:w="5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April 3, 2015, we had outstanding purchase obligations with our suppliers or contract manufacturers of $32.4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April 3, 2015, we had no guarantees applicable to our debt arrangements.</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April 3, 2015, we had commercial commitments of $35.5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April 3, 2015,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April 3, 2015,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From time to time, we may be involved in various legal claims and litigation that arise in the normal course of our operations. 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w:t>
      </w:r>
    </w:p>
    <w:p>
      <w:pPr>
        <w:spacing w:after="0" w:line="117"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material weaknesses identified in our system of internal control and associated remediation efforts and investments and other actions needed to remedy those material weaknesses;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2014 Annual Report on Form 10-K for more information regarding factors that may cause our results to differ materially from those expressed or implied by the forward-looking statements contained in this Quarterly Report on Form 10-Q.</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904" w:right="259" w:bottom="1440" w:gutter="0" w:footer="0" w:header="0"/>
        </w:sectPr>
      </w:pPr>
    </w:p>
    <w:bookmarkStart w:id="21" w:name="page22"/>
    <w:bookmarkEnd w:id="21"/>
    <w:p>
      <w:pPr>
        <w:ind w:right="2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2014 and 2015 Results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3, 2015 is referred to as “fiscal 2015” or “2015” and fiscal year ended June 27, 2014 as “fiscal 2014” or “2014”.</w:t>
      </w:r>
    </w:p>
    <w:p>
      <w:pPr>
        <w:spacing w:after="0" w:line="133"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Our strategic focus in fiscal 2015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remainder of fiscal 2015,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283"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ind w:right="60"/>
        <w:spacing w:after="0" w:line="255" w:lineRule="auto"/>
        <w:rPr>
          <w:sz w:val="20"/>
          <w:szCs w:val="20"/>
          <w:color w:val="auto"/>
        </w:rPr>
      </w:pPr>
      <w:r>
        <w:rPr>
          <w:rFonts w:ascii="Arial" w:cs="Arial" w:eastAsia="Arial" w:hAnsi="Arial"/>
          <w:sz w:val="18"/>
          <w:szCs w:val="18"/>
          <w:color w:val="auto"/>
        </w:rPr>
        <w:t>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2014 Annual Report on Form 10-K, a number of factors could prevent us from achieving our objectives, including ongoing pricing pressures attributable to competition and macroeconomic conditions in the geographic markets that we service.</w:t>
      </w:r>
    </w:p>
    <w:p>
      <w:pPr>
        <w:spacing w:after="0" w:line="139" w:lineRule="exact"/>
        <w:rPr>
          <w:sz w:val="20"/>
          <w:szCs w:val="20"/>
          <w:color w:val="auto"/>
        </w:rPr>
      </w:pPr>
    </w:p>
    <w:p>
      <w:pPr>
        <w:ind w:right="460" w:firstLine="432"/>
        <w:spacing w:after="0" w:line="302" w:lineRule="auto"/>
        <w:rPr>
          <w:sz w:val="20"/>
          <w:szCs w:val="20"/>
          <w:color w:val="auto"/>
        </w:rPr>
      </w:pPr>
      <w:r>
        <w:rPr>
          <w:rFonts w:ascii="Arial" w:cs="Arial" w:eastAsia="Arial" w:hAnsi="Arial"/>
          <w:sz w:val="16"/>
          <w:szCs w:val="16"/>
          <w:color w:val="auto"/>
        </w:rPr>
        <w:t>During the third quarter of fiscal 2015, with the intent to bring the Company’s operational cost structure in line with the changing dynamics of the microwave radio and telecommunications markets, we initiated the Fiscal 2015-2016 Plan to lower fixed overhead costs and operating expenses and to preserve cash flow. Our restructuring expenses incurred during the third quarter of fiscal 2015 primarily related to this plan. We expect to substantially complete the remaining restructuring activities under this plan by the first half of fiscal 2016. See “Restructuring Charges”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manage our sales activities primarily on a geographic basis in North America and three international geographic regions: (1) Africa and Middle East,</w:t>
      </w:r>
    </w:p>
    <w:p>
      <w:pPr>
        <w:spacing w:after="0" w:line="46" w:lineRule="exact"/>
        <w:rPr>
          <w:sz w:val="20"/>
          <w:szCs w:val="20"/>
          <w:color w:val="auto"/>
        </w:rPr>
      </w:pPr>
    </w:p>
    <w:p>
      <w:pPr>
        <w:ind w:right="2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and Russia, and (3) Latin America and Asia Pacific. Revenue by region for the third quarter and first three quarters of fiscal 2015 and 2014 and the related changes were shown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9"/>
              </w:rPr>
              <w:t>Three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April 3, 2015</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revenue in North America was down $5.5 million, or 14.7%, during the third quarter of fiscal 2015 compared with the same quarter of fiscal 2014. The revenue reduction was from reduced orders from wireless operator customers. That decrease was partially offset by a small increase in sales from government and utility markets. On a year-to-date basis, North America revenue increased $9.8 million, or 9.3%, compared with the same period in fiscal 2014. The increase in North America came from the government and utility markets, while revenue from network operator customers was down compared with the same period in fiscal 2014.</w:t>
      </w:r>
    </w:p>
    <w:p>
      <w:pPr>
        <w:spacing w:after="0" w:line="134"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Our revenue in Africa and Middle East increased $1.3 million, or 6.0%, for the third quarter of fiscal 2015 compared with the same quarter of fiscal 2014. While customers in the region continue to control their capital spending, we experienced a small increase from certain operators in the quarter. On a year-to-date basis, Africa and Middle East revenue was down $15.5 million, or 18.3%, from the same period in fiscal 2014, reflecting network operator capital spending restraint during this period compared with the same period in fiscal 2014.</w:t>
      </w:r>
    </w:p>
    <w:p>
      <w:pPr>
        <w:spacing w:after="0" w:line="13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Revenue in Europe and Russia decreased $1.3 million, or 13.7%, for the third quarter of fiscal 2015 compared with the same quarter of fiscal 2014. We have observed some reduction in customer spending in this region due to the devaluation of the Euro relative to the U.S. dollar over the past months. On a year-to-date basis, revenue in Europe and Russia remained approximately the same compared with the same period in fiscal 2014.</w:t>
      </w:r>
    </w:p>
    <w:p>
      <w:pPr>
        <w:spacing w:after="0" w:line="111"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Revenue in Latin America and Asia Pacific decreased $1.1 million, or 8.6%, during the third quarter of fiscal 2015 compared with the same quarter in fiscal 2014. The decrease was primarily due to fewer deliveries to a large customer in Asia Pacific in the third quarter of fiscal 2015 compared with the same quarter in previous year. On a year-to-date basis, revenue in Latin America and Asia Pacific decreased $6.8 million, or 15.9%, from the same period in fiscal 2014, mostly due to lower product sales to our larger customers in Latin America.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w w:val="99"/>
              </w:rPr>
              <w:t>Three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April 3, 2015</w:t>
            </w:r>
          </w:p>
        </w:tc>
        <w:tc>
          <w:tcPr>
            <w:tcW w:w="100" w:type="dxa"/>
            <w:vAlign w:val="bottom"/>
            <w:vMerge w:val="restart"/>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revenue from product sales decreased $3.1 million, or 6.2%, for the third quarter of fiscal 2015 compared with the same quarter in fiscal 2014. The decrease came primarily from lower sales in North America and Europe, offset in part by stronger sales in Africa and Asia Pacific. Our services revenue decreased by $3.5 million, or 11.2%, during the third quarter of fiscal 2015 compared with the same quarter of fiscal 2014, due primarily to reduced service activities in Asia Pacific and smaller reductions in North America and Europe.</w:t>
      </w:r>
    </w:p>
    <w:p>
      <w:pPr>
        <w:spacing w:after="0" w:line="13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revenue from product sales decreased by $6.2 million, or 3.7%, for the first three quarters of fiscal 2015 compared with the same period in fiscal 2014. The decrease came primarily from weaker product sales in Africa and Latin America, offset in part by stronger product sales in North America, Europe and Asia. Our services revenue was down by $6.3 million, or 6.6%, during the first three quarters of fiscal 2015 compared with the same period of fiscal 2014, due to reduced service activities in North America, Asia Pacific, Europe and Latin America, partially offset by increased service activities in Africa.</w:t>
      </w:r>
    </w:p>
    <w:p>
      <w:pPr>
        <w:spacing w:after="0" w:line="10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During the third quarter and first three quarters of fiscal 2015 and 2014, the MTN Group in Africa accounted for more than 10% of our total revenue.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8"/>
              </w:rPr>
              <w:t>Quarter Ended</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Three Quarters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w w:val="97"/>
              </w:rPr>
              <w:t>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w w:val="93"/>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5"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Gross margin for the third quarter and first three quarters of fiscal 2015 decreased by $3.3 million, or 15.8%, and $1.4 million, or 2.1%, respectively, compared with the same periods in fiscal 2014. The decrease in gross margin for the third quarter of fiscal 2015 compared with the same quarter in fiscal 2014 came from lower sales volume in the quarter, primarily in North America, Europe and Asia Pacific, decreased profitability in Europe and Asia Pacific and $1.1 million bigger foreign exchange losses on contracts denominated in currencies other than the U.S. dollar, primarily in Nigeria. The year-to-date decrease in gross margin came from decreased profitability in Africa, Middle East and Latin America and $2.4 million bigger foreign exchange losses, partially offset by improved profitability in North America and Asia, along with reduced supply chain costs compared with the same period in fiscal 2014.</w:t>
      </w:r>
    </w:p>
    <w:p>
      <w:pPr>
        <w:spacing w:after="0" w:line="11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Gross margin as a percentage of revenue decreased in the third quarter of fiscal 2015 compared with the same quarter of fiscal 2014, primarily due to lower gross margin rates in North America, Europe and Asia and increased foreign exchange losses, offset in part by better profitability in other regions and by reductions in supply chain expenses. On a year-to-date basis, gross margin as a percentage of revenue slightly increased primarily due to higher gross margin rates in North America, Europe and Asia, largely offset by lower profitability in other regions and increased foreign exchange losses compared with the same period in fiscal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Three Quarters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research and development (“R&amp;D”) expenses decreased $2.0 million, or 23.8%, and $8.1 million, or 29.5%, respectively, in the third quarter and first three quarters of fiscal 2015 compared with the same periods in fiscal 2014. The decrease for the third quarter of fiscal 2015 compared with the same quarter in fiscal 2014 was primarily due to a $1.6 million reduction in personnel and related expenses, a $0.1 million decrease in new product development costs and a $0.2 million decrease in facility expense primarily due to restructuring of R&amp;D in Santa Clara, California. The decrease for the first three quarters of fiscal 2015 compared with the same period in fiscal 2014 was primarily due to a $4.8 million reduction in personnel and related expenses, a $1.7 million decrease in new product development costs, a $0.9 million decrease in facility expense and a $0.1 million decrease in share-based compensation expenses primarily due to restructuring of R&amp;D in Santa Clara,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5"/>
              </w:rPr>
              <w:t>Three Quarters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  $</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w w:val="97"/>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w w:val="93"/>
              </w:rPr>
              <w:t>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ind w:left="560"/>
              <w:spacing w:after="0"/>
              <w:rPr>
                <w:sz w:val="20"/>
                <w:szCs w:val="20"/>
                <w:color w:val="auto"/>
              </w:rPr>
            </w:pPr>
            <w:r>
              <w:rPr>
                <w:rFonts w:ascii="Arial" w:cs="Arial" w:eastAsia="Arial" w:hAnsi="Arial"/>
                <w:sz w:val="18"/>
                <w:szCs w:val="18"/>
                <w:color w:val="auto"/>
                <w:w w:val="93"/>
              </w:rPr>
              <w:t>25.9%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selling and administrative expenses declined $5.0 million, or 21.7%, and $9.0 million, or 13.4%, respectively, in the third quarter and first three quarters of fiscal 2015 compared with the same periods in fiscal 2014. The decrease for the third quarter of fiscal 2015 compared with the same quarter in fiscal 2014 was primarily due to a $1.4 million decrease in personnel and related expenses, $0.9 million lower bad debt expense, a $0.5 million decrease in IT consulting expenses as result of the completion of our ERP system implementation, a $0.6 million lower travel expense and a $0.9 million decrease in sales commission and incentive compensation due to lower sales volume. The decrease for the first three quarters of fiscal 2015 compared with the same period in fiscal 2014 was primarily due to a $5.1 million decrease in personnel and related expenses, a $1.5 million decrease in IT consulting expenses as result of the completion of our ERP system implementation, a $1.6 million lower travel expense, a $2.2 million decrease in sales commission and incentive compensation and a $0.9 million decrease in share-based compensation expenses resulting from employee terminations and full vesting of prior stock awards. The decreases were partially offset by a $3.3 million increase in professional fees associated with the annual audit and quarterly reviews of our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During the third quarter of fiscal 2015, with the intent to bring our operational cost structure in line with the changing dynamics of the microwave radio and telecommunications markets, we initiated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93"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7"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7"/>
          <w:szCs w:val="17"/>
          <w:color w:val="auto"/>
        </w:rPr>
        <w:t>Our restructuring charges by plan for the third quarter and first three quarters of fiscal 2015 and 2014 were summarized in the table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jc w:val="center"/>
              <w:ind w:right="273"/>
              <w:spacing w:after="0"/>
              <w:rPr>
                <w:sz w:val="20"/>
                <w:szCs w:val="20"/>
                <w:color w:val="auto"/>
              </w:rPr>
            </w:pPr>
            <w:r>
              <w:rPr>
                <w:rFonts w:ascii="Arial" w:cs="Arial" w:eastAsia="Arial" w:hAnsi="Arial"/>
                <w:sz w:val="14"/>
                <w:szCs w:val="14"/>
                <w:b w:val="1"/>
                <w:bCs w:val="1"/>
                <w:color w:val="auto"/>
                <w:w w:val="91"/>
              </w:rPr>
              <w:t>(In millions, except percentages)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28,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April 3, 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28, 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  $</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By Plan:</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90"/>
              </w:rPr>
              <w:t>Fiscal 2015-2016 Plan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jc w:val="center"/>
              <w:ind w:right="273"/>
              <w:spacing w:after="0"/>
              <w:rPr>
                <w:sz w:val="20"/>
                <w:szCs w:val="20"/>
                <w:color w:val="auto"/>
              </w:rPr>
            </w:pPr>
            <w:r>
              <w:rPr>
                <w:rFonts w:ascii="Arial" w:cs="Arial" w:eastAsia="Arial" w:hAnsi="Arial"/>
                <w:sz w:val="18"/>
                <w:szCs w:val="18"/>
                <w:color w:val="auto"/>
                <w:w w:val="90"/>
              </w:rPr>
              <w:t>Fiscal 2014-2015 Plan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2420" w:type="dxa"/>
            <w:vAlign w:val="bottom"/>
            <w:shd w:val="clear" w:color="auto" w:fill="CCEEFF"/>
          </w:tcPr>
          <w:p>
            <w:pPr>
              <w:jc w:val="center"/>
              <w:ind w:right="273"/>
              <w:spacing w:after="0"/>
              <w:rPr>
                <w:sz w:val="20"/>
                <w:szCs w:val="20"/>
                <w:color w:val="auto"/>
              </w:rPr>
            </w:pPr>
            <w:r>
              <w:rPr>
                <w:rFonts w:ascii="Arial" w:cs="Arial" w:eastAsia="Arial" w:hAnsi="Arial"/>
                <w:sz w:val="18"/>
                <w:szCs w:val="18"/>
                <w:color w:val="auto"/>
                <w:w w:val="90"/>
              </w:rPr>
              <w:t>Fiscal 2013-2014 Plan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
        </w:trPr>
        <w:tc>
          <w:tcPr>
            <w:tcW w:w="2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restructuring expenses consisted primarily of severance and related benefit charges and facilities costs related to obligations under non-cancelable leases for facilities that we ceased to use. Restructuring charges for the third quarter of fiscal 2015 were $3.1 million primarily related to employee termination charges under the Fiscal 2015-2016 Plan. Restructuring charges for the first three quarters of fiscal 2015 also included a $1.5 million facilities charge related to ceasing to use a portion of our Santa Clara headquarters building under the Fiscal 2014-2015 Plan.</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Restructuring charges for the third quarter of fiscal 2014 primarily related to employee termination charges under the Fiscal 2014-2015 Plan. Restructuring charges for the first three quarters of fiscal 2014 also included a $4.0 million facilities charge related to ceasing to use a portion of our Santa Clara headquarters building and $1.0 million employee termination charges under the Fiscal 2013-2014 Plan.</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April 3, 2015, we have substantially completed our activities under the Fiscal 2014-2015 Plan and Fiscal 2013-2014 Plan, and intend to complete the remaining restructuring activities under the Fiscal 2015-2016 Plan by the first half of fiscal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14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 under the SVB Credit Facility and discounts on customer letters of credit.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5"/>
              </w:rPr>
              <w:t>Three Quarters Ended</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22"/>
                <w:szCs w:val="22"/>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rPr>
              <w:t>April 3,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rPr>
              <w:t>April 3, 2015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March 28, 2014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Change</w:t>
            </w:r>
          </w:p>
        </w:tc>
      </w:tr>
      <w:tr>
        <w:trPr>
          <w:trHeight w:val="215"/>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Loss from continuing operations before income</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7"/>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2.2</w:t>
            </w: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loss from continuing operations before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7"/>
        </w:trPr>
        <w:tc>
          <w:tcPr>
            <w:tcW w:w="3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auto"/>
        </w:rPr>
        <w:t>in certain foreign jurisdictions. However, jurisdictions with a year-to-date loss where no tax benefit can be recognized are excluded from the annual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Three Quarters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2014</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 2015</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2014</w:t>
            </w:r>
          </w:p>
        </w:tc>
        <w:tc>
          <w:tcPr>
            <w:tcW w:w="14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 Change</w:t>
            </w: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income recognized in the first three quarters of fiscal 2015 was primarily due to a $0.1 million write-off of accrued liabilities due to EION. The income recognized in the first three quarters of fiscal 2014 was primarily due to recovery of certain WiMAX deferred cost of sales that was previously written down.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As of April 3, 2015, our total cash and cash equivalents were $35.0 million. Approximately $10.5 million, or 30%, of our total cash and cash equivalents, was held by entities domiciled in the United States. The remaining balance of $24.5 million, or 70%, was held by entities outside the United States. Of the amount of cash and cash equivalents held by our foreign subsidiaries at April 3, 2015, $18.6 million was held in jurisdictions where our undistributed earnings are indefinitely reinvested and would be subject to U.S. taxes if repatriated. Currently we do not expect significant U.S. taxes due to the U.S. net operating loss carryforward with a full valuation allowance.</w:t>
      </w:r>
    </w:p>
    <w:p>
      <w:pPr>
        <w:spacing w:after="0" w:line="13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As of April 3, 2015, our principal sources of liquidity consisted of the $35.0 million in cash and cash equivalents, $15.1 million of available credit under our $40.0 million SVB Credit Facility and future collections of receivables from customers. As of April 3, 2015, we were in compliance with the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three quarters of fiscal 2015, our total cash and cash equivalents decreased by $13.8 million primarily due to $9.5 million of cash used in operating activities, $3.0 million of cash used for capital expenditures and $4.2 million effect of exchange rate changes on cash and cash equivalents, partially offset by $3.0 million net proceeds from the SVB Credit Facility borrowings.</w:t>
      </w:r>
    </w:p>
    <w:p>
      <w:pPr>
        <w:spacing w:after="0" w:line="12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Cash used in operating activities was $9.5 million in the first three quarters of fiscal 2015, primarily due to our net loss of $21.2 million, adjusted by non-cash expense items of $13.7 million, increases in inventories of $5.0 million and decreases in accounts payable and accrued expenses of $8.6 million, partially offset by decreases in accounts receivable of $5.4 million, unbilled costs of $2.6 million and customer service inventories of $1.6 million, and increases in customer advance payments and unearned income of $3.6 million. The increase in inventories was primarily due to higher deferred cost of sales associated with higher unearned income and the timing of customer shipments. The decreases in accounts payable and accrued expenses were primarily due to the timing of vendor payments. The decrease in accounts receivable was due to the collections during the first three quarters of fiscal 2015 exceeding billings. The decrease in unbilled costs was due to the timing of billing of projects. The decrease in customer service inventories was primarily due to usage of parts to fulfill warranty obligations. The increase in customer advance payments and unearned income was due to the timing of revenue recognition on several large contracts. We used $3.6 million in cash during the first three quarters of fiscal 2015 on expenses related to restructuring liabilities.</w:t>
      </w:r>
    </w:p>
    <w:p>
      <w:pPr>
        <w:spacing w:after="0" w:line="113"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During the remainder of fiscal year 2015, we expect to spend approximately $1.0 million for capital expenditures, primarily on equipment for development of new products and to support customer managed services.</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There can be no assurance, however, that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40"/>
        <w:spacing w:after="0" w:line="254" w:lineRule="auto"/>
        <w:rPr>
          <w:sz w:val="20"/>
          <w:szCs w:val="20"/>
          <w:color w:val="auto"/>
        </w:rPr>
      </w:pPr>
      <w:r>
        <w:rPr>
          <w:rFonts w:ascii="Arial" w:cs="Arial" w:eastAsia="Arial" w:hAnsi="Arial"/>
          <w:sz w:val="18"/>
          <w:szCs w:val="18"/>
          <w:color w:val="auto"/>
        </w:rPr>
        <w:t>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On March 28, 2014, we entered into the SVB Credit Facility which was amended subsequently in 2014 providing for the extensions of the deadline for preparing and filing our fiscal 2014 financial statements with the SEC. On February 27, 2015, the SVB Credit Facility was further amended providing for certain amendments to the financial covenants, borrowing base and an early termination fee if the credit facility is terminated prior to its expiration. This agreement amends and restates our existing First Amended and Restated Loan and Security Agreement, which was entered into on September 27, 2013 and amended providing for certain amendments to the maximum borrowing limit and financial covenants. During the first three quarters of fiscal 2015, we made additional net borrowings of $3.0 million and our outstanding debt under the SVB Credit Facility was $9.0 million as of April 3, 2015.</w:t>
      </w:r>
    </w:p>
    <w:p>
      <w:pPr>
        <w:spacing w:after="0" w:line="1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April 3, 2015, available credit under the SVB Credit Facility was $15.1 million reflecting the calculated borrowing base of $29.2 million less existing borrowings of $9.0 million and outstanding letters of credit of $5.1 million.</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three quarters of fiscal 2015, the weighted average interest rate on our outstanding loan was 3.75%.</w:t>
      </w:r>
    </w:p>
    <w:p>
      <w:pPr>
        <w:spacing w:after="0" w:line="1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April 3, 2015, we were in compliance with the quarterly financial covenants contained in the SVB Credit Facility. However, as a result of uncertainty on our ability to meet the financial covenants in future and the fact that the SVB Credit Facility contains subjective acceleration clauses that could be triggered by the lender, the $9.0 million borrowing was classified as a current liability as of April 3,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520" w:firstLine="432"/>
        <w:spacing w:after="0" w:line="342" w:lineRule="auto"/>
        <w:rPr>
          <w:sz w:val="20"/>
          <w:szCs w:val="20"/>
          <w:color w:val="auto"/>
        </w:rPr>
      </w:pPr>
      <w:r>
        <w:rPr>
          <w:rFonts w:ascii="Arial" w:cs="Arial" w:eastAsia="Arial" w:hAnsi="Arial"/>
          <w:sz w:val="16"/>
          <w:szCs w:val="16"/>
          <w:color w:val="auto"/>
        </w:rPr>
        <w:t>We had liabilities for restructuring activities totaling $6.3 million as of April 3, 2015, $4.7 million of which was classified as current liability and expected to be paid out in cash over the next 12 months. We expect to fund these future payments with available cash and cash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amounts disclosed in our fiscal 2014 Annual Report on Form 10-K include our commercial commitments and contractual obligations. During the first three quarters of fiscal 2015, other than the additional $3.0 million net borrowings under the SVB Credit Facility,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2014 Annual Report on Form 10-K. Please refer to Note 12, “Commitments and Contingencies” in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 Please refer to Note 12, “Commitments and Contingencies” in this Quarterly Report on Form 10-Q.</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2014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April 3, 2015, we had foreign currency forward contracts outstanding with a total notional amount of $15.3 million consisting of 11 different currencies. The following is a summary of the gross notional amount of our outstanding contracts grouped by the underlying foreign currency as of April 3, 2015: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Pr>
          <w:p>
            <w:pPr>
              <w:spacing w:after="0"/>
              <w:rPr>
                <w:sz w:val="16"/>
                <w:szCs w:val="16"/>
                <w:color w:val="auto"/>
              </w:rPr>
            </w:pPr>
          </w:p>
        </w:tc>
        <w:tc>
          <w:tcPr>
            <w:tcW w:w="1160" w:type="dxa"/>
            <w:vAlign w:val="bottom"/>
          </w:tcPr>
          <w:p>
            <w:pPr>
              <w:jc w:val="center"/>
              <w:ind w:right="33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 dollar</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Thailand baht</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33.2</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Singapore dollar</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Net foreign exchange loss recorded in our consolidated statements of operations during the third quarter and first three quarters of fiscal 2015 and 2014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center"/>
              <w:ind w:left="322"/>
              <w:spacing w:after="0" w:line="153" w:lineRule="exact"/>
              <w:rPr>
                <w:sz w:val="20"/>
                <w:szCs w:val="20"/>
                <w:color w:val="auto"/>
              </w:rPr>
            </w:pPr>
            <w:r>
              <w:rPr>
                <w:rFonts w:ascii="Arial" w:cs="Arial" w:eastAsia="Arial" w:hAnsi="Arial"/>
                <w:sz w:val="14"/>
                <w:szCs w:val="14"/>
                <w:b w:val="1"/>
                <w:bCs w:val="1"/>
                <w:color w:val="auto"/>
                <w:w w:val="96"/>
              </w:rPr>
              <w:t>April 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March 28,</w:t>
            </w:r>
          </w:p>
        </w:tc>
        <w:tc>
          <w:tcPr>
            <w:tcW w:w="280" w:type="dxa"/>
            <w:vAlign w:val="bottom"/>
          </w:tcPr>
          <w:p>
            <w:pPr>
              <w:spacing w:after="0"/>
              <w:rPr>
                <w:sz w:val="13"/>
                <w:szCs w:val="13"/>
                <w:color w:val="auto"/>
              </w:rPr>
            </w:pPr>
          </w:p>
        </w:tc>
        <w:tc>
          <w:tcPr>
            <w:tcW w:w="12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April 3,</w:t>
            </w:r>
          </w:p>
        </w:tc>
        <w:tc>
          <w:tcPr>
            <w:tcW w:w="220" w:type="dxa"/>
            <w:vAlign w:val="bottom"/>
          </w:tcPr>
          <w:p>
            <w:pPr>
              <w:spacing w:after="0"/>
              <w:rPr>
                <w:sz w:val="13"/>
                <w:szCs w:val="13"/>
                <w:color w:val="auto"/>
              </w:rPr>
            </w:pPr>
          </w:p>
        </w:tc>
        <w:tc>
          <w:tcPr>
            <w:tcW w:w="11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April 3, 2015 would have an impact of approximately $1.5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three quarters of fiscal 2015, mostly Nigeria Naira and Euro, was $6.3 million and was included as a component of stockholders’ equity. As of April 3, 2015 and June 27, 2014, the cumulative translation adjustment decreased our stockholders’ equity by $9.2 million and $2.9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We had $35.0 million in total cash and cash equivalents as of April 3, 2015. Cash equivalents totaled $11.0 million as of April 3, 2015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April 3, 2015 was four days, and these investments had an average yield of 2.5% per annum.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6" w:right="2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10% change in interest rates on our cash and cash equivalents is not expected to have a material impact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first three quarters of fiscal 2015, we had $9.0 million of borrowings outstanding under the SVB Credit Facility that incurred interest at the prime rate plus a spread of 0.50% to 1.50%. During the first three quarters of fiscal 2015, our weighted average interest rate was 3.75% and we recorded total interest expense of $0.2 million on these borrowings.</w:t>
      </w:r>
    </w:p>
    <w:p>
      <w:pPr>
        <w:spacing w:after="0" w:line="12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Weaknesses on Internal Control over Financial Reporting</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(1992) issued by the Committee of Sponsoring Organizations of the Treadway Commission.</w:t>
      </w:r>
    </w:p>
    <w:p>
      <w:pPr>
        <w:spacing w:after="0" w:line="12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In connection with the Company’s assessment of the effectiveness of internal control over financial reporting, the Company identified the following material weaknesses that existed as of June 27, 2014 that continued to exist as of April 3, 2015:</w:t>
      </w:r>
    </w:p>
    <w:p>
      <w:pPr>
        <w:spacing w:after="0" w:line="116" w:lineRule="exact"/>
        <w:rPr>
          <w:sz w:val="20"/>
          <w:szCs w:val="20"/>
          <w:color w:val="auto"/>
        </w:rPr>
      </w:pPr>
    </w:p>
    <w:p>
      <w:pPr>
        <w:ind w:left="820" w:hanging="407"/>
        <w:spacing w:after="0" w:line="291"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Excluding Control Activities. </w:t>
      </w:r>
      <w:r>
        <w:rPr>
          <w:rFonts w:ascii="Arial" w:cs="Arial" w:eastAsia="Arial" w:hAnsi="Arial"/>
          <w:sz w:val="16"/>
          <w:szCs w:val="16"/>
          <w:color w:val="auto"/>
        </w:rPr>
        <w:t>We determined that our controls pertaining to the control environment, risk assessment,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monitoring activities and information and communication activities did not operate effectively, resulting in a material weakness pertaining to these COSO components. Specifically, (i) with respect to the control environment, we did not maintain a sufficient complement of adequately trained personnel with an appropriate level of knowledge, experience, skills and training commensurate with our financial reporting requirements and business environment; (ii) with respect to risk assessment, we did not identify risks associated with (a) implementing our newly installed worldwide enterprise resource planning system, used for financial reporting purposes, including assessing the adequacy of staffing levels and training needs of our global accounting and financial reporting staff, segregation of duty conflicts and the adequacy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46" w:right="279" w:bottom="1440" w:gutter="0" w:footer="0" w:header="0"/>
        </w:sectPr>
      </w:pPr>
    </w:p>
    <w:bookmarkStart w:id="31" w:name="page32"/>
    <w:bookmarkEnd w:id="31"/>
    <w:p>
      <w:pPr>
        <w:ind w:left="820" w:right="20"/>
        <w:spacing w:after="0" w:line="334" w:lineRule="auto"/>
        <w:rPr>
          <w:sz w:val="20"/>
          <w:szCs w:val="20"/>
          <w:color w:val="auto"/>
        </w:rPr>
      </w:pPr>
      <w:r>
        <w:rPr>
          <w:rFonts w:ascii="Arial" w:cs="Arial" w:eastAsia="Arial" w:hAnsi="Arial"/>
          <w:sz w:val="16"/>
          <w:szCs w:val="16"/>
          <w:color w:val="auto"/>
        </w:rPr>
        <w:t>and effectiveness of compensating controls; (b) the completeness and accuracy of information underlying accounting estimates used in management review controls and procedures, including appropriately documenting risk tolerance and precision of such controls; and (c) certain processes, further noted in the Control Activities discussion below, resulting in inadequately designed control activities; (iii) with respect to information and communication, we did not (a) sufficiently promote an appropriate level of control awareness or commit appropriate human or financial resources to support the development of necessary information systems, including system controls and training related to our newly installed worldwide enterprise resource planning system; and (b) ensure the completeness, accuracy and timeliness of communications between the project management and accounting functions regarding our percentage-of-completion contracts; and (iv) with respect to monitoring activities,</w:t>
      </w:r>
    </w:p>
    <w:p>
      <w:pPr>
        <w:spacing w:after="0" w:line="4" w:lineRule="exact"/>
        <w:rPr>
          <w:sz w:val="20"/>
          <w:szCs w:val="20"/>
          <w:color w:val="auto"/>
        </w:rPr>
      </w:pPr>
    </w:p>
    <w:p>
      <w:pPr>
        <w:ind w:left="820" w:right="40"/>
        <w:spacing w:after="0" w:line="320" w:lineRule="auto"/>
        <w:rPr>
          <w:sz w:val="20"/>
          <w:szCs w:val="20"/>
          <w:color w:val="auto"/>
        </w:rPr>
      </w:pPr>
      <w:r>
        <w:rPr>
          <w:rFonts w:ascii="Arial" w:cs="Arial" w:eastAsia="Arial" w:hAnsi="Arial"/>
          <w:sz w:val="17"/>
          <w:szCs w:val="17"/>
          <w:color w:val="auto"/>
        </w:rPr>
        <w:t>(a) we did not design and maintain effective controls for the review, supervision and monitoring of our accounting operations and evaluating the adequacy of our internal control over financial reporting, including adequate documentation of control performance; (b) there were insufficient procedures to effectively determine the adequacy of our internal control over financial reporting; and (c) due to unanticipated turnover in the finance organization late in our fiscal year we did not maintain a sufficient number of accounting professionals with an appropriate level of knowledge, experience, skills and training to monitor our compliance with internal control over financial reporting at both our domestic and international locations.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immaterial errors to the financial statements.</w:t>
      </w:r>
    </w:p>
    <w:p>
      <w:pPr>
        <w:spacing w:after="0" w:line="98" w:lineRule="exact"/>
        <w:rPr>
          <w:sz w:val="20"/>
          <w:szCs w:val="20"/>
          <w:color w:val="auto"/>
        </w:rPr>
      </w:pPr>
    </w:p>
    <w:p>
      <w:pPr>
        <w:ind w:left="820" w:right="28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Manual journal entries. </w:t>
      </w:r>
      <w:r>
        <w:rPr>
          <w:rFonts w:ascii="Arial" w:cs="Arial" w:eastAsia="Arial" w:hAnsi="Arial"/>
          <w:sz w:val="18"/>
          <w:szCs w:val="18"/>
          <w:color w:val="auto"/>
        </w:rPr>
        <w:t>The design and operating effectiveness of our controls were inadequate to ensure that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documentation was identified, accumulated and maintained to support manual journal entries and that such manual journal entries were independently reviewed and approved.</w:t>
      </w:r>
    </w:p>
    <w:p>
      <w:pPr>
        <w:spacing w:after="0" w:line="127" w:lineRule="exact"/>
        <w:rPr>
          <w:rFonts w:ascii="Arial" w:cs="Arial" w:eastAsia="Arial" w:hAnsi="Arial"/>
          <w:sz w:val="18"/>
          <w:szCs w:val="18"/>
          <w:color w:val="auto"/>
        </w:rPr>
      </w:pPr>
    </w:p>
    <w:p>
      <w:pPr>
        <w:ind w:left="820" w:right="20" w:hanging="407"/>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Account reconciliations. </w:t>
      </w:r>
      <w:r>
        <w:rPr>
          <w:rFonts w:ascii="Arial" w:cs="Arial" w:eastAsia="Arial" w:hAnsi="Arial"/>
          <w:sz w:val="17"/>
          <w:szCs w:val="17"/>
          <w:color w:val="auto"/>
        </w:rPr>
        <w:t>The design and operating effectiveness of our controls were inadequate to ensure that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reconciliations, including intercompany account reconciliations and eliminations, were reviewed and approved for accuracy and completeness and that we identified, accumulated and documented appropriate information necessary to support account balances.</w:t>
      </w:r>
    </w:p>
    <w:p>
      <w:pPr>
        <w:spacing w:after="0" w:line="111" w:lineRule="exact"/>
        <w:rPr>
          <w:rFonts w:ascii="Arial" w:cs="Arial" w:eastAsia="Arial" w:hAnsi="Arial"/>
          <w:sz w:val="17"/>
          <w:szCs w:val="17"/>
          <w:color w:val="auto"/>
        </w:rPr>
      </w:pPr>
    </w:p>
    <w:p>
      <w:pPr>
        <w:ind w:left="820" w:right="440" w:hanging="407"/>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Revenue Recognition on Percentage-of-Completion (“POC”) Contracts. </w:t>
      </w:r>
      <w:r>
        <w:rPr>
          <w:rFonts w:ascii="Arial" w:cs="Arial" w:eastAsia="Arial" w:hAnsi="Arial"/>
          <w:sz w:val="17"/>
          <w:szCs w:val="17"/>
          <w:color w:val="auto"/>
        </w:rPr>
        <w:t>The design and operating effectiveness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controls were inadequate to ensure that the reported amount and timing of revenue recognition was accurate.</w:t>
      </w:r>
    </w:p>
    <w:p>
      <w:pPr>
        <w:spacing w:after="0" w:line="14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addition, during the interim quarter ended April 3, 2015, the Company identified the following material weakness that existed as of December 26, 2014 that continued to exist as of April 3, 2015:</w:t>
      </w:r>
    </w:p>
    <w:p>
      <w:pPr>
        <w:spacing w:after="0" w:line="116" w:lineRule="exact"/>
        <w:rPr>
          <w:sz w:val="20"/>
          <w:szCs w:val="20"/>
          <w:color w:val="auto"/>
        </w:rPr>
      </w:pPr>
    </w:p>
    <w:p>
      <w:pPr>
        <w:ind w:left="820" w:hanging="420"/>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Recognition on Product Sales. </w:t>
      </w:r>
      <w:r>
        <w:rPr>
          <w:rFonts w:ascii="Arial" w:cs="Arial" w:eastAsia="Arial" w:hAnsi="Arial"/>
          <w:sz w:val="18"/>
          <w:szCs w:val="18"/>
          <w:color w:val="auto"/>
        </w:rPr>
        <w:t>The design and operating effectiveness of our controls were inadequate to ensure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non-standard terms and conditions appearing on customer purchase orders were properly identified and addressed to ensure that the reported amount and timing of revenue recognition was accurate.</w:t>
      </w:r>
    </w:p>
    <w:p>
      <w:pPr>
        <w:spacing w:after="0" w:line="12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Although no material errors were identified in our audited financial statements, these material weaknesses resulted in a reasonable possibility that a material misstatement of our annual or interim consolidated financial statements would not be prevented or detected on a timely basis.</w:t>
      </w:r>
    </w:p>
    <w:p>
      <w:pPr>
        <w:spacing w:after="0" w:line="9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material weaknesses identified by management could result in a material misstatement to our annual or interim financial statements that would not be prevented or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73" w:right="279" w:bottom="1440" w:gutter="0" w:footer="0" w:header="0"/>
        </w:sectPr>
      </w:pPr>
    </w:p>
    <w:bookmarkStart w:id="32" w:name="page33"/>
    <w:bookmarkEnd w:id="32"/>
    <w:p>
      <w:pPr>
        <w:ind w:right="20" w:firstLine="405"/>
        <w:spacing w:after="0" w:line="259" w:lineRule="auto"/>
        <w:rPr>
          <w:sz w:val="20"/>
          <w:szCs w:val="20"/>
          <w:color w:val="auto"/>
        </w:rPr>
      </w:pPr>
      <w:r>
        <w:rPr>
          <w:rFonts w:ascii="Arial" w:cs="Arial" w:eastAsia="Arial" w:hAnsi="Arial"/>
          <w:sz w:val="18"/>
          <w:szCs w:val="18"/>
          <w:color w:val="auto"/>
        </w:rPr>
        <w:t>As of April 3, 2015,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April 3, 2015, our disclosure controls and procedures were not effective at the reasonable assurance level.</w:t>
      </w:r>
    </w:p>
    <w:p>
      <w:pPr>
        <w:spacing w:after="0" w:line="13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Subsequent to our June 27, 2014 fiscal year end, we began taking a number of actions, including designing and implementing new controls and revising existing controls, in order to remediate the material weaknesses described above. We expect to continue our remediation efforts, including testing of the operating effectiveness of new controls, as described below under “Remedial Actions to Address Material Weaknesses” with respect to the material weaknesses identified during the fiscal year ended June 27, 2014 and in the interim periods through April 3, 2015 and provide an update on the status of our remediation activities on a quarterly basis.</w:t>
      </w:r>
    </w:p>
    <w:p>
      <w:pPr>
        <w:spacing w:after="0" w:line="134"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3, 2015 that have materially affected, or are reasonably likely to materially affect, our internal control over financial reporting, other than progress with respect to the implementation of certain remediation efforts, as described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or we are in the process of taking, to strengthen our controls and organizational structure:</w:t>
      </w:r>
    </w:p>
    <w:p>
      <w:pPr>
        <w:spacing w:after="0" w:line="127" w:lineRule="exact"/>
        <w:rPr>
          <w:sz w:val="20"/>
          <w:szCs w:val="20"/>
          <w:color w:val="auto"/>
        </w:rPr>
      </w:pPr>
    </w:p>
    <w:p>
      <w:pPr>
        <w:ind w:left="820" w:right="60" w:hanging="407"/>
        <w:spacing w:after="0" w:line="27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address issues with recent employee turnover, we hired new accounting personnel with an appropriate level of knowledge, experience and skill sets commensurate with our newly installed enterprise resource planning system and business environment. We expect to continue to evaluate our needs for new and additional personnel. We leveraged the services of consulting firms and expect to continue to do so to assist us with strengthening our internal controls and documentation. We have provided training beginning in the third quarter of fiscal 2015 in order to enhance the level of communications and understanding of controls with key individuals that provide critical information used in financial accounting and reporting on matters relating to our business and operations</w:t>
      </w:r>
      <w:r>
        <w:rPr>
          <w:rFonts w:ascii="Arial" w:cs="Arial" w:eastAsia="Arial" w:hAnsi="Arial"/>
          <w:sz w:val="17"/>
          <w:szCs w:val="17"/>
          <w:i w:val="1"/>
          <w:iCs w:val="1"/>
          <w:color w:val="auto"/>
        </w:rPr>
        <w:t>.</w:t>
      </w:r>
    </w:p>
    <w:p>
      <w:pPr>
        <w:spacing w:after="0" w:line="124" w:lineRule="exact"/>
        <w:rPr>
          <w:rFonts w:ascii="Arial" w:cs="Arial" w:eastAsia="Arial" w:hAnsi="Arial"/>
          <w:sz w:val="17"/>
          <w:szCs w:val="17"/>
          <w:color w:val="auto"/>
        </w:rPr>
      </w:pPr>
    </w:p>
    <w:p>
      <w:pPr>
        <w:ind w:left="820" w:right="60" w:hanging="407"/>
        <w:spacing w:after="0" w:line="271"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enhanced our risk assessment process. With regard to risks associated with our newly installed worldwide enterprise resource planning system, we have identified subject matter experts (“SME”) and SME backups for each of the functional areas in our finance organization. The SMEs are responsible for leading an international team of users in training, developing global processes and in logging and tracking system issues beginning in the third quarter of fiscal 2015. The SMEs are expected to also be responsible for documenting all processes and coordinating all training materials and expected to have sufficient resources at our disposal to accomplish their tasks. With regard to procedures to ensure the completeness and accuracy of information used in the performance of control activities, we are enhancing oversight of accounting estimates and the precision level of those estimates. We are updating policies and procedures in key areas, particularly with respect to areas that involve management judgment and the use of estimates</w:t>
      </w:r>
      <w:r>
        <w:rPr>
          <w:rFonts w:ascii="Arial" w:cs="Arial" w:eastAsia="Arial" w:hAnsi="Arial"/>
          <w:sz w:val="17"/>
          <w:szCs w:val="17"/>
          <w:b w:val="1"/>
          <w:bCs w:val="1"/>
          <w:color w:val="auto"/>
        </w:rPr>
        <w:t>.</w:t>
      </w:r>
    </w:p>
    <w:p>
      <w:pPr>
        <w:spacing w:after="0" w:line="124" w:lineRule="exact"/>
        <w:rPr>
          <w:rFonts w:ascii="Arial" w:cs="Arial" w:eastAsia="Arial" w:hAnsi="Arial"/>
          <w:sz w:val="17"/>
          <w:szCs w:val="17"/>
          <w:color w:val="auto"/>
        </w:rPr>
      </w:pPr>
    </w:p>
    <w:p>
      <w:pPr>
        <w:ind w:left="820" w:hanging="407"/>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fiscal 2015 second quarter end close, we began implementing processes to improve the review and supervision of our accounting operations. These monitoring processes include (i) implementing increased and enhanced balance sheet reviews to allow more focus on quality account reconciliations; (ii) enhancing monitoring over international activities; and (iii) implementing more rigorous intercompany reconciliation procedures.</w:t>
      </w:r>
    </w:p>
    <w:p>
      <w:pPr>
        <w:spacing w:after="0" w:line="132"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implemented a formal policy that expressly prohibits a manual journal entry being created and approved by the same employee. Further, effective with our fiscal 2015 second quarter end close,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33" w:name="page34"/>
    <w:bookmarkEnd w:id="33"/>
    <w:p>
      <w:pPr>
        <w:jc w:val="both"/>
        <w:ind w:left="407" w:right="60"/>
        <w:spacing w:after="0" w:line="306" w:lineRule="auto"/>
        <w:rPr>
          <w:sz w:val="20"/>
          <w:szCs w:val="20"/>
          <w:color w:val="auto"/>
        </w:rPr>
      </w:pPr>
      <w:r>
        <w:rPr>
          <w:rFonts w:ascii="Arial" w:cs="Arial" w:eastAsia="Arial" w:hAnsi="Arial"/>
          <w:sz w:val="18"/>
          <w:szCs w:val="18"/>
          <w:color w:val="auto"/>
        </w:rPr>
        <w:t>implemented a process that includes a system-generated email alert being sent to senior accounting personnel when a journal entry is entered and posted by the same employee. Senior accounting personnel will follow up with the employee and have the journal entry reviewed by appropriate accounting personnel. With the implementation of this process, any exceptions to the policy can be identified on a timely basis and appropriately addressed.</w:t>
      </w:r>
    </w:p>
    <w:p>
      <w:pPr>
        <w:spacing w:after="0" w:line="106" w:lineRule="exact"/>
        <w:rPr>
          <w:sz w:val="20"/>
          <w:szCs w:val="20"/>
          <w:color w:val="auto"/>
        </w:rPr>
      </w:pPr>
    </w:p>
    <w:p>
      <w:pPr>
        <w:jc w:val="both"/>
        <w:ind w:left="407" w:hanging="407"/>
        <w:spacing w:after="0" w:line="264" w:lineRule="auto"/>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improve the timeliness and accuracy of updates to revenue and cost estimates and the completeness and accuracy of POC revenue recognition, we began implementing procedures in the first quarter of fiscal 2015 to allow for more timely and accurate communications between field service project managers and accounting personnel and improved procedures.</w:t>
      </w:r>
    </w:p>
    <w:p>
      <w:pPr>
        <w:spacing w:after="0" w:line="127" w:lineRule="exact"/>
        <w:rPr>
          <w:rFonts w:ascii="Arial" w:cs="Arial" w:eastAsia="Arial" w:hAnsi="Arial"/>
          <w:sz w:val="18"/>
          <w:szCs w:val="18"/>
          <w:color w:val="auto"/>
        </w:rPr>
      </w:pPr>
    </w:p>
    <w:p>
      <w:pPr>
        <w:jc w:val="both"/>
        <w:ind w:left="407" w:right="40" w:hanging="407"/>
        <w:spacing w:after="0" w:line="312" w:lineRule="auto"/>
        <w:tabs>
          <w:tab w:leader="none" w:pos="4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address the risk concerning any non-standard terms and conditions on customer purchase orders, we have implemented a new revenue control during the third quarter of fiscal 2015 which provides an additional level of review of customer purchase orders by the revenue assurance team to provide reasonable assurance that non-standard terms and conditions are identified and properly addressed on a timely basis.</w:t>
      </w:r>
    </w:p>
    <w:p>
      <w:pPr>
        <w:spacing w:after="0" w:line="174" w:lineRule="exact"/>
        <w:rPr>
          <w:sz w:val="20"/>
          <w:szCs w:val="20"/>
          <w:color w:val="auto"/>
        </w:rPr>
      </w:pPr>
    </w:p>
    <w:p>
      <w:pPr>
        <w:jc w:val="center"/>
        <w:ind w:right="29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7"/>
          </w:cols>
          <w:pgMar w:left="653" w:top="773" w:right="339" w:bottom="1440" w:gutter="0" w:footer="0" w:header="0"/>
        </w:sectPr>
      </w:pPr>
    </w:p>
    <w:bookmarkStart w:id="34" w:name="page35"/>
    <w:bookmarkEnd w:id="34"/>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12,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2014 Annual Report on Form 10-K.</w:t>
      </w:r>
    </w:p>
    <w:p>
      <w:pPr>
        <w:spacing w:after="0" w:line="11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2014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2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Amendment No. 4 to Second Amended and Restated Loan and Security Agreement, dated as of February 27, 2015,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March 3, 2015,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0980"/>
          </w:cols>
          <w:pgMar w:left="240" w:top="850" w:right="679" w:bottom="1440" w:gutter="0" w:footer="0" w:header="0"/>
        </w:sectPr>
      </w:pPr>
    </w:p>
    <w:bookmarkStart w:id="36" w:name="page37"/>
    <w:bookmarkEnd w:id="36"/>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6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3738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20"/>
          </w:cols>
          <w:pgMar w:left="240" w:top="796" w:right="9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Amendment No. 4 to Second Amended and Restated Loan and Security Agreement, dated as of February 27, 2015,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March 3, 2015,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0980"/>
          </w:cols>
          <w:pgMar w:left="240" w:top="796" w:right="6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13,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Shahbazian,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13,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Shahbazian</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Shahbazian</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Chief Financial Officer (interim)</w:t>
            </w:r>
          </w:p>
        </w:tc>
      </w:tr>
    </w:tbl>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3, 2015, as filed with the Securities and Exchange Commission on the date hereof (the “Report”), we, Michael A. Pangia, President and Chief Executive Officer of Aviat Networks, and Michael Shahbazian, Chief Financial Officer (interim)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13, 2015</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13, 2015</w:t>
      </w:r>
    </w:p>
    <w:p>
      <w:pPr>
        <w:ind w:left="6080"/>
        <w:spacing w:after="0"/>
        <w:rPr>
          <w:sz w:val="20"/>
          <w:szCs w:val="20"/>
          <w:color w:val="auto"/>
        </w:rPr>
      </w:pPr>
      <w:r>
        <w:rPr>
          <w:rFonts w:ascii="Arial" w:cs="Arial" w:eastAsia="Arial" w:hAnsi="Arial"/>
          <w:sz w:val="18"/>
          <w:szCs w:val="18"/>
          <w:color w:val="auto"/>
        </w:rPr>
        <w:t>/s/ Michael Shahbazian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Shahbazian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 (interim)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2019-12-29T16:29:20Z</dcterms:created>
  <dcterms:modified xsi:type="dcterms:W3CDTF">2019-12-29T16:29:20Z</dcterms:modified>
</cp:coreProperties>
</file>