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0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27,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40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454660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20-5961564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 Parkway</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California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95054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20" w:type="dxa"/>
            <w:vAlign w:val="bottom"/>
          </w:tcPr>
          <w:p>
            <w:pPr>
              <w:spacing w:after="0"/>
              <w:rPr>
                <w:sz w:val="24"/>
                <w:szCs w:val="24"/>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(408) 567-7000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7" w:lineRule="exact"/>
        <w:rPr>
          <w:sz w:val="24"/>
          <w:szCs w:val="24"/>
          <w:color w:val="auto"/>
        </w:rPr>
      </w:pPr>
    </w:p>
    <w:p>
      <w:pPr>
        <w:ind w:left="4760"/>
        <w:spacing w:after="0"/>
        <w:rPr>
          <w:sz w:val="20"/>
          <w:szCs w:val="20"/>
          <w:color w:val="auto"/>
        </w:rPr>
      </w:pPr>
      <w:r>
        <w:rPr>
          <w:rFonts w:ascii="Arial" w:cs="Arial" w:eastAsia="Arial" w:hAnsi="Arial"/>
          <w:sz w:val="14"/>
          <w:szCs w:val="14"/>
          <w:color w:val="auto"/>
        </w:rPr>
        <w:t>__________________________</w:t>
      </w:r>
    </w:p>
    <w:p>
      <w:pPr>
        <w:spacing w:after="0" w:line="91"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02"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11" w:lineRule="exact"/>
        <w:rPr>
          <w:sz w:val="24"/>
          <w:szCs w:val="24"/>
          <w:color w:val="auto"/>
        </w:rPr>
      </w:pPr>
    </w:p>
    <w:p>
      <w:pPr>
        <w:sectPr>
          <w:pgSz w:w="11900" w:h="16838" w:orient="portrait"/>
          <w:cols w:equalWidth="0" w:num="4">
            <w:col w:w="1600" w:space="720"/>
            <w:col w:w="4380" w:space="720"/>
            <w:col w:w="2800" w:space="720"/>
            <w:col w:w="460"/>
          </w:cols>
          <w:pgMar w:left="240" w:top="1102" w:right="25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380" w:space="140"/>
            <w:col w:w="400" w:space="160"/>
            <w:col w:w="3320"/>
          </w:cols>
          <w:pgMar w:left="240" w:top="1102" w:right="25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January 31, 2014 was 62,150,781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0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rPr>
              <w:t>AVIAT NETWORKS, INC.</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w w:val="99"/>
              </w:rPr>
              <w:t>QUARTERLY REPORT ON FORM 10-Q</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w w:val="91"/>
              </w:rPr>
              <w:t>For the Quarterly Period Ended December 27, 2013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gridSpan w:val="7"/>
          </w:tcPr>
          <w:p>
            <w:pPr>
              <w:jc w:val="center"/>
              <w:ind w:right="2040"/>
              <w:spacing w:after="0"/>
              <w:rPr>
                <w:sz w:val="20"/>
                <w:szCs w:val="20"/>
                <w:color w:val="auto"/>
              </w:rPr>
            </w:pPr>
            <w:r>
              <w:rPr>
                <w:rFonts w:ascii="Arial" w:cs="Arial" w:eastAsia="Arial" w:hAnsi="Arial"/>
                <w:sz w:val="18"/>
                <w:szCs w:val="18"/>
                <w:b w:val="1"/>
                <w:bCs w:val="1"/>
                <w:color w:val="auto"/>
                <w:w w:val="89"/>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0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189"/>
        </w:trPr>
        <w:tc>
          <w:tcPr>
            <w:tcW w:w="2260" w:type="dxa"/>
            <w:vAlign w:val="bottom"/>
            <w:tcBorders>
              <w:bottom w:val="single" w:sz="8" w:color="0000FF"/>
            </w:tcBorders>
            <w:gridSpan w:val="11"/>
          </w:tcPr>
          <w:p>
            <w:pPr>
              <w:spacing w:after="0" w:line="189" w:lineRule="exact"/>
              <w:rPr>
                <w:sz w:val="20"/>
                <w:szCs w:val="20"/>
                <w:color w:val="auto"/>
              </w:rPr>
            </w:pPr>
            <w:r>
              <w:rPr>
                <w:rFonts w:ascii="Arial" w:cs="Arial" w:eastAsia="Arial" w:hAnsi="Arial"/>
                <w:sz w:val="18"/>
                <w:szCs w:val="18"/>
                <w:b w:val="1"/>
                <w:bCs w:val="1"/>
                <w:color w:val="0000FF"/>
                <w:w w:val="94"/>
              </w:rPr>
              <w:t>Part I. Financial Information</w:t>
            </w:r>
          </w:p>
        </w:tc>
        <w:tc>
          <w:tcPr>
            <w:tcW w:w="8040" w:type="dxa"/>
            <w:vAlign w:val="bottom"/>
            <w:gridSpan w:val="9"/>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360" w:type="dxa"/>
            <w:vAlign w:val="bottom"/>
          </w:tcPr>
          <w:p>
            <w:pPr>
              <w:spacing w:after="0"/>
              <w:rPr>
                <w:sz w:val="22"/>
                <w:szCs w:val="22"/>
                <w:color w:val="auto"/>
              </w:rPr>
            </w:pPr>
          </w:p>
        </w:tc>
        <w:tc>
          <w:tcPr>
            <w:tcW w:w="9940" w:type="dxa"/>
            <w:vAlign w:val="bottom"/>
            <w:gridSpan w:val="19"/>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Item 1. Financial Statements</w:t>
              </w:r>
            </w:hyperlink>
          </w:p>
        </w:tc>
        <w:tc>
          <w:tcPr>
            <w:tcW w:w="6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9940" w:type="dxa"/>
            <w:vAlign w:val="bottom"/>
            <w:gridSpan w:val="19"/>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Condensed Consolidated Statements of Operations for the Quarter and Two Quarters Ended December 27, 2013 and December 28, 2012</w:t>
              </w:r>
            </w:hyperlink>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1">
              <w:r>
                <w:rPr>
                  <w:rFonts w:ascii="Arial" w:cs="Arial" w:eastAsia="Arial" w:hAnsi="Arial"/>
                  <w:sz w:val="18"/>
                  <w:szCs w:val="18"/>
                  <w:color w:val="0000FF"/>
                  <w:w w:val="91"/>
                </w:rPr>
                <w:t>(Unaudited)</w:t>
              </w:r>
            </w:hyperlink>
          </w:p>
        </w:tc>
        <w:tc>
          <w:tcPr>
            <w:tcW w:w="8720" w:type="dxa"/>
            <w:vAlign w:val="bottom"/>
            <w:tcBorders>
              <w:top w:val="single" w:sz="8" w:color="0000FF"/>
            </w:tcBorders>
            <w:gridSpan w:val="12"/>
          </w:tcPr>
          <w:p>
            <w:pPr>
              <w:spacing w:after="0"/>
              <w:rPr>
                <w:sz w:val="17"/>
                <w:szCs w:val="17"/>
                <w:color w:val="auto"/>
              </w:rPr>
            </w:pPr>
          </w:p>
        </w:tc>
        <w:tc>
          <w:tcPr>
            <w:tcW w:w="120" w:type="dxa"/>
            <w:vAlign w:val="bottom"/>
            <w:gridSpan w:val="3"/>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9940" w:type="dxa"/>
            <w:vAlign w:val="bottom"/>
            <w:gridSpan w:val="19"/>
          </w:tcPr>
          <w:p>
            <w:pPr>
              <w:spacing w:after="0"/>
              <w:rPr>
                <w:rFonts w:ascii="Arial" w:cs="Arial" w:eastAsia="Arial" w:hAnsi="Arial"/>
                <w:sz w:val="18"/>
                <w:szCs w:val="18"/>
                <w:color w:val="0000EE"/>
                <w:w w:val="89"/>
              </w:rPr>
            </w:pPr>
            <w:hyperlink w:anchor="page1">
              <w:r>
                <w:rPr>
                  <w:rFonts w:ascii="Arial" w:cs="Arial" w:eastAsia="Arial" w:hAnsi="Arial"/>
                  <w:sz w:val="18"/>
                  <w:szCs w:val="18"/>
                  <w:color w:val="0000EE"/>
                  <w:w w:val="89"/>
                </w:rPr>
                <w:t>Condensed Consolidated Statements of Comprehensive Loss for the Quarter and Two Quarters Ended December 27, 2013 and December</w:t>
              </w:r>
            </w:hyperlink>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
              <w:r>
                <w:rPr>
                  <w:rFonts w:ascii="Arial" w:cs="Arial" w:eastAsia="Arial" w:hAnsi="Arial"/>
                  <w:sz w:val="18"/>
                  <w:szCs w:val="18"/>
                  <w:color w:val="0000EE"/>
                  <w:w w:val="91"/>
                </w:rPr>
                <w:t>28, 2012 (Unaudited)</w:t>
              </w:r>
            </w:hyperlink>
          </w:p>
        </w:tc>
        <w:tc>
          <w:tcPr>
            <w:tcW w:w="8080" w:type="dxa"/>
            <w:vAlign w:val="bottom"/>
            <w:tcBorders>
              <w:top w:val="single" w:sz="8" w:color="0000EE"/>
            </w:tcBorders>
            <w:gridSpan w:val="9"/>
          </w:tcPr>
          <w:p>
            <w:pPr>
              <w:spacing w:after="0"/>
              <w:rPr>
                <w:sz w:val="17"/>
                <w:szCs w:val="17"/>
                <w:color w:val="auto"/>
              </w:rPr>
            </w:pPr>
          </w:p>
        </w:tc>
        <w:tc>
          <w:tcPr>
            <w:tcW w:w="80" w:type="dxa"/>
            <w:vAlign w:val="bottom"/>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704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Condensed Consolidated Balance Sheets as of December 27, 2013 and June 28, 2013 (Unaudited)</w:t>
              </w:r>
            </w:hyperlink>
          </w:p>
        </w:tc>
        <w:tc>
          <w:tcPr>
            <w:tcW w:w="2900" w:type="dxa"/>
            <w:vAlign w:val="bottom"/>
            <w:gridSpan w:val="4"/>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9940" w:type="dxa"/>
            <w:vAlign w:val="bottom"/>
            <w:gridSpan w:val="19"/>
          </w:tcPr>
          <w:p>
            <w:pPr>
              <w:spacing w:after="0"/>
              <w:rPr>
                <w:rFonts w:ascii="Arial" w:cs="Arial" w:eastAsia="Arial" w:hAnsi="Arial"/>
                <w:sz w:val="18"/>
                <w:szCs w:val="18"/>
                <w:color w:val="0000FF"/>
                <w:w w:val="89"/>
              </w:rPr>
            </w:pPr>
            <w:hyperlink w:anchor="page1">
              <w:r>
                <w:rPr>
                  <w:rFonts w:ascii="Arial" w:cs="Arial" w:eastAsia="Arial" w:hAnsi="Arial"/>
                  <w:sz w:val="18"/>
                  <w:szCs w:val="18"/>
                  <w:color w:val="0000FF"/>
                  <w:w w:val="89"/>
                </w:rPr>
                <w:t>Condensed Consolidated Statements of Cash Flows for the Quarter and Two Quarters Ended December 27, 2013 and December 28, 2013</w:t>
              </w:r>
            </w:hyperlink>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1">
              <w:r>
                <w:rPr>
                  <w:rFonts w:ascii="Arial" w:cs="Arial" w:eastAsia="Arial" w:hAnsi="Arial"/>
                  <w:sz w:val="18"/>
                  <w:szCs w:val="18"/>
                  <w:color w:val="0000FF"/>
                  <w:w w:val="91"/>
                </w:rPr>
                <w:t>(Unaudited)</w:t>
              </w:r>
            </w:hyperlink>
          </w:p>
        </w:tc>
        <w:tc>
          <w:tcPr>
            <w:tcW w:w="8780" w:type="dxa"/>
            <w:vAlign w:val="bottom"/>
            <w:tcBorders>
              <w:top w:val="single" w:sz="8" w:color="0000FF"/>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17"/>
                <w:szCs w:val="17"/>
                <w:color w:val="auto"/>
              </w:rPr>
            </w:pPr>
          </w:p>
        </w:tc>
      </w:tr>
      <w:tr>
        <w:trPr>
          <w:trHeight w:val="250"/>
        </w:trPr>
        <w:tc>
          <w:tcPr>
            <w:tcW w:w="360" w:type="dxa"/>
            <w:vAlign w:val="bottom"/>
          </w:tcPr>
          <w:p>
            <w:pPr>
              <w:spacing w:after="0"/>
              <w:rPr>
                <w:sz w:val="21"/>
                <w:szCs w:val="21"/>
                <w:color w:val="auto"/>
              </w:rPr>
            </w:pPr>
          </w:p>
        </w:tc>
        <w:tc>
          <w:tcPr>
            <w:tcW w:w="49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5040" w:type="dxa"/>
            <w:vAlign w:val="bottom"/>
            <w:gridSpan w:val="6"/>
          </w:tcPr>
          <w:p>
            <w:pPr>
              <w:spacing w:after="0"/>
              <w:rPr>
                <w:sz w:val="21"/>
                <w:szCs w:val="21"/>
                <w:color w:val="auto"/>
              </w:rPr>
            </w:pPr>
          </w:p>
        </w:tc>
        <w:tc>
          <w:tcPr>
            <w:tcW w:w="5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7000" w:type="dxa"/>
            <w:vAlign w:val="bottom"/>
            <w:gridSpan w:val="14"/>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2940" w:type="dxa"/>
            <w:vAlign w:val="bottom"/>
            <w:gridSpan w:val="5"/>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900" w:type="dxa"/>
            <w:vAlign w:val="bottom"/>
            <w:gridSpan w:val="13"/>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00" w:type="dxa"/>
            <w:vAlign w:val="bottom"/>
          </w:tcPr>
          <w:p>
            <w:pPr>
              <w:spacing w:after="0"/>
              <w:rPr>
                <w:sz w:val="21"/>
                <w:szCs w:val="21"/>
                <w:color w:val="auto"/>
              </w:rPr>
            </w:pPr>
          </w:p>
        </w:tc>
        <w:tc>
          <w:tcPr>
            <w:tcW w:w="2940" w:type="dxa"/>
            <w:vAlign w:val="bottom"/>
            <w:gridSpan w:val="5"/>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900" w:type="dxa"/>
            <w:vAlign w:val="bottom"/>
            <w:gridSpan w:val="13"/>
          </w:tcPr>
          <w:p>
            <w:pPr>
              <w:spacing w:after="0"/>
              <w:rPr>
                <w:sz w:val="20"/>
                <w:szCs w:val="20"/>
                <w:color w:val="auto"/>
              </w:rPr>
            </w:pPr>
            <w:r>
              <w:rPr>
                <w:rFonts w:ascii="Arial" w:cs="Arial" w:eastAsia="Arial" w:hAnsi="Arial"/>
                <w:sz w:val="18"/>
                <w:szCs w:val="18"/>
                <w:color w:val="0000FF"/>
              </w:rPr>
              <w:t>Item 4. Controls and Procedures</w:t>
            </w:r>
          </w:p>
        </w:tc>
        <w:tc>
          <w:tcPr>
            <w:tcW w:w="5040" w:type="dxa"/>
            <w:vAlign w:val="bottom"/>
            <w:gridSpan w:val="6"/>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6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6"/>
              </w:rPr>
              <w:t>Part II. Other Information</w:t>
            </w:r>
          </w:p>
        </w:tc>
        <w:tc>
          <w:tcPr>
            <w:tcW w:w="824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1880" w:type="dxa"/>
            <w:vAlign w:val="bottom"/>
            <w:gridSpan w:val="9"/>
          </w:tcPr>
          <w:p>
            <w:pPr>
              <w:spacing w:after="0"/>
              <w:rPr>
                <w:sz w:val="20"/>
                <w:szCs w:val="20"/>
                <w:color w:val="auto"/>
              </w:rPr>
            </w:pPr>
            <w:r>
              <w:rPr>
                <w:rFonts w:ascii="Arial" w:cs="Arial" w:eastAsia="Arial" w:hAnsi="Arial"/>
                <w:sz w:val="18"/>
                <w:szCs w:val="18"/>
                <w:color w:val="0000FF"/>
                <w:w w:val="88"/>
              </w:rPr>
              <w:t>Item 1. Legal Proceedings</w:t>
            </w:r>
          </w:p>
        </w:tc>
        <w:tc>
          <w:tcPr>
            <w:tcW w:w="8060" w:type="dxa"/>
            <w:vAlign w:val="bottom"/>
            <w:gridSpan w:val="10"/>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6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gridSpan w:val="6"/>
          </w:tcPr>
          <w:p>
            <w:pPr>
              <w:spacing w:after="0"/>
              <w:rPr>
                <w:sz w:val="20"/>
                <w:szCs w:val="20"/>
                <w:color w:val="auto"/>
              </w:rPr>
            </w:pPr>
            <w:r>
              <w:rPr>
                <w:rFonts w:ascii="Arial" w:cs="Arial" w:eastAsia="Arial" w:hAnsi="Arial"/>
                <w:sz w:val="18"/>
                <w:szCs w:val="18"/>
                <w:color w:val="0000FF"/>
                <w:w w:val="90"/>
              </w:rPr>
              <w:t>Item 1A. Risk Factors</w:t>
            </w:r>
          </w:p>
        </w:tc>
        <w:tc>
          <w:tcPr>
            <w:tcW w:w="300" w:type="dxa"/>
            <w:vAlign w:val="bottom"/>
            <w:gridSpan w:val="3"/>
          </w:tcPr>
          <w:p>
            <w:pPr>
              <w:spacing w:after="0"/>
              <w:rPr>
                <w:sz w:val="21"/>
                <w:szCs w:val="21"/>
                <w:color w:val="auto"/>
              </w:rPr>
            </w:pPr>
          </w:p>
        </w:tc>
        <w:tc>
          <w:tcPr>
            <w:tcW w:w="8060" w:type="dxa"/>
            <w:vAlign w:val="bottom"/>
            <w:gridSpan w:val="10"/>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0000FF"/>
                <w:w w:val="90"/>
              </w:rPr>
              <w:t>Item 6. Exhibits</w:t>
            </w:r>
          </w:p>
        </w:tc>
        <w:tc>
          <w:tcPr>
            <w:tcW w:w="44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1"/>
                <w:szCs w:val="2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800" w:type="dxa"/>
            <w:vAlign w:val="bottom"/>
            <w:gridSpan w:val="1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3"/>
          </w:tcPr>
          <w:p>
            <w:pPr>
              <w:spacing w:after="0"/>
              <w:rPr>
                <w:sz w:val="20"/>
                <w:szCs w:val="20"/>
                <w:color w:val="auto"/>
              </w:rPr>
            </w:pPr>
            <w:r>
              <w:rPr>
                <w:rFonts w:ascii="Arial" w:cs="Arial" w:eastAsia="Arial" w:hAnsi="Arial"/>
                <w:sz w:val="18"/>
                <w:szCs w:val="18"/>
                <w:b w:val="1"/>
                <w:bCs w:val="1"/>
                <w:color w:val="0000FF"/>
                <w:w w:val="86"/>
              </w:rPr>
              <w:t>Signature</w:t>
            </w:r>
          </w:p>
        </w:tc>
        <w:tc>
          <w:tcPr>
            <w:tcW w:w="9560" w:type="dxa"/>
            <w:vAlign w:val="bottom"/>
            <w:gridSpan w:val="17"/>
          </w:tcPr>
          <w:p>
            <w:pPr>
              <w:spacing w:after="0"/>
              <w:rPr>
                <w:sz w:val="21"/>
                <w:szCs w:val="21"/>
                <w:color w:val="auto"/>
              </w:rPr>
            </w:pPr>
          </w:p>
        </w:tc>
        <w:tc>
          <w:tcPr>
            <w:tcW w:w="6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6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00" w:type="dxa"/>
            <w:vAlign w:val="bottom"/>
            <w:gridSpan w:val="20"/>
          </w:tcPr>
          <w:p>
            <w:pPr>
              <w:spacing w:after="0"/>
              <w:rPr>
                <w:sz w:val="20"/>
                <w:szCs w:val="20"/>
                <w:color w:val="auto"/>
              </w:rPr>
            </w:pPr>
            <w:r>
              <w:rPr>
                <w:rFonts w:ascii="Arial" w:cs="Arial" w:eastAsia="Arial" w:hAnsi="Arial"/>
                <w:sz w:val="18"/>
                <w:szCs w:val="18"/>
                <w:b w:val="1"/>
                <w:bCs w:val="1"/>
                <w:color w:val="0000FF"/>
              </w:rPr>
              <w:t>Exhibit Index</w:t>
            </w:r>
          </w:p>
        </w:tc>
        <w:tc>
          <w:tcPr>
            <w:tcW w:w="6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r>
      <w:tr>
        <w:trPr>
          <w:trHeight w:val="723"/>
        </w:trPr>
        <w:tc>
          <w:tcPr>
            <w:tcW w:w="1040" w:type="dxa"/>
            <w:vAlign w:val="bottom"/>
            <w:tcBorders>
              <w:top w:val="single" w:sz="8" w:color="0000FF"/>
            </w:tcBorders>
            <w:gridSpan w:val="4"/>
          </w:tcPr>
          <w:p>
            <w:pPr>
              <w:spacing w:after="0"/>
              <w:rPr>
                <w:sz w:val="24"/>
                <w:szCs w:val="24"/>
                <w:color w:val="auto"/>
              </w:rPr>
            </w:pPr>
          </w:p>
        </w:tc>
        <w:tc>
          <w:tcPr>
            <w:tcW w:w="6320" w:type="dxa"/>
            <w:vAlign w:val="bottom"/>
            <w:gridSpan w:val="11"/>
          </w:tcPr>
          <w:p>
            <w:pPr>
              <w:jc w:val="center"/>
              <w:ind w:left="241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40"/>
          </w:cols>
          <w:pgMar w:left="500" w:top="580" w:right="45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3"/>
                <w:szCs w:val="13"/>
                <w:b w:val="1"/>
                <w:bCs w:val="1"/>
                <w:color w:val="auto"/>
              </w:rPr>
              <w:t>Two Quarters Ended</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December 27,</w:t>
            </w:r>
          </w:p>
        </w:tc>
        <w:tc>
          <w:tcPr>
            <w:tcW w:w="220" w:type="dxa"/>
            <w:vAlign w:val="bottom"/>
          </w:tcPr>
          <w:p>
            <w:pPr>
              <w:spacing w:after="0"/>
              <w:rPr>
                <w:sz w:val="12"/>
                <w:szCs w:val="12"/>
                <w:color w:val="auto"/>
              </w:rPr>
            </w:pPr>
          </w:p>
        </w:tc>
        <w:tc>
          <w:tcPr>
            <w:tcW w:w="12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December 28,</w:t>
            </w:r>
          </w:p>
        </w:tc>
        <w:tc>
          <w:tcPr>
            <w:tcW w:w="200" w:type="dxa"/>
            <w:vAlign w:val="bottom"/>
          </w:tcPr>
          <w:p>
            <w:pPr>
              <w:spacing w:after="0"/>
              <w:rPr>
                <w:sz w:val="12"/>
                <w:szCs w:val="12"/>
                <w:color w:val="auto"/>
              </w:rPr>
            </w:pPr>
          </w:p>
        </w:tc>
        <w:tc>
          <w:tcPr>
            <w:tcW w:w="12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December 27,</w:t>
            </w:r>
          </w:p>
        </w:tc>
        <w:tc>
          <w:tcPr>
            <w:tcW w:w="220" w:type="dxa"/>
            <w:vAlign w:val="bottom"/>
          </w:tcPr>
          <w:p>
            <w:pPr>
              <w:spacing w:after="0"/>
              <w:rPr>
                <w:sz w:val="12"/>
                <w:szCs w:val="12"/>
                <w:color w:val="auto"/>
              </w:rPr>
            </w:pPr>
          </w:p>
        </w:tc>
        <w:tc>
          <w:tcPr>
            <w:tcW w:w="1140" w:type="dxa"/>
            <w:vAlign w:val="bottom"/>
          </w:tcPr>
          <w:p>
            <w:pPr>
              <w:jc w:val="right"/>
              <w:ind w:right="240"/>
              <w:spacing w:after="0" w:line="144" w:lineRule="exact"/>
              <w:rPr>
                <w:sz w:val="20"/>
                <w:szCs w:val="20"/>
                <w:color w:val="auto"/>
              </w:rPr>
            </w:pPr>
            <w:r>
              <w:rPr>
                <w:rFonts w:ascii="Arial" w:cs="Arial" w:eastAsia="Arial" w:hAnsi="Arial"/>
                <w:sz w:val="13"/>
                <w:szCs w:val="13"/>
                <w:b w:val="1"/>
                <w:bCs w:val="1"/>
                <w:color w:val="auto"/>
                <w:w w:val="94"/>
              </w:rPr>
              <w:t>December 28,</w:t>
            </w:r>
          </w:p>
        </w:tc>
        <w:tc>
          <w:tcPr>
            <w:tcW w:w="0" w:type="dxa"/>
            <w:vAlign w:val="bottom"/>
          </w:tcPr>
          <w:p>
            <w:pPr>
              <w:spacing w:after="0"/>
              <w:rPr>
                <w:sz w:val="1"/>
                <w:szCs w:val="1"/>
                <w:color w:val="auto"/>
              </w:rPr>
            </w:pPr>
          </w:p>
        </w:tc>
      </w:tr>
      <w:tr>
        <w:trPr>
          <w:trHeight w:val="17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per share amounts)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Revenue from product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Cost of product sales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3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Selling and administrative expenses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identifiable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Basic and diluted income (loss) per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Weighted average shares outstanding, basic and diluted</w:t>
            </w:r>
          </w:p>
        </w:tc>
        <w:tc>
          <w:tcPr>
            <w:tcW w:w="20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0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1"/>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60"/>
              <w:spacing w:after="0"/>
              <w:rPr>
                <w:sz w:val="20"/>
                <w:szCs w:val="20"/>
                <w:color w:val="auto"/>
              </w:rPr>
            </w:pPr>
            <w:r>
              <w:rPr>
                <w:rFonts w:ascii="Arial" w:cs="Arial" w:eastAsia="Arial" w:hAnsi="Arial"/>
                <w:sz w:val="16"/>
                <w:szCs w:val="16"/>
                <w:color w:val="auto"/>
              </w:rPr>
              <w:t>Change in unrealized gain (loss) on cash flow hedges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Reclassification adjustment for realized net gain (loss) 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cash flow hedges included in net loss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820" w:type="dxa"/>
            <w:vAlign w:val="bottom"/>
          </w:tcPr>
          <w:p>
            <w:pPr>
              <w:ind w:left="680"/>
              <w:spacing w:after="0"/>
              <w:rPr>
                <w:sz w:val="20"/>
                <w:szCs w:val="20"/>
                <w:color w:val="auto"/>
              </w:rPr>
            </w:pPr>
            <w:r>
              <w:rPr>
                <w:rFonts w:ascii="Arial" w:cs="Arial" w:eastAsia="Arial" w:hAnsi="Arial"/>
                <w:sz w:val="16"/>
                <w:szCs w:val="16"/>
                <w:color w:val="auto"/>
              </w:rPr>
              <w:t>Net change in unrealized gain or loss on cash flow hedges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5820" w:type="dxa"/>
            <w:vAlign w:val="bottom"/>
          </w:tcPr>
          <w:p>
            <w:pPr>
              <w:ind w:left="36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Bad debt expenses (recovery)</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Charges for inventory write-downs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Unbilled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Income taxes payable or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Additions of property, plant and equipment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Payments on capital leases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share-based compensation awards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Aviat Networks, Inc. (the "Company” or “we”) designs, manufactures and sells a range of wireless networking products,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and two quarters ended December 27, 2013 (the “second quarter and first two quarters of fiscal 2014”)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28, 2013.</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two quarters of fiscal 2014 and 2013 included 13 weeks in each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Immaterial Errors</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recognized an adjustment of $2.2 million during the second quarter of fiscal 2014 to correct immaterial errors arising from fiscal 2007 through September 27, 2013. The result of this adjustment was to decrease provision for income taxes and our reserve for uncertain tax positions. This had no impact to our statement of cash flows for fiscal 2013 and fiscal 2014 periods. We believe the impact of the adjustment is not material to our annual and quarterly financial statements as a whole for current or prior periods.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the fiscal 2013 financial statements have been reclassified to conform to the fiscal 2014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ind w:right="260"/>
        <w:spacing w:after="0" w:line="259" w:lineRule="auto"/>
        <w:rPr>
          <w:sz w:val="20"/>
          <w:szCs w:val="20"/>
          <w:color w:val="auto"/>
        </w:rPr>
      </w:pPr>
      <w:r>
        <w:rPr>
          <w:rFonts w:ascii="Arial" w:cs="Arial" w:eastAsia="Arial" w:hAnsi="Arial"/>
          <w:sz w:val="18"/>
          <w:szCs w:val="18"/>
          <w:color w:val="auto"/>
        </w:rPr>
        <w:t>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two quarters of fiscal 2014, as compared to the significant accounting policies described in our Annual Report on Form 10-K for the fiscal year ended June 28,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February 2013, the Financial Accounting Standards Board (“FASB”) issued an accounting standards update on reporting amounts reclassified out of accumulated other comprehensive income (“AOCI”), which requires companies to present information about reclassifications out of AOCI in one place. Companies also are required to present reclassifications by component when reporting changes in AOCI balances. For significant items reclassified out of AOCI to net income in their entirety in the period, companies must report the effect of the reclassifications on the respective line items in the statement where net income is presented. This information may be provided either in the notes or parenthetically on the face of that statement as long as all the information is disclosed in a single location. For items not reclassified to net income in their entirety in the period, companies must cross-reference in a note to other required disclosures. We adopted this new guidance in the first quarter of fiscal 2014 and the adoption did not impact our condensed consolidated financial position or results of operations as the guidance relates only to financial statement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July 2013, the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This new guidance is to be adopted prospectively and is effective for us beginning in our first quarter of fiscal 2015. The adoption of this standard will have no effect on our consolidated financial position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loss during the first two quarters of fiscal 2014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28,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gain</w:t>
            </w:r>
          </w:p>
        </w:tc>
        <w:tc>
          <w:tcPr>
            <w:tcW w:w="26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December 27, 2013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(Loss) per Share of Common Stock</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right="40"/>
        <w:spacing w:after="0" w:line="276" w:lineRule="auto"/>
        <w:rPr>
          <w:sz w:val="20"/>
          <w:szCs w:val="20"/>
          <w:color w:val="auto"/>
        </w:rPr>
      </w:pPr>
      <w:r>
        <w:rPr>
          <w:rFonts w:ascii="Arial" w:cs="Arial" w:eastAsia="Arial" w:hAnsi="Arial"/>
          <w:sz w:val="17"/>
          <w:szCs w:val="17"/>
          <w:color w:val="auto"/>
        </w:rPr>
        <w:t>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As we incurred net loss in all periods presented,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 diluted net loss per share calculations: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557"/>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27,</w:t>
            </w:r>
          </w:p>
        </w:tc>
        <w:tc>
          <w:tcPr>
            <w:tcW w:w="1260" w:type="dxa"/>
            <w:vAlign w:val="bottom"/>
            <w:gridSpan w:val="2"/>
          </w:tcPr>
          <w:p>
            <w:pPr>
              <w:jc w:val="right"/>
              <w:ind w:right="148"/>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1360" w:type="dxa"/>
            <w:vAlign w:val="bottom"/>
            <w:gridSpan w:val="4"/>
          </w:tcPr>
          <w:p>
            <w:pPr>
              <w:ind w:left="200"/>
              <w:spacing w:after="0" w:line="153" w:lineRule="exact"/>
              <w:rPr>
                <w:sz w:val="20"/>
                <w:szCs w:val="20"/>
                <w:color w:val="auto"/>
              </w:rPr>
            </w:pPr>
            <w:r>
              <w:rPr>
                <w:rFonts w:ascii="Arial" w:cs="Arial" w:eastAsia="Arial" w:hAnsi="Arial"/>
                <w:sz w:val="14"/>
                <w:szCs w:val="14"/>
                <w:b w:val="1"/>
                <w:bCs w:val="1"/>
                <w:color w:val="auto"/>
              </w:rPr>
              <w:t>December 27,</w:t>
            </w:r>
          </w:p>
        </w:tc>
        <w:tc>
          <w:tcPr>
            <w:tcW w:w="12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Restricted stock awards and units and performance shares and units</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420"/>
              <w:spacing w:after="0"/>
              <w:rPr>
                <w:sz w:val="20"/>
                <w:szCs w:val="20"/>
                <w:color w:val="auto"/>
              </w:rPr>
            </w:pPr>
            <w:r>
              <w:rPr>
                <w:rFonts w:ascii="Arial" w:cs="Arial" w:eastAsia="Arial" w:hAnsi="Arial"/>
                <w:sz w:val="18"/>
                <w:szCs w:val="18"/>
                <w:color w:val="auto"/>
              </w:rPr>
              <w:t>Our receivables are summarized below:</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477"/>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(In millions)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84.6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regularly require letters of credit from some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2"/>
              </w:rPr>
              <w:t>December 27,</w:t>
            </w:r>
          </w:p>
        </w:tc>
        <w:tc>
          <w:tcPr>
            <w:tcW w:w="3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11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486"/>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8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24"/>
                <w:szCs w:val="2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28,</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vMerge w:val="restart"/>
          </w:tcPr>
          <w:p>
            <w:pPr>
              <w:jc w:val="right"/>
              <w:ind w:right="1059"/>
              <w:spacing w:after="0"/>
              <w:rPr>
                <w:sz w:val="20"/>
                <w:szCs w:val="20"/>
                <w:color w:val="auto"/>
              </w:rPr>
            </w:pPr>
            <w:r>
              <w:rPr>
                <w:rFonts w:ascii="Arial" w:cs="Arial" w:eastAsia="Arial" w:hAnsi="Arial"/>
                <w:sz w:val="18"/>
                <w:szCs w:val="18"/>
                <w:color w:val="auto"/>
              </w:rPr>
              <w:t>9</w:t>
            </w: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9" w:name="page10"/>
    <w:bookmarkEnd w:id="9"/>
    <w:p>
      <w:pPr>
        <w:ind w:right="100" w:firstLine="432"/>
        <w:spacing w:after="0" w:line="259"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and deferred costs of revenue that we were unlikely to derive revenue from due to the disposition of our WiMAX business or customer insolvency. During the first two quarters of fiscal 2014 and 2013, such charges incurred were classified in cost of product sales or discontinued operations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855"/>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440" w:type="dxa"/>
            <w:vAlign w:val="bottom"/>
            <w:gridSpan w:val="4"/>
          </w:tcPr>
          <w:p>
            <w:pPr>
              <w:jc w:val="right"/>
              <w:ind w:right="500"/>
              <w:spacing w:after="0" w:line="153" w:lineRule="exact"/>
              <w:rPr>
                <w:sz w:val="20"/>
                <w:szCs w:val="20"/>
                <w:color w:val="auto"/>
              </w:rPr>
            </w:pPr>
            <w:r>
              <w:rPr>
                <w:rFonts w:ascii="Arial" w:cs="Arial" w:eastAsia="Arial" w:hAnsi="Arial"/>
                <w:sz w:val="14"/>
                <w:szCs w:val="14"/>
                <w:b w:val="1"/>
                <w:bCs w:val="1"/>
                <w:color w:val="auto"/>
              </w:rPr>
              <w:t>December 27,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w w:val="92"/>
              </w:rPr>
              <w:t>December 28,</w:t>
            </w:r>
          </w:p>
        </w:tc>
      </w:tr>
      <w:tr>
        <w:trPr>
          <w:trHeight w:val="192"/>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2012</w:t>
            </w:r>
          </w:p>
        </w:tc>
      </w:tr>
      <w:tr>
        <w:trPr>
          <w:trHeight w:val="250"/>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7"/>
          </w:tcPr>
          <w:p>
            <w:pPr>
              <w:ind w:left="380"/>
              <w:spacing w:after="0"/>
              <w:rPr>
                <w:sz w:val="20"/>
                <w:szCs w:val="20"/>
                <w:color w:val="auto"/>
              </w:rPr>
            </w:pPr>
            <w:r>
              <w:rPr>
                <w:rFonts w:ascii="Arial" w:cs="Arial" w:eastAsia="Arial" w:hAnsi="Arial"/>
                <w:sz w:val="14"/>
                <w:szCs w:val="14"/>
                <w:b w:val="1"/>
                <w:bCs w:val="1"/>
                <w:color w:val="auto"/>
              </w:rPr>
              <w:t>(In millions, except percentages)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Excess and obsolete inventory and deferred cost of sales charges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2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rPr>
              <w:t>0.4</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3.3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4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22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68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1.4%</w:t>
            </w:r>
          </w:p>
        </w:tc>
      </w:tr>
      <w:tr>
        <w:trPr>
          <w:trHeight w:val="486"/>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4940" w:type="dxa"/>
            <w:vAlign w:val="bottom"/>
          </w:tcPr>
          <w:p>
            <w:pPr>
              <w:ind w:left="440"/>
              <w:spacing w:after="0"/>
              <w:rPr>
                <w:sz w:val="20"/>
                <w:szCs w:val="20"/>
                <w:color w:val="auto"/>
              </w:rPr>
            </w:pPr>
            <w:r>
              <w:rPr>
                <w:rFonts w:ascii="Arial" w:cs="Arial" w:eastAsia="Arial" w:hAnsi="Arial"/>
                <w:sz w:val="18"/>
                <w:szCs w:val="18"/>
                <w:color w:val="auto"/>
                <w:w w:val="96"/>
              </w:rPr>
              <w:t>Our property, plant and equipment are summarized below:</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28,</w:t>
            </w:r>
          </w:p>
        </w:tc>
      </w:tr>
      <w:tr>
        <w:trPr>
          <w:trHeight w:val="192"/>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196"/>
        </w:trPr>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7"/>
          </w:tcPr>
          <w:p>
            <w:pPr>
              <w:jc w:val="center"/>
              <w:ind w:right="95"/>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10.6</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48.8</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40" w:type="dxa"/>
            <w:vAlign w:val="bottom"/>
          </w:tcPr>
          <w:p>
            <w:pPr>
              <w:spacing w:after="0"/>
              <w:rPr>
                <w:sz w:val="13"/>
                <w:szCs w:val="13"/>
                <w:color w:val="auto"/>
              </w:rPr>
            </w:pPr>
          </w:p>
        </w:tc>
        <w:tc>
          <w:tcPr>
            <w:tcW w:w="112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80" w:type="dxa"/>
            <w:vAlign w:val="bottom"/>
          </w:tcPr>
          <w:p>
            <w:pPr>
              <w:spacing w:after="0"/>
              <w:rPr>
                <w:sz w:val="13"/>
                <w:szCs w:val="13"/>
                <w:color w:val="auto"/>
              </w:rPr>
            </w:pPr>
          </w:p>
        </w:tc>
        <w:tc>
          <w:tcPr>
            <w:tcW w:w="118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60" w:type="dxa"/>
            <w:vAlign w:val="bottom"/>
          </w:tcPr>
          <w:p>
            <w:pPr>
              <w:spacing w:after="0"/>
              <w:rPr>
                <w:sz w:val="13"/>
                <w:szCs w:val="13"/>
                <w:color w:val="auto"/>
              </w:rPr>
            </w:pPr>
          </w:p>
        </w:tc>
        <w:tc>
          <w:tcPr>
            <w:tcW w:w="110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December 28,</w:t>
            </w:r>
          </w:p>
        </w:tc>
      </w:t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r>
      <w:tr>
        <w:trPr>
          <w:trHeight w:val="196"/>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3"/>
          </w:tcPr>
          <w:p>
            <w:pPr>
              <w:jc w:val="right"/>
              <w:ind w:right="904"/>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w:t>
            </w: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color w:val="auto"/>
        </w:rPr>
        <w:t>We have accrued for the estimated cost to repair or replace products under warranty at the time of sale. Changes in our warranty liability, which are included as a component of other accrued expenses on the consolidated balance sheets, during the first two quarters of fiscal 2014 and 2013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28,</w:t>
            </w:r>
          </w:p>
        </w:tc>
      </w:t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right"/>
              <w:ind w:right="99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r>
      <w:tr>
        <w:trPr>
          <w:trHeight w:val="27"/>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ind w:right="4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cost, estimated fair values and valuation input levels of our assets and liabilities that are measured at fair value on a recurring basis as of December 27, 2013 and June 28, 2013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December 27, 2013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June 28, 2013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money market funds purchased from two major financial institutions. As of December 27, 2013 and June 28, 2013, these money market shares were valued at $1.00 net asset value per share by these financial institutions.</w:t>
      </w:r>
    </w:p>
    <w:p>
      <w:pPr>
        <w:spacing w:after="0" w:line="12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We classify items in Level 2 if the investments are valued using observable inputs to quoted market prices, benchmark yields, reported trades, broker/dealer quotes or alternative pricing sources with reasonable levels of price transparency. Our bank certificates of deposit and foreign exchange forward contracts are classified within Level 2. Foreign currency forward contracts are measured at fair value using observable foreign currency exchange rates.</w:t>
      </w:r>
    </w:p>
    <w:p>
      <w:pPr>
        <w:spacing w:after="0" w:line="93"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two quarters of fiscal 2014 and 2013, we had no transfers between levels of the fair value hierarchy of our assets or liabilities measured at fair value.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September 27, 2013, we amended and restated our credit facility with Silicon Valley Bank ("SVB") for a new term of three years expiring on September 26, 2016 (the “Maturity Date”). We also repaid the remaining $1.7 million outstanding balance of the original $8.3 million two-year term loan that we borrowed on January 30, 2012 to fund the redemption of the preference shares issued by our Singapore subsidiary. On October 29, 2013, November 20, 2013 and February 10, 2014, we entered into Amendment No. 1, No. 2 and No. 3, respectively, to the amended and restated credit facility providing for certain amendments to the financial covenants.</w:t>
      </w:r>
    </w:p>
    <w:p>
      <w:pPr>
        <w:spacing w:after="0" w:line="13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amended and restated credit facility provides for a committed amount of up to $50.0 million, with a $30.0 million sublimit that can be borrowed by our Singapore subsidiary. Borrowings that may be advanced under the amended and restated credit facility at the lesser of $50.0 million or a borrowing base equal to $10.0 million plus a specified percentage of the value of eligible accounts receivable of the Company, subject to certain reserves and eligibility criteria. The amended and restated credit facility can also be utilized to issue letters of credit. Principal, together with all accrued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ind w:right="180"/>
        <w:spacing w:after="0" w:line="302" w:lineRule="auto"/>
        <w:rPr>
          <w:sz w:val="20"/>
          <w:szCs w:val="20"/>
          <w:color w:val="auto"/>
        </w:rPr>
      </w:pPr>
      <w:r>
        <w:rPr>
          <w:rFonts w:ascii="Arial" w:cs="Arial" w:eastAsia="Arial" w:hAnsi="Arial"/>
          <w:sz w:val="16"/>
          <w:szCs w:val="16"/>
          <w:color w:val="auto"/>
        </w:rPr>
        <w:t>and unpaid interest, is due and payable on the Maturity Date, provided that we may request, up to two times, one-year extensions of the Maturity Date, such extensions to be granted at the sole discretion of SVB. We may prepay loans under the amended and restated credit facility in whole or in part at any time without premium or penalty. We currently do not expect to repay any loans within the next 12 months. As of December 27, 2013, available credit under the amended and restated credit facility was $36.8 million reflecting the borrowings of $6.0 million and outstanding letters of credit of $7.2 million.</w:t>
      </w:r>
    </w:p>
    <w:p>
      <w:pPr>
        <w:spacing w:after="0" w:line="10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Borrowings under the amended and restated credit facility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Eurodollar loans is offered at LIBOR plus a spread of between 2.00% to 2.75% based on our consolidated leverage ratio for the preceding four fiscal quarter period. Interest is due and payable in arrears monthly for prime rate loans and, for LIBOR rate loans, at the end of an interest period or at each three-month interval if the interest period is greater than three months. During the first two quarters of fiscal 2014, the weighted average interest rate on our $6.0 million loan was 3.25%. The previous $8.3 million two-year term loan bore a fixed interest rate of 5% per annum.</w:t>
      </w:r>
    </w:p>
    <w:p>
      <w:pPr>
        <w:spacing w:after="0" w:line="104"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amended and restated credit facility contains a minimum liquidity ratio covenant and a minimum profitability (EBITDA) covenant. The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credit facility. Upon an event of default, all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2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As of December 27, 2013, we were not in compliance with the financial covenants contained in the amended and restated credit agreement. As a result of this non-compliance and the fact that the credit facility contains a subjective acceleration clause which could be triggered by the lender, the $6.0 million borrowing was classified as a current liability as of December 27, 2013. Following amendment No. 3 to the amended and restated credit agreement, we were in compliance with all the financial covenants under the amended and restated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the downsizing of our Santa Clara, California headquarters and certain U.S. and international field offices, and reductions in force to reduce our operating expenses.</w:t>
      </w:r>
    </w:p>
    <w:p>
      <w:pPr>
        <w:spacing w:after="0" w:line="133"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The following table summarizes our costs incurred during the second quarter and first two quarters of fiscal 2014, estimated additional costs to be incurred and estimated total costs expected to be incurred as of December 27, 2013 under the Fiscal 2013-2014 Plan:</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During Two Quarters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During Quarter Ended</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27, 2013</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27, 2013</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27, 2013</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42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2013-2014 Plan</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During the first two quarters of fiscal 2014, our severance and benefits charges under the Fiscal 2013-2014 Plan primarily related to reductions in force in Santa Clara, California and several international locations. Facilities and other charges in the first two quarters of fiscal 2014 included obligations under a non-cancelable lease for facilities that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t>ceased to use at our Santa Clara, California headquarters and certain U.S. and international field offices. We intend to complete a majority of the remaining restructuring activities in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175"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The Fiscal 2011 Plan was intended to bring our cost structure in line with the changing dynamics of the worldwide microwave radio and telecommunication markets, primarily in North America, Europe and Asia. Activities under the Fiscal 2011 Plan included reductions in force to reduce our operating expenses and the downsizing or closure of our Morrisville, North Carolina, Santa Clara, California, Montreal, Canada and certain international field offices. The initiatives under the Fiscal 2011 Plan were completed in fiscal 2013.</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costs incurred during the first two quarters of fiscal 2013 and total costs incurred under the Fiscal 2011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Costs Incurred During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Costs Incurred</w:t>
            </w:r>
          </w:p>
        </w:tc>
        <w:tc>
          <w:tcPr>
            <w:tcW w:w="180" w:type="dxa"/>
            <w:vAlign w:val="bottom"/>
          </w:tcPr>
          <w:p>
            <w:pPr>
              <w:spacing w:after="0"/>
              <w:rPr>
                <w:sz w:val="14"/>
                <w:szCs w:val="14"/>
                <w:color w:val="auto"/>
              </w:rPr>
            </w:pPr>
          </w:p>
        </w:tc>
        <w:tc>
          <w:tcPr>
            <w:tcW w:w="15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7"/>
              </w:rPr>
              <w:t>Total Restructuring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During Two</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Quarters Ended</w:t>
            </w:r>
          </w:p>
        </w:tc>
        <w:tc>
          <w:tcPr>
            <w:tcW w:w="180" w:type="dxa"/>
            <w:vAlign w:val="bottom"/>
          </w:tcPr>
          <w:p>
            <w:pPr>
              <w:spacing w:after="0"/>
              <w:rPr>
                <w:sz w:val="12"/>
                <w:szCs w:val="12"/>
                <w:color w:val="auto"/>
              </w:rPr>
            </w:pPr>
          </w:p>
        </w:tc>
        <w:tc>
          <w:tcPr>
            <w:tcW w:w="152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Costs Incurred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28, 2012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2012</w:t>
            </w: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(Completed in Fiscal 2013)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During the first two quarters of fiscal 2013, we continued executing restructuring activities to reduce our operating costs worldwide under the Fiscal 2011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restructuring liabilities consisted primarily of accrued severance and benefits as well as facilities restructuring reserves related to our office leases in California and North Carolina. The information in the following table summarizes the changes in our restructuring liabilities during the first two quarters of fiscal 2014: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June 28,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and adjustments</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December 27, 2013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 as of December 27, 2013</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portion included in other long-term liabilities as of December 27, 2013</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2014-2015 Plan</w:t>
      </w:r>
    </w:p>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third quarter of fiscal 2014, in line with the drop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to reduce our operating expenses. We currently expect to incur approximately $5.0 million to $6.0 million of restructuring costs under the Fiscal 2014-2015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 March 2011, our board of directors approved a plan for the sale of our WiMAX business. On September 2, 2011, we sold to EION Networks, Inc. (“EION”) our WiMAX business and related assets consisting of certain technology,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ind w:right="40"/>
        <w:spacing w:after="0" w:line="270" w:lineRule="auto"/>
        <w:rPr>
          <w:sz w:val="20"/>
          <w:szCs w:val="20"/>
          <w:color w:val="auto"/>
        </w:rPr>
      </w:pPr>
      <w:r>
        <w:rPr>
          <w:rFonts w:ascii="Arial" w:cs="Arial" w:eastAsia="Arial" w:hAnsi="Arial"/>
          <w:sz w:val="17"/>
          <w:szCs w:val="17"/>
          <w:color w:val="auto"/>
        </w:rPr>
        <w:t>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nor the probability of any such payment. Accordingly, any future consideration will be recorded as a contingent gain in the period that it is received. As of December 27, 2013, we had received $0.1 million of such contingent payments. EION is also entitled to receive cash payments of up to $2.0 million upon collection of certain WiMAX accounts receivable, of which $1.6 million had been paid by us to EION and $0.3 million was reversed resulting from the write-down of the corresponding WiMAX accounts receivable. As of December 27, 2013 and June 28, 2013, our accrued liabilities related to the disposition of the WiMAX business were $0.1 million and $0.1 million, respectively.</w:t>
      </w:r>
    </w:p>
    <w:p>
      <w:pPr>
        <w:spacing w:after="0" w:line="12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are included in discontinued operations in our condensed consolidated financial statements for all periods presented. The loss incurred in the first two quarters of fiscal 2013 was primarily due to write-down of certain WiMAX deferred cost of sales that were not transferred to EION and certain expenses we incurred to support a remaining customer obligation. The income incurred in the first two quarters of fiscal 2014 was primarily due to recovery of certain WiMAX deferred cost of sales that was previously written down.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ind w:left="300"/>
              <w:spacing w:after="0" w:line="153" w:lineRule="exact"/>
              <w:rPr>
                <w:sz w:val="20"/>
                <w:szCs w:val="20"/>
                <w:color w:val="auto"/>
              </w:rPr>
            </w:pPr>
            <w:r>
              <w:rPr>
                <w:rFonts w:ascii="Arial" w:cs="Arial" w:eastAsia="Arial" w:hAnsi="Arial"/>
                <w:sz w:val="14"/>
                <w:szCs w:val="14"/>
                <w:b w:val="1"/>
                <w:bCs w:val="1"/>
                <w:color w:val="auto"/>
              </w:rPr>
              <w:t>December 28,</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27, 2013</w:t>
            </w:r>
          </w:p>
        </w:tc>
        <w:tc>
          <w:tcPr>
            <w:tcW w:w="140" w:type="dxa"/>
            <w:vAlign w:val="bottom"/>
          </w:tcPr>
          <w:p>
            <w:pPr>
              <w:spacing w:after="0"/>
              <w:rPr>
                <w:sz w:val="13"/>
                <w:szCs w:val="13"/>
                <w:color w:val="auto"/>
              </w:rPr>
            </w:pPr>
          </w:p>
        </w:tc>
        <w:tc>
          <w:tcPr>
            <w:tcW w:w="13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28, 2012</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operations related to WiMAX</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77"/>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16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 and Activities</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of December 27, 2013,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in one year from the grant date.</w:t>
      </w:r>
    </w:p>
    <w:p>
      <w:pPr>
        <w:spacing w:after="0" w:line="119"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in full one year from the grant date.</w:t>
      </w:r>
    </w:p>
    <w:p>
      <w:pPr>
        <w:spacing w:after="0" w:line="11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first two quarters of fiscal 2014, we granted options to purchase 1,998,657 shares of our common stock to employees under our 2007 Stock Plan. During the first two quarters of fiscal 2014, 1,121,128 performance shares vested upon the achievement of financial performance targets and 367,874 performance shares canceled because the performance target threshold were not met.</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3,393,404 as of December 27,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compensation expense for share-based awards included in our condensed consolidated statements of operations for the second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and 2013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gridSpan w:val="4"/>
            <w:vMerge w:val="continue"/>
          </w:tcPr>
          <w:p>
            <w:pPr>
              <w:spacing w:after="0"/>
              <w:rPr>
                <w:sz w:val="16"/>
                <w:szCs w:val="16"/>
                <w:color w:val="auto"/>
              </w:rPr>
            </w:pPr>
          </w:p>
        </w:tc>
        <w:tc>
          <w:tcPr>
            <w:tcW w:w="11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02"/>
        </w:trPr>
        <w:tc>
          <w:tcPr>
            <w:tcW w:w="53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160" w:type="dxa"/>
            <w:vAlign w:val="bottom"/>
          </w:tcPr>
          <w:p>
            <w:pPr>
              <w:jc w:val="right"/>
              <w:ind w:right="958"/>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16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16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3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4"/>
            <w:vMerge w:val="continue"/>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160" w:type="dxa"/>
            <w:vAlign w:val="bottom"/>
            <w:tcBorders>
              <w:bottom w:val="single" w:sz="8" w:color="CCEEFF"/>
            </w:tcBorders>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16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1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34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16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of December 27, 2013, there was $3.9 million of total unrecognized compensation expense related to nonvested share-based awards granted under our 2007 Stock Plan. This expense is expected to be recognized over a weighted-average period of 2.1 years.The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2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r>
      <w:tr>
        <w:trPr>
          <w:trHeight w:val="192"/>
        </w:trPr>
        <w:tc>
          <w:tcPr>
            <w:tcW w:w="5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2012</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9"/>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65.9%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w w:val="93"/>
              </w:rPr>
              <w:t>65.9%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3"/>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3"/>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3"/>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3"/>
              </w:rPr>
              <w:t>0.47%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740"/>
              <w:spacing w:after="0"/>
              <w:rPr>
                <w:sz w:val="20"/>
                <w:szCs w:val="20"/>
                <w:color w:val="auto"/>
              </w:rPr>
            </w:pPr>
            <w:r>
              <w:rPr>
                <w:rFonts w:ascii="Arial" w:cs="Arial" w:eastAsia="Arial" w:hAnsi="Arial"/>
                <w:sz w:val="18"/>
                <w:szCs w:val="18"/>
                <w:color w:val="auto"/>
              </w:rPr>
              <w:t>4.38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1.27</w:t>
            </w:r>
          </w:p>
        </w:tc>
      </w:tr>
      <w:tr>
        <w:trPr>
          <w:trHeight w:val="27"/>
        </w:trPr>
        <w:tc>
          <w:tcPr>
            <w:tcW w:w="5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second quarter and first two quarters of fiscal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7"/>
              </w:rPr>
              <w:t>Two Quarters Ended</w:t>
            </w:r>
          </w:p>
        </w:tc>
        <w:tc>
          <w:tcPr>
            <w:tcW w:w="5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27, 2013</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28, 2012</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27, 2013</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28, 2012</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12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112.9</w:t>
            </w:r>
          </w:p>
        </w:tc>
      </w:tr>
      <w:tr>
        <w:trPr>
          <w:trHeight w:val="27"/>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12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5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second quarter and first two quarters of fiscal 2014 and 2013, we had one international customer in Africa (Mobile Telephone Networks Group or MTN Group) that accounted for more than 10% of our total revenue. MTN Group also accounted for more than 10% of our accounts receivable at December 27, 2013 and June 28,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2014.</w:t>
      </w:r>
    </w:p>
    <w:p>
      <w:pPr>
        <w:spacing w:after="0" w:line="12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determination of our provision for the second quarter and first two quarters of fiscal 2014 and 2013 was based on our estimated annual effective tax rate adjusted for losses in certain jurisdictions for which no tax benefit can be recognized. The net tax benefit for the second quarter and first six months of fiscal 2014 was primarily attributable to the benefit recognized from the adjustment to tax reserves in connection with a local country examination, offset by the tax expense related to profitable foreign subsidiaries.</w:t>
      </w:r>
    </w:p>
    <w:p>
      <w:pPr>
        <w:spacing w:after="0" w:line="13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2004</w:t>
      </w:r>
    </w:p>
    <w:p>
      <w:pPr>
        <w:spacing w:after="0" w:line="127"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Prior to fiscal 2014, we received several tax inquiries from several foreign taxing authorities to challenge a number of tax positions taken in those jurisdictions. During the current quarter, we received a revised assessment letter from the Inland Revenue Authority of Singapore (“Singapore”). Based on this latest assessment letter and in accordance with the local tax law, we made a prepayment of $13.2 million related to tax years 2007 through 2010, reflecting all of the taxes incrementally assessed by Singapore. We continue to believe that our tax positions in Singapore are defensible and we continue to pursue remedies to object to this assessment. As the result of this most recent assessment, we recognized a discrete tax benefit of $0.9 million in order to reduce tax reserves to the total amount due under the assessment.</w:t>
      </w:r>
    </w:p>
    <w:p>
      <w:pPr>
        <w:spacing w:after="0" w:line="12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are also under examination by the Federal Inland Revenue Service (“Nigeria”) for fiscal year 2005 through 2010. While we cannot predict the ultimate outcome of the examination, we believe our current ASC 740-10 reserve is sufficient to cover any potential assessment. The Nigeria audit covers fiscal 2004 through 2010.</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During the current quarter and first six months of fiscal 2014, we accrued $0.3 million and $0.5 million of additional interest, respectively.</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amount of unrecognized tax benefits may change in the next twelve months. During the current quarter, we re-measured the uncertain tax benefit liability based on the latest assessment letter from Singapore and recognized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t>discrete benefit of $0.9 million. We will continue to appeal the assessment. Given the uncertain nature of these on-going examinations, we cannot forecast the change.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 and Hedging Activities</w:t>
      </w:r>
    </w:p>
    <w:p>
      <w:pPr>
        <w:spacing w:after="0" w:line="17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Cash Flow Hedges</w:t>
      </w:r>
      <w:r>
        <w:rPr>
          <w:rFonts w:ascii="Arial" w:cs="Arial" w:eastAsia="Arial" w:hAnsi="Arial"/>
          <w:sz w:val="17"/>
          <w:szCs w:val="17"/>
          <w:color w:val="auto"/>
        </w:rPr>
        <w:t>. We use currency forward contracts to hedge exposures related to certain forecasted foreign currency transactions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product costs, operating expenses and intercompany transactions. As of December 27, 2013, hedged transactions included our customer and intercompany backlog and, to a much lesser extent, outstanding purchase commitments denominated primarily in the Australian dollar, Euro, Polish zloty and Republic of South Africa rand. These derivatives are designated as cash flow hedges and typically have maturities from one to three months with a maximum of six months, which in general closely match the underlying forecasted transaction in duration.</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24"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As of December 27, 2013, it is expected that $0.2 million of derivative net loss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on outstanding derivatives depend on the exchange rates in effect when they mature.</w:t>
      </w:r>
    </w:p>
    <w:p>
      <w:pPr>
        <w:spacing w:after="0" w:line="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ind w:right="200" w:firstLine="405"/>
        <w:spacing w:after="0" w:line="277" w:lineRule="auto"/>
        <w:rPr>
          <w:sz w:val="20"/>
          <w:szCs w:val="20"/>
          <w:color w:val="auto"/>
        </w:rPr>
      </w:pPr>
      <w:r>
        <w:rPr>
          <w:rFonts w:ascii="Arial" w:cs="Arial" w:eastAsia="Arial" w:hAnsi="Arial"/>
          <w:sz w:val="18"/>
          <w:szCs w:val="18"/>
          <w:color w:val="auto"/>
        </w:rPr>
        <w:t>The following table presents the gross notional value of all our foreign exchange forward contracts outstanding as of December 27, 2013 and June 28,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2013</w:t>
            </w:r>
          </w:p>
        </w:tc>
        <w:tc>
          <w:tcPr>
            <w:tcW w:w="280" w:type="dxa"/>
            <w:vAlign w:val="bottom"/>
          </w:tcPr>
          <w:p>
            <w:pPr>
              <w:spacing w:after="0"/>
              <w:rPr>
                <w:sz w:val="16"/>
                <w:szCs w:val="16"/>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28, 2013</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20"/>
              <w:spacing w:after="0"/>
              <w:rPr>
                <w:sz w:val="20"/>
                <w:szCs w:val="20"/>
                <w:color w:val="auto"/>
              </w:rPr>
            </w:pPr>
            <w:r>
              <w:rPr>
                <w:rFonts w:ascii="Arial" w:cs="Arial" w:eastAsia="Arial" w:hAnsi="Arial"/>
                <w:sz w:val="18"/>
                <w:szCs w:val="18"/>
                <w:color w:val="auto"/>
              </w:rPr>
              <w:t>Australian dollar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790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Australian dollar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Euro</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Indian rupee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Philippine peso</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Polish zloty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Republic of South Africa rand</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non-designated hedges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presents the fair value of derivative instruments included within our condensed consolidated balance sheet as of December 27, 2013 and June 28,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Asset Derivatives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84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June 28,</w:t>
            </w:r>
          </w:p>
        </w:tc>
        <w:tc>
          <w:tcPr>
            <w:tcW w:w="100" w:type="dxa"/>
            <w:vAlign w:val="bottom"/>
          </w:tcPr>
          <w:p>
            <w:pPr>
              <w:spacing w:after="0"/>
              <w:rPr>
                <w:sz w:val="13"/>
                <w:szCs w:val="13"/>
                <w:color w:val="auto"/>
              </w:rPr>
            </w:pPr>
          </w:p>
        </w:tc>
        <w:tc>
          <w:tcPr>
            <w:tcW w:w="1280" w:type="dxa"/>
            <w:vAlign w:val="bottom"/>
          </w:tcPr>
          <w:p>
            <w:pPr>
              <w:ind w:left="320"/>
              <w:spacing w:after="0" w:line="153" w:lineRule="exact"/>
              <w:rPr>
                <w:sz w:val="20"/>
                <w:szCs w:val="20"/>
                <w:color w:val="auto"/>
              </w:rPr>
            </w:pPr>
            <w:r>
              <w:rPr>
                <w:rFonts w:ascii="Arial" w:cs="Arial" w:eastAsia="Arial" w:hAnsi="Arial"/>
                <w:sz w:val="14"/>
                <w:szCs w:val="14"/>
                <w:b w:val="1"/>
                <w:bCs w:val="1"/>
                <w:color w:val="auto"/>
                <w:w w:val="98"/>
              </w:rPr>
              <w:t>Balance Sheet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4"/>
              </w:rPr>
              <w:t>December 27,</w:t>
            </w:r>
          </w:p>
        </w:tc>
        <w:tc>
          <w:tcPr>
            <w:tcW w:w="180" w:type="dxa"/>
            <w:vAlign w:val="bottom"/>
          </w:tcPr>
          <w:p>
            <w:pPr>
              <w:spacing w:after="0"/>
              <w:rPr>
                <w:sz w:val="13"/>
                <w:szCs w:val="13"/>
                <w:color w:val="auto"/>
              </w:rPr>
            </w:pPr>
          </w:p>
        </w:tc>
        <w:tc>
          <w:tcPr>
            <w:tcW w:w="84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6"/>
              </w:rPr>
              <w:t>June 28,</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Location</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32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expenses</w:t>
            </w:r>
          </w:p>
        </w:tc>
        <w:tc>
          <w:tcPr>
            <w:tcW w:w="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6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32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Other accrued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7"/>
          <w:szCs w:val="17"/>
          <w:color w:val="auto"/>
        </w:rPr>
        <w:t>The following table summarizes the location and amount of the gains and losses on derivative instruments reported in our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Quarter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Two Quarters Ended</w:t>
            </w:r>
          </w:p>
        </w:tc>
        <w:tc>
          <w:tcPr>
            <w:tcW w:w="52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Locations of Gains (Losses) on Derivative Instruments</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December 27, 2013</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28, 2012</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December 27, 2013</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December 28, 2012</w:t>
            </w:r>
          </w:p>
        </w:tc>
      </w:tr>
      <w:tr>
        <w:trPr>
          <w:trHeight w:val="250"/>
        </w:trPr>
        <w:tc>
          <w:tcPr>
            <w:tcW w:w="5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r>
      <w:tr>
        <w:trPr>
          <w:trHeight w:val="256"/>
        </w:trPr>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Designated as cash flow hedges (foreign exchange forward contracts):</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associated with the derivatives' time value recognized in</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 of product sales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(loss) due to hedge ineffectiveness recognized in</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6080" w:type="dxa"/>
            <w:vAlign w:val="bottom"/>
            <w:gridSpan w:val="2"/>
          </w:tcPr>
          <w:p>
            <w:pPr>
              <w:ind w:left="260"/>
              <w:spacing w:after="0"/>
              <w:rPr>
                <w:sz w:val="20"/>
                <w:szCs w:val="20"/>
                <w:color w:val="auto"/>
              </w:rPr>
            </w:pPr>
            <w:r>
              <w:rPr>
                <w:rFonts w:ascii="Arial" w:cs="Arial" w:eastAsia="Arial" w:hAnsi="Arial"/>
                <w:sz w:val="18"/>
                <w:szCs w:val="18"/>
                <w:color w:val="auto"/>
              </w:rPr>
              <w:t>cost of product sales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Not designated as cash flow hedges (foreign exchange forward contracts):</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December 27, 2013, future minimum lease payments for our headquarters total $16.3 million through April 2020. We vacated approximately half of our Santa Clara headquarters building and made it available for sublease at September 27, 2013.</w:t>
      </w:r>
    </w:p>
    <w:p>
      <w:pPr>
        <w:spacing w:after="0" w:line="13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27, 2013, our future minimum lease payments under all non-cancelable operating leases with an initial lease term in excess of one year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(2 quarters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$0.4 million as of December 27, 2013.</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3"/>
                <w:szCs w:val="13"/>
                <w:color w:val="auto"/>
              </w:rPr>
            </w:pPr>
          </w:p>
        </w:tc>
        <w:tc>
          <w:tcPr>
            <w:tcW w:w="120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80" w:type="dxa"/>
            <w:vAlign w:val="bottom"/>
          </w:tcPr>
          <w:p>
            <w:pPr>
              <w:spacing w:after="0"/>
              <w:rPr>
                <w:sz w:val="13"/>
                <w:szCs w:val="13"/>
                <w:color w:val="auto"/>
              </w:rPr>
            </w:pPr>
          </w:p>
        </w:tc>
        <w:tc>
          <w:tcPr>
            <w:tcW w:w="118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December 28,</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4"/>
          </w:tcPr>
          <w:p>
            <w:pPr>
              <w:ind w:left="8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4.3</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27, 2013, we had outstanding purchase obligations with our suppliers or contract manufacturers of $31.9 million. In addition, we had contractual obligations of approximately $3.0 million associated with major capital purchases and service agreements as of December 27,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90"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27, 2013, we had no guarantees applicable to our debt arrangements.</w:t>
      </w:r>
    </w:p>
    <w:p>
      <w:pPr>
        <w:spacing w:after="0" w:line="3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27, 2013, we had commercial commitments of $48.2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December 27, 2013,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27, 2013,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be based on the specific facts and findings of our evaluation, as well as negotiation with Singapore authorities. At this time, we cannot estimate the amount or range of any fines and penalties, if any should be imposed.</w:t>
      </w:r>
    </w:p>
    <w:p>
      <w:pPr>
        <w:spacing w:after="0" w:line="11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and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1" w:name="page22"/>
    <w:bookmarkEnd w:id="21"/>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2013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Operating Environment and Key Factors Impacting Fiscal 2013 and 2014 Results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27, 2014 is referred to as “fiscal 2014” or “2014” and fiscal year ended June 28, 2013 as “fiscal 2013” or “2013”.</w:t>
      </w:r>
    </w:p>
    <w:p>
      <w:pPr>
        <w:spacing w:after="0" w:line="133"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20" w:firstLine="432"/>
        <w:spacing w:after="0" w:line="302" w:lineRule="auto"/>
        <w:rPr>
          <w:sz w:val="20"/>
          <w:szCs w:val="20"/>
          <w:color w:val="auto"/>
        </w:rPr>
      </w:pPr>
      <w:r>
        <w:rPr>
          <w:rFonts w:ascii="Arial" w:cs="Arial" w:eastAsia="Arial" w:hAnsi="Arial"/>
          <w:sz w:val="16"/>
          <w:szCs w:val="16"/>
          <w:color w:val="auto"/>
        </w:rPr>
        <w:t>Our strategic focus in fiscal 2014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w:t>
      </w:r>
    </w:p>
    <w:p>
      <w:pPr>
        <w:spacing w:after="0" w:line="12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During fiscal 2014, we expect to provide increased managed services, including network design, inventory management, final configuration and warehousing services, to certain customers in certain geographies.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38" w:right="259" w:bottom="1440" w:gutter="0" w:footer="0" w:header="0"/>
        </w:sectPr>
      </w:pPr>
    </w:p>
    <w:bookmarkStart w:id="22" w:name="page23"/>
    <w:bookmarkEnd w:id="22"/>
    <w:p>
      <w:pPr>
        <w:ind w:right="280"/>
        <w:spacing w:after="0" w:line="308" w:lineRule="auto"/>
        <w:rPr>
          <w:sz w:val="20"/>
          <w:szCs w:val="20"/>
          <w:color w:val="auto"/>
        </w:rPr>
      </w:pPr>
      <w:r>
        <w:rPr>
          <w:rFonts w:ascii="Arial" w:cs="Arial" w:eastAsia="Arial" w:hAnsi="Arial"/>
          <w:sz w:val="17"/>
          <w:szCs w:val="17"/>
          <w:color w:val="auto"/>
        </w:rPr>
        <w:t>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the section entitled “Risk Factors” in Item 1A in our fiscal 2013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second quarter of fiscal 2014 we experienced a drop in revenue due primarily to a slower than expected investment cycle in Africa, along with the postponed recognition of about $4.5 million when we commenced shipments under a new managed services and warehousing agreement with a major customer in that region. The warehouse services element of that agreement precludes revenue recognition until final delivery is made to the customer from our warehouse.</w:t>
      </w:r>
    </w:p>
    <w:p>
      <w:pPr>
        <w:spacing w:after="0" w:line="133"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2013 Annual Report on Form 10-K, a number of factors could prevent us from achieving our objectives, including ongoing pricing pressures attributable to competition and macroeconomic conditions in the geographic markets that we service.</w:t>
      </w:r>
    </w:p>
    <w:p>
      <w:pPr>
        <w:spacing w:after="0" w:line="12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During the third quarter of fiscal 2014, in line with the drop in revenue that we experienced and our reduced forecast for the immediate future, we announced a new restructuring plan. Our restructuring expenses incurred during the first two quarters of fiscal 2014 related to the current Fiscal 2013-2014 Plan. We intend to complete a majority of the remaining restructuring activities under the current plan during fiscal 2014. See “Restructuring Charges”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Africa and Middle East, Europe and Russia, and Latin America and Asia Pacific. Revenue by region for the second quarter and first two quarters of fiscal 2014 and 2013 and the related changes are shown in the table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Two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27, 2013</w:t>
            </w:r>
          </w:p>
        </w:tc>
        <w:tc>
          <w:tcPr>
            <w:tcW w:w="120" w:type="dxa"/>
            <w:vAlign w:val="bottom"/>
            <w:vMerge w:val="restart"/>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2012</w:t>
            </w:r>
          </w:p>
        </w:tc>
        <w:tc>
          <w:tcPr>
            <w:tcW w:w="100" w:type="dxa"/>
            <w:vAlign w:val="bottom"/>
            <w:vMerge w:val="restart"/>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66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4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rPr>
              <w:t>Latin America and Asia</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Pacific</w:t>
            </w:r>
          </w:p>
        </w:tc>
        <w:tc>
          <w:tcPr>
            <w:tcW w:w="4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Our revenue in North America decreased $7.6 million, or 18.4%, during the second quarter of fiscal 2014 compared with the same quarter of fiscal 2013. Revenue from wireless operator customers was down as they reach completion of their LTE network building period and we expect this trend to continue in the near term. We also saw lower revenue from private government and utility networks due to the timing of purchases and project deliveries to those customers. On a year-to-date basis, North America revenue is down $12.6 million, or 15.7%, compared to the first half of fiscal 2013 for the same reasons as the quarter volumes are down from the prior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ind w:firstLine="405"/>
        <w:spacing w:after="0" w:line="293" w:lineRule="auto"/>
        <w:rPr>
          <w:sz w:val="20"/>
          <w:szCs w:val="20"/>
          <w:color w:val="auto"/>
        </w:rPr>
      </w:pPr>
      <w:r>
        <w:rPr>
          <w:rFonts w:ascii="Arial" w:cs="Arial" w:eastAsia="Arial" w:hAnsi="Arial"/>
          <w:sz w:val="16"/>
          <w:szCs w:val="16"/>
          <w:color w:val="auto"/>
        </w:rPr>
        <w:t>Our revenue in Africa and Middle East was down $37.9 million, or 59.3% for the second quarter in fiscal 2014 over the same quarter in fiscal 2013. The majority of this decrease was from our business in Africa, where our customers continued to closely manage their capital spending. Revenue was also affected by the first deliveries under a new managed services and warehousing agreement with a major customer in the region. This agreement involves some deliveries to an Aviat managed warehouse, which results in revenue not being recognized until final delivery is made to the customer from the warehouse. On a year-to-date basis, Africa and Middle East revenue was down $49.9 million, or 44.2%, from the same period in fiscal 2013, mostly from reduced capital spending by our largest customer in the region, along with the managed services and warehousing arrangement mentioned above.</w:t>
      </w:r>
    </w:p>
    <w:p>
      <w:pPr>
        <w:spacing w:after="0" w:line="111"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Revenue in Europe and Russia increased $0.8 million, or 8.7%, for the second quarter of fiscal 2014 compared with the same quarter in fiscal 2013. This increase came from normal variances in purchase patterns with our larger customers in the sector. On a year-to-date basis, Europe and Russia revenue was down $3.0 million, or 13.9%, from the same period in fiscal 2013. This variation was due to timing of customer purchasing.</w:t>
      </w:r>
    </w:p>
    <w:p>
      <w:pPr>
        <w:spacing w:after="0" w:line="11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Revenue in Latin America and Asia Pacific increased $1.5 million, or 10.3%, during the second quarter of fiscal 2014 compared with the same quarter in fiscal 2013. The increase was primarily due to deliveries to two new customers in these regions. On a year-to-date basis revenue in Latin America and Asia Pacific was up $0.7 million, or 2.4%, largely on the addition of new customers in the regions.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revenue from product sales was down by $42.3 million, or 44.9%, for the second quarter of fiscal 2014 compared with the same quarter in fiscal</w:t>
      </w:r>
    </w:p>
    <w:p>
      <w:pPr>
        <w:spacing w:after="0" w:line="46"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2013. The decrease came primarily from strong sales in Africa and North America in the second quarter of fiscal 2013 that were not repeated at the same level in the second quarter of fiscal 2014. Product sales in the other sales regions were the same or slightly greater the previous year. Product sales in the other sales regions were less than the previous year, for the reasons mentioned above. Our services revenue was down by $0.9 million, or 2.6%, during the second quarter of fiscal 2014 compared with the same quarter of fiscal 2013. The decrease in the second quarter of fiscal 2014 came from reduced services delivered in Africa and Middle East, offset in part by increases in Asia Pacific and North America.</w:t>
      </w:r>
    </w:p>
    <w:p>
      <w:pPr>
        <w:spacing w:after="0" w:line="12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Our revenue from product sales was down by $62.6 million, or 35.2%, for the first two quarters of fiscal 2014 compared with the same period in fiscal 2013. The decrease came primarily from strong sales in Africa in the first two quarters of fiscal 2013 that were not repeated at the same level in the first two quarters of fiscal 2014. North America, Asia Pacific, and European product sales were also down compared to the first two quarters of fiscal 2013, with a smaller increase in Latin America. Our services revenue was down by $2.2 million, or 3.3%, during the first two quarters of fiscal 2014 compared with the same period of fiscal 2013. The decrease in the first two quarters of fiscal 2014 came from reduced services delivered in Africa and Middle East, mostly offset by increases in North America, Asia Pacific and Europe.</w:t>
      </w:r>
    </w:p>
    <w:p>
      <w:pPr>
        <w:spacing w:after="0" w:line="13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During the second quarter and the first half of fiscal 2014 and 2013, the MTN Group in Africa accounted for more than 10% of our total revenue. We have entered into separate and distinct contracts with MTN Group as well as separate arrangements with MTN Group subsidiaries. The loss of all MTN Group business could adversely affect our results of operations, cash flows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Two Quarters Ended</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millions, except</w:t>
            </w: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5"/>
              </w:rPr>
              <w:t>December 27, 2013</w:t>
            </w:r>
          </w:p>
        </w:tc>
        <w:tc>
          <w:tcPr>
            <w:tcW w:w="120" w:type="dxa"/>
            <w:vAlign w:val="bottom"/>
            <w:vMerge w:val="restart"/>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28, 2012</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vMerge w:val="restart"/>
          </w:tcPr>
          <w:p>
            <w:pPr>
              <w:spacing w:after="0"/>
              <w:rPr>
                <w:sz w:val="12"/>
                <w:szCs w:val="12"/>
                <w:color w:val="auto"/>
              </w:rPr>
            </w:pPr>
          </w:p>
        </w:tc>
        <w:tc>
          <w:tcPr>
            <w:tcW w:w="9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December 27, 2013</w:t>
            </w:r>
          </w:p>
        </w:tc>
        <w:tc>
          <w:tcPr>
            <w:tcW w:w="120" w:type="dxa"/>
            <w:vAlign w:val="bottom"/>
            <w:vMerge w:val="restart"/>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28, 2012</w:t>
            </w:r>
          </w:p>
        </w:tc>
        <w:tc>
          <w:tcPr>
            <w:tcW w:w="12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4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Gross margin for the second quarter of fiscal 2014 was lower by $17.4 million, or 45.0%, compared with the same quarter of fiscal 2013. Most of the gross margin decrease came from lower sales volume in the quarter, primarily in Africa and Middle East, with a smaller drop in North America. These decreases were offset in part by small increases in Latin America, APAC and Europe. Gross margin as a percentage of revenue decreased in the second quarter of fiscal 2014 compared with the same quarter of fiscal 2013, primarily due to lower product gross margin rates in Africa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Middle East, Europe and APAC, and less favorable absorption of supply chain costs driven by lower volume. Much of these gross margin rate variances were driven by market price changes and changes in the mix of products and services delivered.</w:t>
      </w:r>
    </w:p>
    <w:p>
      <w:pPr>
        <w:spacing w:after="0" w:line="116"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On a year-to-date basis gross margin was $28.0 million less than the same period in fiscal 2013. The main reason for the decline is the reduced revenue realized in Africa and Middle East, North America, and Europe along with lower market prices and differing product mixes in all regions.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8"/>
              </w:rPr>
              <w:t>Quarter Ended</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w w:val="96"/>
              </w:rPr>
              <w:t>Two Quarters Ended</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w w:val="98"/>
              </w:rPr>
              <w:t>(In millions, except percentages)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27, 2013</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28, 2012</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December 27, 2013</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28, 2012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Research and development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w w:val="97"/>
              </w:rPr>
              <w:t>7.6%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17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research and development (“R&amp;D”) expenses decreased $0.4 million, or 4.1%, in the second quarter of fiscal 2014 compared with the same quarter in fiscal 2013, primarily due to a $0.5 million decrease in share-based compensation expenses resulting from stock award vesting in the first two quarters of fiscal 2014. Our R&amp;D expenses were flat for the first half of fiscal 2014 compared with the same period in fiscal 2013. There was a 0.6 million decrease in share-based compensation expenses which was offset by increases in R&amp;D supply costs reflecting our investment in our new product development projects during the first two quarters of fiscal 2014. We continue to invest in new product features, new functionality and lower cost platforms that we believe will enable our product lines to retain their technology leads in a cost effective manner.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Two Quarters Ended</w:t>
            </w:r>
          </w:p>
        </w:tc>
        <w:tc>
          <w:tcPr>
            <w:tcW w:w="880" w:type="dxa"/>
            <w:vAlign w:val="bottom"/>
            <w:tcBorders>
              <w:bottom w:val="single" w:sz="8" w:color="auto"/>
            </w:tcBorders>
          </w:tcPr>
          <w:p>
            <w:pPr>
              <w:spacing w:after="0"/>
              <w:rPr>
                <w:sz w:val="16"/>
                <w:szCs w:val="16"/>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w w:val="97"/>
              </w:rPr>
              <w:t>(In millions, except percentages)</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2013</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28, 2012</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27, 2013</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28, 2012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46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93"/>
              </w:rPr>
              <w:t>18.4%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7"/>
              </w:rPr>
              <w:t>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w w:val="93"/>
              </w:rPr>
              <w:t>19.3%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selling and administrative expenses declined $1.5 million, or 6.3%, and $2.6 million, or 5.5%, respectively, in the second quarter and first two quarters of fiscal 2014 compared with the same periods of fiscal 2013, primarily due to a $1.1 million and $2.0 million, respectively, reduction in bad debt expense as we recovered certain receivables that were previously written off due to customer insolvency, a $0.5 million and $0.9 million, respectively, decrease in agent commissions driven by lower fee-based revenues, and a $0.6 million and $0.4 million, respectively, decrease in share-based compensation expenses resulting from stock award vestings in the first two quarters of fiscal 2014, partially offset by a $0.6 million of transactional taxes assessments in the second quarter of fiscal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bring our cost structure in line with the changing business environment of the worldwide microwave radio and telecommunication markets, primarily in North America, Europe and Asia. Activities under the Fiscal 2013-2014 Plan included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During the first quarter of fiscal 2011, we initiated the Fiscal 2011 Plan to reduce our operational costs primarily in North America, Europe and Asia. Activities under the Fiscal 2011 Plan included the reductions in force to reduce our operating expenses and downsizing or closures of our Morrisville, North Carolina, Santa Clara, California, Montreal, Canada offices and certain international field offices. The Fiscal 2011 Plan has been completed as of the end of fiscal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t>Our restructuring charges by plan for the second quarter of fiscal 2014 and 2013 are summarized in the table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4"/>
              </w:rPr>
              <w:t>Quarter Ended</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Two Quarters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millions, except percentages)</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27, 2013</w:t>
            </w:r>
          </w:p>
        </w:tc>
        <w:tc>
          <w:tcPr>
            <w:tcW w:w="120" w:type="dxa"/>
            <w:vAlign w:val="bottom"/>
            <w:vMerge w:val="restart"/>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2012</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13"/>
                <w:szCs w:val="13"/>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vMerge w:val="restart"/>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  $</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By Plan:</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2013-2014 Plan</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220"/>
              <w:spacing w:after="0"/>
              <w:rPr>
                <w:sz w:val="20"/>
                <w:szCs w:val="20"/>
                <w:color w:val="auto"/>
              </w:rPr>
            </w:pPr>
            <w:r>
              <w:rPr>
                <w:rFonts w:ascii="Arial" w:cs="Arial" w:eastAsia="Arial" w:hAnsi="Arial"/>
                <w:sz w:val="18"/>
                <w:szCs w:val="18"/>
                <w:color w:val="auto"/>
              </w:rPr>
              <w:t>Fiscal 2011 Plan</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restructuring expenses consisted primarily of severance and related benefit charges and facilities costs related to obligations under non-cancelable leases for facilities that we ceased to use. Restructuring charges for the second quarter of fiscal 2014 included a $0.3 million employee termination charge. Restructuring charges for the first two quarters of fiscal 2014 included a $3.9 million facilities charge related to ceasing to use a portion of our Santa Clara headquarters building and a $0.9 million employee termination charge. We intend to complete a majority of the remaining restructuring activities under the Fiscal 2013-2014 Plan in fiscal 2014. During the third quarter of fiscal 2014, we initiated a new restructuring plan and currently expect to incur approximately $5.0 million to $6.0 million of restructuring costs under the Fiscal 2014-2015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Two Quarters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20" w:type="dxa"/>
            <w:vAlign w:val="bottom"/>
          </w:tcPr>
          <w:p>
            <w:pPr>
              <w:jc w:val="right"/>
              <w:ind w:right="102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21"/>
                <w:szCs w:val="21"/>
                <w:color w:val="auto"/>
              </w:rPr>
            </w:pP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00" w:type="dxa"/>
            <w:vAlign w:val="bottom"/>
          </w:tcPr>
          <w:p>
            <w:pPr>
              <w:spacing w:after="0"/>
              <w:rPr>
                <w:sz w:val="21"/>
                <w:szCs w:val="21"/>
                <w:color w:val="auto"/>
              </w:rPr>
            </w:pP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primarily related to interest associated with borrowings, term loan and letters of credit under our credit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Two Quarters Ended</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2013</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28, 2012</w:t>
            </w: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27, 2013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28, 2012</w:t>
            </w:r>
          </w:p>
        </w:tc>
        <w:tc>
          <w:tcPr>
            <w:tcW w:w="180" w:type="dxa"/>
            <w:vAlign w:val="bottom"/>
          </w:tcPr>
          <w:p>
            <w:pPr>
              <w:spacing w:after="0"/>
              <w:rPr>
                <w:sz w:val="22"/>
                <w:szCs w:val="22"/>
                <w:color w:val="auto"/>
              </w:rPr>
            </w:pPr>
          </w:p>
        </w:tc>
        <w:tc>
          <w:tcPr>
            <w:tcW w:w="8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 Change</w:t>
            </w:r>
          </w:p>
        </w:tc>
      </w:tr>
      <w:tr>
        <w:trPr>
          <w:trHeight w:val="215"/>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3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of income (loss) from continuing operations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7"/>
        </w:trPr>
        <w:tc>
          <w:tcPr>
            <w:tcW w:w="3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8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recognized an adjustment of $2.2 million during the second quarter of fiscal 2014 to correct immaterial errors arising from fiscal 2007 through September 27, 2013. The result of this adjustment was to decrease provision for income taxes and our reserve for uncertain tax positions. This had no impact to our statement of cash flows for fiscal 2013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color w:val="auto"/>
        </w:rPr>
        <w:t>fiscal 2014 periods. We believe the impact of the adjustment is not material to our annual and quarterly financial statements as a whole for current or prior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Two Quarters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27, 2013</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28, 2012</w:t>
            </w: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December 27, 2013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28, 2012</w:t>
            </w:r>
          </w:p>
        </w:tc>
        <w:tc>
          <w:tcPr>
            <w:tcW w:w="160" w:type="dxa"/>
            <w:vAlign w:val="bottom"/>
          </w:tcPr>
          <w:p>
            <w:pPr>
              <w:spacing w:after="0"/>
              <w:rPr>
                <w:sz w:val="22"/>
                <w:szCs w:val="22"/>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 Change</w:t>
            </w:r>
          </w:p>
        </w:tc>
      </w:tr>
      <w:tr>
        <w:trPr>
          <w:trHeight w:val="215"/>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from discontinued operations, net of</w:t>
            </w:r>
          </w:p>
        </w:tc>
        <w:tc>
          <w:tcPr>
            <w:tcW w:w="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r>
      <w:tr>
        <w:trPr>
          <w:trHeight w:val="27"/>
        </w:trPr>
        <w:tc>
          <w:tcPr>
            <w:tcW w:w="3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loss incurred in the first two quarters of fiscal 2013 was primarily due to write-down of certain WiMAX deferred cost of sales that were not transferred to EION. The income incurred in the first two quarters of fiscal 2014 was primarily due to recovery of certain WiMAX deferred cost of sales that was previously written down.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As of December 27, 2013, our total cash and cash equivalents were $64.7 million. Approximately $20.9 million, or 32.3% of our total cash and cash equivalents, was held by entities domiciled in the United States. The remaining balance of $43.8 million, or 67.7%, was held by entities outside the United States. Of the amount of cash and cash equivalents held by our foreign subsidiaries at December 27, 2013, $34.6 million was held in jurisdictions where our undistributed earnings are indefinitely reinvested and would be subject to U.S. taxes if repatriated.</w:t>
      </w:r>
    </w:p>
    <w:p>
      <w:pPr>
        <w:spacing w:after="0" w:line="117"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As of December 27, 2013, our principal sources of liquidity consisted of the $64.7 million in cash and cash equivalents, $36.8 million of available credit under our $50.0 million credit facility with SVB, and future collections of receivables from customers. As of December 27, 2013, we were not in compliance with the financial covenants contained in the amended and restated credit agreement. Following amendment No. 3 to the amended and restated credit agreement that we entered into on February 10, 2014, we were in compliance with all the financial covenants under the amended and restated credit agreement.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two quarters of fiscal 2014, our total cash and cash equivalents decreased by $25.3 million primarily due to $5.4 million of cash being used for capital expenditures, $2.8 million repayments on our term loan and $17.6 million of cash used in operating activities.</w:t>
      </w:r>
    </w:p>
    <w:p>
      <w:pPr>
        <w:spacing w:after="0" w:line="128"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Cash used in operating activities was $17.6 million in the first two quarters of fiscal 2014, primarily due to our net loss of $23.5 million adjusted by non-cash expense items of $6.8 million, a decrease in reserve for uncertain tax positions and deferred taxes of $14.9 million, decreases in accounts payable and accrued expenses of $3.4 million, an increase in unbilled costs of $6.9 million and an increase in inventories of $2.6 million, partially offset by decreases in accounts receivables of $10.8 million and in net prepaid income taxes of $2.5 million, and increases in customer advance payments and unearned income of $9.3 million and in accrued restructuring liabilities of $2.2 million. The decrease in the reserve for uncertain tax positions and deferred taxes was primarily due a tax payment made to a jurisdiction during the second quarter of $13.2 million. The decreases in accounts payable and accrued expenses were primarily due to the timing of payments to our contract manufacturers and suppliers as well as the payout of employee bonuses. The increase in unbilled costs was due to the timing of billing of projects. The increase in inventories was due to timing of customer shipments. The decrease in accounts receivable was due to collections during the first two quarters exceeding billings. The decrease in net prepaid income taxes was due to a tax refund that we received from a tax jurisdiction during the quarter. The increase in customer advance payments and unearned income was due to the timing of revenue recognition on several large contracts. The increase in restructuring liabilities was primarily related to the facility exit cost liability we incurred associated with our Santa Clara headquarters building under the Fiscal 2013-2104 Plan. We used $2.6 million in cash during the first two quarters of fiscal 2014 on expenses related to restructuring liabilities.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right="240" w:firstLine="432"/>
        <w:spacing w:after="0" w:line="286" w:lineRule="auto"/>
        <w:rPr>
          <w:sz w:val="20"/>
          <w:szCs w:val="20"/>
          <w:color w:val="auto"/>
        </w:rPr>
      </w:pPr>
      <w:r>
        <w:rPr>
          <w:rFonts w:ascii="Arial" w:cs="Arial" w:eastAsia="Arial" w:hAnsi="Arial"/>
          <w:sz w:val="17"/>
          <w:szCs w:val="17"/>
          <w:color w:val="auto"/>
        </w:rPr>
        <w:t>During the remainder of fiscal year 2014, we expect to spend approximately $4.4 million for capital expenditures, primarily on equipment for development of new products and improvement of our information technology infrastructure which will enable more automated supply chain management and financial reporting and lead to process and cost efficiency and a greater ability to scale our business.</w:t>
      </w:r>
    </w:p>
    <w:p>
      <w:pPr>
        <w:spacing w:after="0" w:line="111"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we will be in compliance with the financial covenants contained in our amended and restated credit agreement, or that anticipated operational improvements will be achieved. If we are not in compliance with the financial covenants, the availability of our credit facility is not certain until a waiver or an amendment of the financial covenants is obtained.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September 27, 2013, we amended and restated our credit facility with SVB for a new term of three years expiring on September 26, 2016. On October 29, 2013, November 20, 2013 and February 10, 2014, we entered into Amendment No. 1, No. 2 and No. 3, respectively, to the amended and restated credit facility providing for certain amendments to the financial covenants.</w:t>
      </w:r>
    </w:p>
    <w:p>
      <w:pPr>
        <w:spacing w:after="0" w:line="12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amended and restated credit facility provides for a committed amount of up to $50.0 million, with a $30.0 million sublimit that can be borrowed by our Singapore subsidiary. Borrowings that may be advanced under the amended and restated credit facility at the lesser of $50.0 million or a borrowing base equal to $10.0 million plus a specified percentage of the value of eligible accounts receivable of the Company, subject to certain reserves and eligibility criteria. The amended and restated credit facility can also be utilized to issue letters of credit. Principal, together with all accrued and unpaid interest, is due and payable on the Maturity Date, provided that we may request, up to two times, one-year extensions of the Maturity Date, such extensions to be granted at the sole discretion of SVB. We may prepay loans under the amended and restated credit facility in whole or in part at any time without premium or penalty. We currently do not expect to repay any loans within the next 12 months. As of December 27, 2013, available credit under the amended and restated credit facility was $36.8 million reflecting the borrowings of $6.0 million and outstanding letters of credit of $7.2 million.</w:t>
      </w:r>
    </w:p>
    <w:p>
      <w:pPr>
        <w:spacing w:after="0" w:line="11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 xml:space="preserve">Borrowings under the amended and restated credit facility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Eurodollar loans is offered at LIBOR plus a spread of between 2.00% to 2.75% based on our consolidated leverage ratio for the preceding four fiscal quarter period. Interest is due and payable in arrears monthly for prime rate loans and, for LIBOR rate loans, at the end of an interest period or at each three-month interval if the interest period is greater than three months. During the first two quarters of fiscal 2014, the weighted average interest rate on our $6.0 million loan was 3.25%. The previous $8.3 million two-year term loan bore a fixed interest rate of 5% per annum.</w:t>
      </w:r>
    </w:p>
    <w:p>
      <w:pPr>
        <w:spacing w:after="0" w:line="10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amended and restated credit facility contains a minimum liquidity ratio covenant and a minimum profitability (EBITDA) covenant. The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credit facility. Upon an event of default, all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2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of December 27, 2013, we were not in compliance with the financial covenants contained in the amended and restated credit agreement. As a result of this non-compliance and the fact that the credit facility contains a subjective acceleration clause which could be triggered by the lender, the $6.0 million borrowings were classified as a current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46" w:right="279" w:bottom="1440" w:gutter="0" w:footer="0" w:header="0"/>
        </w:sectPr>
      </w:pPr>
    </w:p>
    <w:bookmarkStart w:id="28" w:name="page29"/>
    <w:bookmarkEnd w:id="28"/>
    <w:p>
      <w:pPr>
        <w:ind w:right="260"/>
        <w:spacing w:after="0" w:line="277" w:lineRule="auto"/>
        <w:rPr>
          <w:sz w:val="20"/>
          <w:szCs w:val="20"/>
          <w:color w:val="auto"/>
        </w:rPr>
      </w:pPr>
      <w:r>
        <w:rPr>
          <w:rFonts w:ascii="Arial" w:cs="Arial" w:eastAsia="Arial" w:hAnsi="Arial"/>
          <w:sz w:val="18"/>
          <w:szCs w:val="18"/>
          <w:color w:val="auto"/>
        </w:rPr>
        <w:t>liability as of December 27, 2013. Following amendment No. 3 to the amended and restated credit agreement, we were in compliance with all the financial covenants under the amended and restated credit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160" w:firstLine="432"/>
        <w:spacing w:after="0" w:line="342" w:lineRule="auto"/>
        <w:rPr>
          <w:sz w:val="20"/>
          <w:szCs w:val="20"/>
          <w:color w:val="auto"/>
        </w:rPr>
      </w:pPr>
      <w:r>
        <w:rPr>
          <w:rFonts w:ascii="Arial" w:cs="Arial" w:eastAsia="Arial" w:hAnsi="Arial"/>
          <w:sz w:val="16"/>
          <w:szCs w:val="16"/>
          <w:color w:val="auto"/>
        </w:rPr>
        <w:t>We have liabilities for restructuring activities totaling $4.9 million as of December 27, 2013, $2.3 million of which is classified as current liability and expected to be paid out in cash over the next 12 months. We expect to fund these future payments with available cash and cash flow provided by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amounts disclosed in our fiscal 2013 Annual Report on Form 10-K include our commercial commitments and contractual obligations. During the first two quarters of fiscal 2014,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2013 Annual Report on Form 10-K. Please refer to Note 13, "Commitments and Contingencies"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 Please refer to Note 13, "Commitments and Contingencies" in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2013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ind w:right="140" w:firstLine="432"/>
        <w:spacing w:after="0" w:line="264" w:lineRule="auto"/>
        <w:rPr>
          <w:sz w:val="20"/>
          <w:szCs w:val="20"/>
          <w:color w:val="auto"/>
        </w:rPr>
      </w:pPr>
      <w:r>
        <w:rPr>
          <w:rFonts w:ascii="Arial" w:cs="Arial" w:eastAsia="Arial" w:hAnsi="Arial"/>
          <w:sz w:val="18"/>
          <w:szCs w:val="18"/>
          <w:color w:val="auto"/>
        </w:rPr>
        <w:t>As of December 27, 2013, we had foreign currency forward contracts outstanding with a total notional amount of $22.6 million consisting of 13 different currencies. The following is a summary of the gross notional amount of our outstanding contracts grouped by the underlying foreign currency as of December 27, 2013: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120" w:type="dxa"/>
            <w:vAlign w:val="bottom"/>
            <w:gridSpan w:val="2"/>
            <w:vMerge w:val="continue"/>
          </w:tcPr>
          <w:p>
            <w:pPr>
              <w:spacing w:after="0"/>
              <w:rPr>
                <w:sz w:val="16"/>
                <w:szCs w:val="16"/>
                <w:color w:val="auto"/>
              </w:rPr>
            </w:pPr>
          </w:p>
        </w:tc>
        <w:tc>
          <w:tcPr>
            <w:tcW w:w="170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Pr>
          <w:p>
            <w:pPr>
              <w:spacing w:after="0"/>
              <w:rPr>
                <w:sz w:val="16"/>
                <w:szCs w:val="16"/>
                <w:color w:val="auto"/>
              </w:rPr>
            </w:pPr>
          </w:p>
        </w:tc>
        <w:tc>
          <w:tcPr>
            <w:tcW w:w="1160" w:type="dxa"/>
            <w:vAlign w:val="bottom"/>
          </w:tcPr>
          <w:p>
            <w:pPr>
              <w:jc w:val="center"/>
              <w:ind w:right="33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220.5</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Philippine peso</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130.5</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7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Net foreign exchange loss recorded in our consolidated statements of operations during the second quarter and first half of fiscal 2014 and 2013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Two Quarters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jc w:val="center"/>
              <w:ind w:left="264"/>
              <w:spacing w:after="0" w:line="153" w:lineRule="exact"/>
              <w:rPr>
                <w:sz w:val="20"/>
                <w:szCs w:val="20"/>
                <w:color w:val="auto"/>
              </w:rPr>
            </w:pPr>
            <w:r>
              <w:rPr>
                <w:rFonts w:ascii="Arial" w:cs="Arial" w:eastAsia="Arial" w:hAnsi="Arial"/>
                <w:sz w:val="14"/>
                <w:szCs w:val="14"/>
                <w:b w:val="1"/>
                <w:bCs w:val="1"/>
                <w:color w:val="auto"/>
                <w:w w:val="92"/>
              </w:rPr>
              <w:t>December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282"/>
              <w:spacing w:after="0" w:line="153" w:lineRule="exact"/>
              <w:rPr>
                <w:sz w:val="20"/>
                <w:szCs w:val="20"/>
                <w:color w:val="auto"/>
              </w:rPr>
            </w:pPr>
            <w:r>
              <w:rPr>
                <w:rFonts w:ascii="Arial" w:cs="Arial" w:eastAsia="Arial" w:hAnsi="Arial"/>
                <w:sz w:val="14"/>
                <w:szCs w:val="14"/>
                <w:b w:val="1"/>
                <w:bCs w:val="1"/>
                <w:color w:val="auto"/>
                <w:w w:val="92"/>
              </w:rPr>
              <w:t>December 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284"/>
              <w:spacing w:after="0" w:line="153" w:lineRule="exact"/>
              <w:rPr>
                <w:sz w:val="20"/>
                <w:szCs w:val="20"/>
                <w:color w:val="auto"/>
              </w:rPr>
            </w:pPr>
            <w:r>
              <w:rPr>
                <w:rFonts w:ascii="Arial" w:cs="Arial" w:eastAsia="Arial" w:hAnsi="Arial"/>
                <w:sz w:val="14"/>
                <w:szCs w:val="14"/>
                <w:b w:val="1"/>
                <w:bCs w:val="1"/>
                <w:color w:val="auto"/>
                <w:w w:val="92"/>
              </w:rPr>
              <w:t>December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282"/>
              <w:spacing w:after="0" w:line="153" w:lineRule="exact"/>
              <w:rPr>
                <w:sz w:val="20"/>
                <w:szCs w:val="20"/>
                <w:color w:val="auto"/>
              </w:rPr>
            </w:pPr>
            <w:r>
              <w:rPr>
                <w:rFonts w:ascii="Arial" w:cs="Arial" w:eastAsia="Arial" w:hAnsi="Arial"/>
                <w:sz w:val="14"/>
                <w:szCs w:val="14"/>
                <w:b w:val="1"/>
                <w:bCs w:val="1"/>
                <w:color w:val="auto"/>
                <w:w w:val="92"/>
              </w:rPr>
              <w:t>December 28,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122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December 27, 2013 would have an impact of approximately $1.9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environments. As discussed above, we utilize foreign currency hedging instruments to minimize the currency risk of international transactions. The impact of translating the assets and liabilities of foreign operations to U.S. dollars is included as a component of stockholders’ equity. As of December 27, 2013 and June 28, 2013, the cumulative translation adjustment decreased our stockholders’ equity by $2.9 million and $3.4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SVB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had $64.7 million in total cash and cash equivalents as of December 27, 2013. Cash equivalents totaled $27.1 million as of December 27, 2013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earn interest at fixed rates; therefore, changes in interest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ind w:right="120"/>
        <w:spacing w:after="0" w:line="259" w:lineRule="auto"/>
        <w:rPr>
          <w:sz w:val="20"/>
          <w:szCs w:val="20"/>
          <w:color w:val="auto"/>
        </w:rPr>
      </w:pPr>
      <w:r>
        <w:rPr>
          <w:rFonts w:ascii="Arial" w:cs="Arial" w:eastAsia="Arial" w:hAnsi="Arial"/>
          <w:sz w:val="18"/>
          <w:szCs w:val="18"/>
          <w:color w:val="auto"/>
        </w:rPr>
        <w:t>will not generate a gain or loss on these investments unless they are sold prior to maturity. Actual gains and losses due to the sale of our investments prior to maturity have been immaterial. The weighted average days to maturity for cash equivalents held as of December 27, 2013 was two days, and these investments had an average yield of 0.52% per annum. A 10% change in interest rates on our cash and cash equivalents is not expected to have a material impact on our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first two quarters of fiscal 2014, we had $6.0 million of borrowings outstanding under our $50.0 million SVB credit facility that incurred interest at the prime rate. We also recorded interest on our $8.3 million borrowing drawn on January 30, 2012 and paid off on September 27, 2013 at the fixed rate of 5% per annum. During the first two quarters of fiscal 2014, our weighted average interest rate was 3.5% and we recorded total interest expense of $0.1 million on these borrowings.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our Chief Executive Officer and Chief Financial Officer,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December 27,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13,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2013 Annual Report on Form 10-K.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46" w:right="279" w:bottom="1440" w:gutter="0" w:footer="0" w:header="0"/>
        </w:sectPr>
      </w:pPr>
    </w:p>
    <w:bookmarkStart w:id="31" w:name="page32"/>
    <w:bookmarkEnd w:id="31"/>
    <w:p>
      <w:pPr>
        <w:ind w:firstLine="43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2013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746"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Amendment No. 1 to First Amended and Restated Loan and Security Agreement, dated as of October 29, 2013, by and among Aviat</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3"/>
              </w:rPr>
              <w:t>Networks, Inc., Aviat U.S., Inc., Aviat Networks (S) Pte. Ltd. and Silicon Valley Bank (incorporated by reference to Exhibit 10.1 to</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the Current Report on Form 8-K filed with the SEC on October 30, 2013, File No. 001-33278)</w:t>
            </w:r>
          </w:p>
        </w:tc>
      </w:tr>
      <w:tr>
        <w:trPr>
          <w:trHeight w:val="580"/>
        </w:trPr>
        <w:tc>
          <w:tcPr>
            <w:tcW w:w="12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3"/>
              </w:rPr>
              <w:t>Amendment No. 2 to First Amended and Restated Loan and Security Agreement, dated as of November 20, 2013, by and among</w:t>
            </w:r>
          </w:p>
        </w:tc>
      </w:t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November 21, 2013, File No. 001-33278)</w:t>
            </w:r>
          </w:p>
        </w:tc>
      </w:tr>
      <w:tr>
        <w:trPr>
          <w:trHeight w:val="594"/>
        </w:trPr>
        <w:tc>
          <w:tcPr>
            <w:tcW w:w="12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980"/>
          </w:cols>
          <w:pgMar w:left="240" w:top="580" w:right="679" w:bottom="1440" w:gutter="0" w:footer="0" w:header="0"/>
        </w:sectPr>
      </w:pPr>
    </w:p>
    <w:bookmarkStart w:id="33" w:name="page34"/>
    <w:bookmarkEnd w:id="33"/>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240" w:top="796" w:right="9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098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Amendment No. 1 to First Amended and Restated Loan and Security Agreement, dated as of October 29, 2013, by and among Aviat</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3"/>
              </w:rPr>
              <w:t>Networks, Inc., Aviat U.S., Inc., Aviat Networks (S) Pte. Ltd. and Silicon Valley Bank (incorporated by reference to Exhibit 10.1 to</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the Current Report on Form 8-K filed with the SEC on October 30, 2013, File No. 001-33278)</w:t>
            </w:r>
          </w:p>
        </w:tc>
      </w:tr>
      <w:tr>
        <w:trPr>
          <w:trHeight w:val="580"/>
        </w:trPr>
        <w:tc>
          <w:tcPr>
            <w:tcW w:w="12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3"/>
              </w:rPr>
              <w:t>Amendment No. 2 to First Amended and Restated Loan and Security Agreement, dated as of November 20, 2013,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November 21, 2013,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980"/>
          </w:cols>
          <w:pgMar w:left="240" w:top="796" w:right="6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27,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10,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27,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10, 2014</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27, 2013,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February 10, 2014</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60"/>
        <w:spacing w:after="0"/>
        <w:tabs>
          <w:tab w:leader="none" w:pos="5980" w:val="left"/>
        </w:tabs>
        <w:rPr>
          <w:sz w:val="20"/>
          <w:szCs w:val="20"/>
          <w:color w:val="auto"/>
        </w:rPr>
      </w:pPr>
      <w:r>
        <w:rPr>
          <w:rFonts w:ascii="Arial" w:cs="Arial" w:eastAsia="Arial" w:hAnsi="Arial"/>
          <w:sz w:val="18"/>
          <w:szCs w:val="18"/>
          <w:color w:val="auto"/>
        </w:rPr>
        <w:t>Date: February 10, 2014</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J Hayes, Jr.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2019-12-07T14:33:47Z</dcterms:created>
  <dcterms:modified xsi:type="dcterms:W3CDTF">2019-12-07T14:33:47Z</dcterms:modified>
</cp:coreProperties>
</file>