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SECURITIES AND EXCHANGE COMMISSION</w:t>
      </w: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4"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31"/>
          <w:szCs w:val="31"/>
          <w:b w:val="1"/>
          <w:bCs w:val="1"/>
          <w:color w:val="auto"/>
        </w:rPr>
        <w:t>Form 10-Q</w:t>
      </w:r>
    </w:p>
    <w:p>
      <w:pPr>
        <w:spacing w:after="0" w:line="23"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December 26, 2014</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500" w:right="420" w:hanging="465"/>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448310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jc w:val="center"/>
        <w:ind w:right="-19"/>
        <w:spacing w:after="0"/>
        <w:rPr>
          <w:sz w:val="20"/>
          <w:szCs w:val="20"/>
          <w:color w:val="auto"/>
        </w:rPr>
      </w:pPr>
      <w:r>
        <w:rPr>
          <w:rFonts w:ascii="Arial" w:cs="Arial" w:eastAsia="Arial" w:hAnsi="Arial"/>
          <w:sz w:val="41"/>
          <w:szCs w:val="41"/>
          <w:b w:val="1"/>
          <w:bCs w:val="1"/>
          <w:color w:val="auto"/>
        </w:rPr>
        <w:t>AVIAT NETWORKS, INC.</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89" w:lineRule="exact"/>
        <w:rPr>
          <w:sz w:val="24"/>
          <w:szCs w:val="24"/>
          <w:color w:val="auto"/>
        </w:rPr>
      </w:pPr>
    </w:p>
    <w:tbl>
      <w:tblPr>
        <w:tblLayout w:type="fixed"/>
        <w:tblInd w:w="1480" w:type="dxa"/>
        <w:tblCellMar>
          <w:top w:w="0" w:type="dxa"/>
          <w:left w:w="0" w:type="dxa"/>
          <w:bottom w:w="0" w:type="dxa"/>
          <w:right w:w="0" w:type="dxa"/>
        </w:tblCellMar>
      </w:tblPr>
      <w:tr>
        <w:trPr>
          <w:trHeight w:val="256"/>
        </w:trPr>
        <w:tc>
          <w:tcPr>
            <w:tcW w:w="6340" w:type="dxa"/>
            <w:vAlign w:val="bottom"/>
          </w:tcPr>
          <w:p>
            <w:pPr>
              <w:jc w:val="center"/>
              <w:ind w:right="3590"/>
              <w:spacing w:after="0"/>
              <w:rPr>
                <w:sz w:val="20"/>
                <w:szCs w:val="20"/>
                <w:color w:val="auto"/>
              </w:rPr>
            </w:pPr>
            <w:r>
              <w:rPr>
                <w:rFonts w:ascii="Arial" w:cs="Arial" w:eastAsia="Arial" w:hAnsi="Arial"/>
                <w:sz w:val="20"/>
                <w:szCs w:val="20"/>
                <w:b w:val="1"/>
                <w:bCs w:val="1"/>
                <w:color w:val="auto"/>
                <w:w w:val="88"/>
              </w:rPr>
              <w:t>Delaware</w:t>
            </w:r>
          </w:p>
        </w:tc>
        <w:tc>
          <w:tcPr>
            <w:tcW w:w="1560" w:type="dxa"/>
            <w:vAlign w:val="bottom"/>
          </w:tcPr>
          <w:p>
            <w:pPr>
              <w:jc w:val="right"/>
              <w:ind w:right="72"/>
              <w:spacing w:after="0"/>
              <w:rPr>
                <w:sz w:val="20"/>
                <w:szCs w:val="20"/>
                <w:color w:val="auto"/>
              </w:rPr>
            </w:pPr>
            <w:r>
              <w:rPr>
                <w:rFonts w:ascii="Arial" w:cs="Arial" w:eastAsia="Arial" w:hAnsi="Arial"/>
                <w:sz w:val="20"/>
                <w:szCs w:val="20"/>
                <w:b w:val="1"/>
                <w:bCs w:val="1"/>
                <w:color w:val="auto"/>
              </w:rPr>
              <w:t>20-5961564</w:t>
            </w:r>
          </w:p>
        </w:tc>
      </w:tr>
      <w:tr>
        <w:trPr>
          <w:trHeight w:val="239"/>
        </w:trPr>
        <w:tc>
          <w:tcPr>
            <w:tcW w:w="6340" w:type="dxa"/>
            <w:vAlign w:val="bottom"/>
          </w:tcPr>
          <w:p>
            <w:pPr>
              <w:jc w:val="center"/>
              <w:ind w:right="3590"/>
              <w:spacing w:after="0"/>
              <w:rPr>
                <w:sz w:val="20"/>
                <w:szCs w:val="20"/>
                <w:color w:val="auto"/>
              </w:rPr>
            </w:pPr>
            <w:r>
              <w:rPr>
                <w:rFonts w:ascii="Arial" w:cs="Arial" w:eastAsia="Arial" w:hAnsi="Arial"/>
                <w:sz w:val="16"/>
                <w:szCs w:val="16"/>
                <w:b w:val="1"/>
                <w:bCs w:val="1"/>
                <w:color w:val="auto"/>
                <w:w w:val="91"/>
              </w:rPr>
              <w:t>(State or other jurisdiction of</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4"/>
              </w:rPr>
              <w:t>(I.R.S. Employer</w:t>
            </w:r>
          </w:p>
        </w:tc>
      </w:tr>
      <w:tr>
        <w:trPr>
          <w:trHeight w:val="210"/>
        </w:trPr>
        <w:tc>
          <w:tcPr>
            <w:tcW w:w="6340" w:type="dxa"/>
            <w:vAlign w:val="bottom"/>
          </w:tcPr>
          <w:p>
            <w:pPr>
              <w:jc w:val="center"/>
              <w:ind w:right="3590"/>
              <w:spacing w:after="0"/>
              <w:rPr>
                <w:sz w:val="20"/>
                <w:szCs w:val="20"/>
                <w:color w:val="auto"/>
              </w:rPr>
            </w:pPr>
            <w:r>
              <w:rPr>
                <w:rFonts w:ascii="Arial" w:cs="Arial" w:eastAsia="Arial" w:hAnsi="Arial"/>
                <w:sz w:val="16"/>
                <w:szCs w:val="16"/>
                <w:b w:val="1"/>
                <w:bCs w:val="1"/>
                <w:color w:val="auto"/>
                <w:w w:val="91"/>
              </w:rPr>
              <w:t>incorporation or organization)</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4"/>
              </w:rPr>
              <w:t>Identification No.)</w:t>
            </w:r>
          </w:p>
        </w:tc>
      </w:tr>
      <w:tr>
        <w:trPr>
          <w:trHeight w:val="402"/>
        </w:trPr>
        <w:tc>
          <w:tcPr>
            <w:tcW w:w="6340" w:type="dxa"/>
            <w:vAlign w:val="bottom"/>
          </w:tcPr>
          <w:p>
            <w:pPr>
              <w:jc w:val="center"/>
              <w:ind w:right="3570"/>
              <w:spacing w:after="0"/>
              <w:rPr>
                <w:sz w:val="20"/>
                <w:szCs w:val="20"/>
                <w:color w:val="auto"/>
              </w:rPr>
            </w:pPr>
            <w:r>
              <w:rPr>
                <w:rFonts w:ascii="Arial" w:cs="Arial" w:eastAsia="Arial" w:hAnsi="Arial"/>
                <w:sz w:val="20"/>
                <w:szCs w:val="20"/>
                <w:b w:val="1"/>
                <w:bCs w:val="1"/>
                <w:color w:val="auto"/>
                <w:w w:val="92"/>
              </w:rPr>
              <w:t>5200 Great America Parkway</w:t>
            </w:r>
          </w:p>
        </w:tc>
        <w:tc>
          <w:tcPr>
            <w:tcW w:w="1560" w:type="dxa"/>
            <w:vAlign w:val="bottom"/>
          </w:tcPr>
          <w:p>
            <w:pPr>
              <w:spacing w:after="0"/>
              <w:rPr>
                <w:sz w:val="24"/>
                <w:szCs w:val="24"/>
                <w:color w:val="auto"/>
              </w:rPr>
            </w:pPr>
          </w:p>
        </w:tc>
      </w:tr>
      <w:tr>
        <w:trPr>
          <w:trHeight w:val="256"/>
        </w:trPr>
        <w:tc>
          <w:tcPr>
            <w:tcW w:w="6340" w:type="dxa"/>
            <w:vAlign w:val="bottom"/>
          </w:tcPr>
          <w:p>
            <w:pPr>
              <w:jc w:val="center"/>
              <w:ind w:right="3590"/>
              <w:spacing w:after="0"/>
              <w:rPr>
                <w:sz w:val="20"/>
                <w:szCs w:val="20"/>
                <w:color w:val="auto"/>
              </w:rPr>
            </w:pPr>
            <w:r>
              <w:rPr>
                <w:rFonts w:ascii="Arial" w:cs="Arial" w:eastAsia="Arial" w:hAnsi="Arial"/>
                <w:sz w:val="20"/>
                <w:szCs w:val="20"/>
                <w:b w:val="1"/>
                <w:bCs w:val="1"/>
                <w:color w:val="auto"/>
                <w:w w:val="92"/>
              </w:rPr>
              <w:t>Santa Clara, California</w:t>
            </w:r>
          </w:p>
        </w:tc>
        <w:tc>
          <w:tcPr>
            <w:tcW w:w="1560" w:type="dxa"/>
            <w:vAlign w:val="bottom"/>
          </w:tcPr>
          <w:p>
            <w:pPr>
              <w:jc w:val="right"/>
              <w:ind w:right="312"/>
              <w:spacing w:after="0"/>
              <w:rPr>
                <w:sz w:val="20"/>
                <w:szCs w:val="20"/>
                <w:color w:val="auto"/>
              </w:rPr>
            </w:pPr>
            <w:r>
              <w:rPr>
                <w:rFonts w:ascii="Arial" w:cs="Arial" w:eastAsia="Arial" w:hAnsi="Arial"/>
                <w:sz w:val="20"/>
                <w:szCs w:val="20"/>
                <w:b w:val="1"/>
                <w:bCs w:val="1"/>
                <w:color w:val="auto"/>
              </w:rPr>
              <w:t>95054</w:t>
            </w:r>
          </w:p>
        </w:tc>
      </w:tr>
      <w:tr>
        <w:trPr>
          <w:trHeight w:val="247"/>
        </w:trPr>
        <w:tc>
          <w:tcPr>
            <w:tcW w:w="6340" w:type="dxa"/>
            <w:vAlign w:val="bottom"/>
          </w:tcPr>
          <w:p>
            <w:pPr>
              <w:jc w:val="center"/>
              <w:ind w:right="3570"/>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1560" w:type="dxa"/>
            <w:vAlign w:val="bottom"/>
          </w:tcPr>
          <w:p>
            <w:pPr>
              <w:jc w:val="center"/>
              <w:ind w:left="192"/>
              <w:spacing w:after="0"/>
              <w:rPr>
                <w:sz w:val="20"/>
                <w:szCs w:val="20"/>
                <w:color w:val="auto"/>
              </w:rPr>
            </w:pPr>
            <w:r>
              <w:rPr>
                <w:rFonts w:ascii="Arial" w:cs="Arial" w:eastAsia="Arial" w:hAnsi="Arial"/>
                <w:sz w:val="16"/>
                <w:szCs w:val="16"/>
                <w:b w:val="1"/>
                <w:bCs w:val="1"/>
                <w:color w:val="auto"/>
                <w:w w:val="96"/>
              </w:rPr>
              <w:t>(Zip Code)</w:t>
            </w:r>
          </w:p>
        </w:tc>
      </w:tr>
      <w:tr>
        <w:trPr>
          <w:trHeight w:val="357"/>
        </w:trPr>
        <w:tc>
          <w:tcPr>
            <w:tcW w:w="6340" w:type="dxa"/>
            <w:vAlign w:val="bottom"/>
          </w:tcPr>
          <w:p>
            <w:pPr>
              <w:jc w:val="right"/>
              <w:ind w:right="1390"/>
              <w:spacing w:after="0"/>
              <w:rPr>
                <w:sz w:val="20"/>
                <w:szCs w:val="20"/>
                <w:color w:val="auto"/>
              </w:rPr>
            </w:pPr>
            <w:r>
              <w:rPr>
                <w:rFonts w:ascii="Arial" w:cs="Arial" w:eastAsia="Arial" w:hAnsi="Arial"/>
                <w:sz w:val="20"/>
                <w:szCs w:val="20"/>
                <w:b w:val="1"/>
                <w:bCs w:val="1"/>
                <w:color w:val="auto"/>
              </w:rPr>
              <w:t>(408) 567-7000</w:t>
            </w:r>
          </w:p>
        </w:tc>
        <w:tc>
          <w:tcPr>
            <w:tcW w:w="1560" w:type="dxa"/>
            <w:vAlign w:val="bottom"/>
          </w:tcPr>
          <w:p>
            <w:pPr>
              <w:spacing w:after="0"/>
              <w:rPr>
                <w:sz w:val="24"/>
                <w:szCs w:val="24"/>
                <w:color w:val="auto"/>
              </w:rPr>
            </w:pPr>
          </w:p>
        </w:tc>
      </w:tr>
      <w:tr>
        <w:trPr>
          <w:trHeight w:val="210"/>
        </w:trPr>
        <w:tc>
          <w:tcPr>
            <w:tcW w:w="6340" w:type="dxa"/>
            <w:vAlign w:val="bottom"/>
          </w:tcPr>
          <w:p>
            <w:pPr>
              <w:jc w:val="center"/>
              <w:ind w:left="2030"/>
              <w:spacing w:after="0"/>
              <w:rPr>
                <w:sz w:val="20"/>
                <w:szCs w:val="20"/>
                <w:color w:val="auto"/>
              </w:rPr>
            </w:pPr>
            <w:r>
              <w:rPr>
                <w:rFonts w:ascii="Arial" w:cs="Arial" w:eastAsia="Arial" w:hAnsi="Arial"/>
                <w:sz w:val="16"/>
                <w:szCs w:val="16"/>
                <w:b w:val="1"/>
                <w:bCs w:val="1"/>
                <w:color w:val="auto"/>
                <w:w w:val="90"/>
              </w:rPr>
              <w:t>(Registrant’s telephone number, including area code)</w:t>
            </w:r>
          </w:p>
        </w:tc>
        <w:tc>
          <w:tcPr>
            <w:tcW w:w="1560" w:type="dxa"/>
            <w:vAlign w:val="bottom"/>
          </w:tcPr>
          <w:p>
            <w:pPr>
              <w:spacing w:after="0"/>
              <w:rPr>
                <w:sz w:val="18"/>
                <w:szCs w:val="18"/>
                <w:color w:val="auto"/>
              </w:rPr>
            </w:pPr>
          </w:p>
        </w:tc>
      </w:tr>
    </w:tbl>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20"/>
          <w:szCs w:val="20"/>
          <w:b w:val="1"/>
          <w:bCs w:val="1"/>
          <w:color w:val="auto"/>
        </w:rPr>
        <w:t>No changes</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ind w:left="4760"/>
        <w:spacing w:after="0"/>
        <w:rPr>
          <w:sz w:val="20"/>
          <w:szCs w:val="20"/>
          <w:color w:val="auto"/>
        </w:rPr>
      </w:pPr>
      <w:r>
        <w:rPr>
          <w:rFonts w:ascii="Arial" w:cs="Arial" w:eastAsia="Arial" w:hAnsi="Arial"/>
          <w:sz w:val="14"/>
          <w:szCs w:val="14"/>
          <w:color w:val="auto"/>
        </w:rPr>
        <w:t>__________________________</w:t>
      </w:r>
    </w:p>
    <w:p>
      <w:pPr>
        <w:spacing w:after="0" w:line="74" w:lineRule="exact"/>
        <w:rPr>
          <w:sz w:val="24"/>
          <w:szCs w:val="24"/>
          <w:color w:val="auto"/>
        </w:rPr>
      </w:pPr>
    </w:p>
    <w:p>
      <w:pPr>
        <w:ind w:right="520"/>
        <w:spacing w:after="0" w:line="227"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30"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1102" w:right="239" w:bottom="1440" w:gutter="0" w:footer="0" w:header="0"/>
        </w:sectPr>
      </w:pPr>
    </w:p>
    <w:p>
      <w:pPr>
        <w:spacing w:after="0" w:line="93"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7"/>
          <w:szCs w:val="17"/>
          <w:color w:val="auto"/>
        </w:rPr>
        <w:t>o</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86" w:lineRule="exact"/>
        <w:rPr>
          <w:sz w:val="24"/>
          <w:szCs w:val="24"/>
          <w:color w:val="auto"/>
        </w:rPr>
      </w:pPr>
    </w:p>
    <w:p>
      <w:pPr>
        <w:sectPr>
          <w:pgSz w:w="11900" w:h="16838" w:orient="portrait"/>
          <w:cols w:equalWidth="0" w:num="4">
            <w:col w:w="1700" w:space="720"/>
            <w:col w:w="4280" w:space="720"/>
            <w:col w:w="2800" w:space="720"/>
            <w:col w:w="480"/>
          </w:cols>
          <w:pgMar w:left="240" w:top="1102" w:right="23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o (Do not check if a 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o</w:t>
      </w:r>
    </w:p>
    <w:p>
      <w:pPr>
        <w:spacing w:after="0" w:line="229" w:lineRule="exact"/>
        <w:rPr>
          <w:sz w:val="24"/>
          <w:szCs w:val="24"/>
          <w:color w:val="auto"/>
        </w:rPr>
      </w:pPr>
    </w:p>
    <w:p>
      <w:pPr>
        <w:sectPr>
          <w:pgSz w:w="11900" w:h="16838" w:orient="portrait"/>
          <w:cols w:equalWidth="0" w:num="4">
            <w:col w:w="1700" w:space="720"/>
            <w:col w:w="4280" w:space="720"/>
            <w:col w:w="2800" w:space="720"/>
            <w:col w:w="480"/>
          </w:cols>
          <w:pgMar w:left="240" w:top="1102" w:right="239" w:bottom="1440" w:gutter="0" w:footer="0" w:header="0"/>
          <w:type w:val="continuous"/>
        </w:sectPr>
      </w:pPr>
    </w:p>
    <w:p>
      <w:pPr>
        <w:spacing w:after="0" w:line="15" w:lineRule="exact"/>
        <w:rPr>
          <w:sz w:val="24"/>
          <w:szCs w:val="24"/>
          <w:color w:val="auto"/>
        </w:rPr>
      </w:pPr>
    </w:p>
    <w:p>
      <w:pPr>
        <w:ind w:right="2040"/>
        <w:spacing w:after="0" w:line="507" w:lineRule="auto"/>
        <w:rPr>
          <w:sz w:val="20"/>
          <w:szCs w:val="20"/>
          <w:color w:val="auto"/>
        </w:rPr>
      </w:pPr>
      <w:r>
        <w:rPr>
          <w:rFonts w:ascii="Arial" w:cs="Arial" w:eastAsia="Arial" w:hAnsi="Arial"/>
          <w:sz w:val="17"/>
          <w:szCs w:val="17"/>
          <w:color w:val="auto"/>
        </w:rPr>
        <w:t>Indicate by check mark whether the registrant is a shell company (as defined in Rule 12b-2 of the Exchange Act). Yes o No x The number of shares outstanding of the registrant’s Common Stock as of January 26, 2015 was 62,328,265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179070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02"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10340" w:type="dxa"/>
            <w:vAlign w:val="bottom"/>
          </w:tcPr>
          <w:p>
            <w:pPr>
              <w:jc w:val="center"/>
              <w:ind w:left="570"/>
              <w:spacing w:after="0"/>
              <w:rPr>
                <w:sz w:val="20"/>
                <w:szCs w:val="20"/>
                <w:color w:val="auto"/>
              </w:rPr>
            </w:pPr>
            <w:r>
              <w:rPr>
                <w:rFonts w:ascii="Arial" w:cs="Arial" w:eastAsia="Arial" w:hAnsi="Arial"/>
                <w:sz w:val="18"/>
                <w:szCs w:val="18"/>
                <w:b w:val="1"/>
                <w:bCs w:val="1"/>
                <w:color w:val="auto"/>
              </w:rPr>
              <w:t>AVIAT NETWORKS, INC.</w:t>
            </w:r>
          </w:p>
        </w:tc>
        <w:tc>
          <w:tcPr>
            <w:tcW w:w="640" w:type="dxa"/>
            <w:vAlign w:val="bottom"/>
          </w:tcPr>
          <w:p>
            <w:pPr>
              <w:spacing w:after="0"/>
              <w:rPr>
                <w:sz w:val="20"/>
                <w:szCs w:val="20"/>
                <w:color w:val="auto"/>
              </w:rPr>
            </w:pPr>
          </w:p>
        </w:tc>
      </w:tr>
      <w:tr>
        <w:trPr>
          <w:trHeight w:val="297"/>
        </w:trPr>
        <w:tc>
          <w:tcPr>
            <w:tcW w:w="10340" w:type="dxa"/>
            <w:vAlign w:val="bottom"/>
          </w:tcPr>
          <w:p>
            <w:pPr>
              <w:jc w:val="center"/>
              <w:ind w:left="550"/>
              <w:spacing w:after="0"/>
              <w:rPr>
                <w:sz w:val="20"/>
                <w:szCs w:val="20"/>
                <w:color w:val="auto"/>
              </w:rPr>
            </w:pPr>
            <w:r>
              <w:rPr>
                <w:rFonts w:ascii="Arial" w:cs="Arial" w:eastAsia="Arial" w:hAnsi="Arial"/>
                <w:sz w:val="18"/>
                <w:szCs w:val="18"/>
                <w:b w:val="1"/>
                <w:bCs w:val="1"/>
                <w:color w:val="auto"/>
                <w:w w:val="99"/>
              </w:rPr>
              <w:t>QUARTERLY REPORT ON FORM 10-Q</w:t>
            </w:r>
          </w:p>
        </w:tc>
        <w:tc>
          <w:tcPr>
            <w:tcW w:w="640" w:type="dxa"/>
            <w:vAlign w:val="bottom"/>
          </w:tcPr>
          <w:p>
            <w:pPr>
              <w:spacing w:after="0"/>
              <w:rPr>
                <w:sz w:val="24"/>
                <w:szCs w:val="24"/>
                <w:color w:val="auto"/>
              </w:rPr>
            </w:pPr>
          </w:p>
        </w:tc>
      </w:tr>
      <w:tr>
        <w:trPr>
          <w:trHeight w:val="297"/>
        </w:trPr>
        <w:tc>
          <w:tcPr>
            <w:tcW w:w="10340" w:type="dxa"/>
            <w:vAlign w:val="bottom"/>
          </w:tcPr>
          <w:p>
            <w:pPr>
              <w:jc w:val="center"/>
              <w:ind w:left="550"/>
              <w:spacing w:after="0"/>
              <w:rPr>
                <w:sz w:val="20"/>
                <w:szCs w:val="20"/>
                <w:color w:val="auto"/>
              </w:rPr>
            </w:pPr>
            <w:r>
              <w:rPr>
                <w:rFonts w:ascii="Arial" w:cs="Arial" w:eastAsia="Arial" w:hAnsi="Arial"/>
                <w:sz w:val="18"/>
                <w:szCs w:val="18"/>
                <w:b w:val="1"/>
                <w:bCs w:val="1"/>
                <w:color w:val="auto"/>
                <w:w w:val="91"/>
              </w:rPr>
              <w:t>For the Quarterly Period Ended December 26, 2014</w:t>
            </w:r>
          </w:p>
        </w:tc>
        <w:tc>
          <w:tcPr>
            <w:tcW w:w="640" w:type="dxa"/>
            <w:vAlign w:val="bottom"/>
          </w:tcPr>
          <w:p>
            <w:pPr>
              <w:spacing w:after="0"/>
              <w:rPr>
                <w:sz w:val="24"/>
                <w:szCs w:val="24"/>
                <w:color w:val="auto"/>
              </w:rPr>
            </w:pPr>
          </w:p>
        </w:tc>
      </w:tr>
      <w:tr>
        <w:trPr>
          <w:trHeight w:val="297"/>
        </w:trPr>
        <w:tc>
          <w:tcPr>
            <w:tcW w:w="10340" w:type="dxa"/>
            <w:vAlign w:val="bottom"/>
          </w:tcPr>
          <w:p>
            <w:pPr>
              <w:jc w:val="center"/>
              <w:ind w:left="570"/>
              <w:spacing w:after="0"/>
              <w:rPr>
                <w:sz w:val="20"/>
                <w:szCs w:val="20"/>
                <w:color w:val="auto"/>
              </w:rPr>
            </w:pPr>
            <w:r>
              <w:rPr>
                <w:rFonts w:ascii="Arial" w:cs="Arial" w:eastAsia="Arial" w:hAnsi="Arial"/>
                <w:sz w:val="18"/>
                <w:szCs w:val="18"/>
                <w:b w:val="1"/>
                <w:bCs w:val="1"/>
                <w:color w:val="auto"/>
                <w:w w:val="89"/>
              </w:rPr>
              <w:t>Table of Contents</w:t>
            </w:r>
          </w:p>
        </w:tc>
        <w:tc>
          <w:tcPr>
            <w:tcW w:w="640" w:type="dxa"/>
            <w:vAlign w:val="bottom"/>
          </w:tcPr>
          <w:p>
            <w:pPr>
              <w:spacing w:after="0"/>
              <w:rPr>
                <w:sz w:val="24"/>
                <w:szCs w:val="24"/>
                <w:color w:val="auto"/>
              </w:rPr>
            </w:pPr>
          </w:p>
        </w:tc>
      </w:tr>
      <w:tr>
        <w:trPr>
          <w:trHeight w:val="872"/>
        </w:trPr>
        <w:tc>
          <w:tcPr>
            <w:tcW w:w="1034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b w:val="1"/>
                <w:bCs w:val="1"/>
                <w:color w:val="auto"/>
              </w:rPr>
              <w:t>Page</w:t>
            </w:r>
          </w:p>
        </w:tc>
      </w:tr>
      <w:tr>
        <w:trPr>
          <w:trHeight w:val="250"/>
        </w:trPr>
        <w:tc>
          <w:tcPr>
            <w:tcW w:w="10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Part I. Financial Information</w:t>
            </w:r>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10340" w:type="dxa"/>
            <w:vAlign w:val="bottom"/>
          </w:tcPr>
          <w:p>
            <w:pPr>
              <w:ind w:left="380"/>
              <w:spacing w:after="0"/>
              <w:rPr>
                <w:rFonts w:ascii="Arial" w:cs="Arial" w:eastAsia="Arial" w:hAnsi="Arial"/>
                <w:sz w:val="18"/>
                <w:szCs w:val="18"/>
                <w:color w:val="auto"/>
              </w:rPr>
            </w:pPr>
            <w:hyperlink w:anchor="page2">
              <w:r>
                <w:rPr>
                  <w:rFonts w:ascii="Arial" w:cs="Arial" w:eastAsia="Arial" w:hAnsi="Arial"/>
                  <w:sz w:val="18"/>
                  <w:szCs w:val="18"/>
                  <w:color w:val="auto"/>
                </w:rPr>
                <w:t>Item 1. Financial Statements</w:t>
              </w:r>
            </w:hyperlink>
          </w:p>
        </w:tc>
        <w:tc>
          <w:tcPr>
            <w:tcW w:w="6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29"/>
        </w:trPr>
        <w:tc>
          <w:tcPr>
            <w:tcW w:w="10340" w:type="dxa"/>
            <w:vAlign w:val="bottom"/>
            <w:shd w:val="clear" w:color="auto" w:fill="CCEEFF"/>
          </w:tcPr>
          <w:p>
            <w:pPr>
              <w:ind w:left="380"/>
              <w:spacing w:after="0"/>
              <w:rPr>
                <w:rFonts w:ascii="Arial" w:cs="Arial" w:eastAsia="Arial" w:hAnsi="Arial"/>
                <w:sz w:val="18"/>
                <w:szCs w:val="18"/>
                <w:color w:val="auto"/>
                <w:w w:val="90"/>
              </w:rPr>
            </w:pPr>
            <w:hyperlink w:anchor="page3">
              <w:r>
                <w:rPr>
                  <w:rFonts w:ascii="Arial" w:cs="Arial" w:eastAsia="Arial" w:hAnsi="Arial"/>
                  <w:sz w:val="18"/>
                  <w:szCs w:val="18"/>
                  <w:color w:val="auto"/>
                  <w:w w:val="90"/>
                </w:rPr>
                <w:t>Condensed Consolidated Statements of Operations for the Quarter and Two Quarters Ended December 26, 2014 and December 27, 2013</w:t>
              </w:r>
            </w:hyperlink>
          </w:p>
        </w:tc>
        <w:tc>
          <w:tcPr>
            <w:tcW w:w="640" w:type="dxa"/>
            <w:vAlign w:val="bottom"/>
            <w:shd w:val="clear" w:color="auto" w:fill="CCEEFF"/>
          </w:tcPr>
          <w:p>
            <w:pPr>
              <w:spacing w:after="0"/>
              <w:rPr>
                <w:sz w:val="19"/>
                <w:szCs w:val="19"/>
                <w:color w:val="auto"/>
              </w:rPr>
            </w:pPr>
          </w:p>
        </w:tc>
      </w:tr>
      <w:tr>
        <w:trPr>
          <w:trHeight w:val="237"/>
        </w:trPr>
        <w:tc>
          <w:tcPr>
            <w:tcW w:w="10340" w:type="dxa"/>
            <w:vAlign w:val="bottom"/>
            <w:tcBorders>
              <w:bottom w:val="single" w:sz="8" w:color="CCEEFF"/>
            </w:tcBorders>
            <w:shd w:val="clear" w:color="auto" w:fill="CCEEFF"/>
          </w:tcPr>
          <w:p>
            <w:pPr>
              <w:ind w:left="620"/>
              <w:spacing w:after="0"/>
              <w:rPr>
                <w:rFonts w:ascii="Arial" w:cs="Arial" w:eastAsia="Arial" w:hAnsi="Arial"/>
                <w:sz w:val="18"/>
                <w:szCs w:val="18"/>
                <w:color w:val="auto"/>
              </w:rPr>
            </w:pPr>
            <w:hyperlink w:anchor="page3">
              <w:r>
                <w:rPr>
                  <w:rFonts w:ascii="Arial" w:cs="Arial" w:eastAsia="Arial" w:hAnsi="Arial"/>
                  <w:sz w:val="18"/>
                  <w:szCs w:val="18"/>
                  <w:color w:val="auto"/>
                </w:rPr>
                <w:t>(Unaudited)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3</w:t>
              </w:r>
            </w:hyperlink>
          </w:p>
        </w:tc>
      </w:tr>
      <w:tr>
        <w:trPr>
          <w:trHeight w:val="229"/>
        </w:trPr>
        <w:tc>
          <w:tcPr>
            <w:tcW w:w="10340" w:type="dxa"/>
            <w:vAlign w:val="bottom"/>
          </w:tcPr>
          <w:p>
            <w:pPr>
              <w:ind w:left="380"/>
              <w:spacing w:after="0"/>
              <w:rPr>
                <w:rFonts w:ascii="Arial" w:cs="Arial" w:eastAsia="Arial" w:hAnsi="Arial"/>
                <w:sz w:val="18"/>
                <w:szCs w:val="18"/>
                <w:color w:val="auto"/>
                <w:w w:val="89"/>
              </w:rPr>
            </w:pPr>
            <w:hyperlink w:anchor="page3">
              <w:r>
                <w:rPr>
                  <w:rFonts w:ascii="Arial" w:cs="Arial" w:eastAsia="Arial" w:hAnsi="Arial"/>
                  <w:sz w:val="18"/>
                  <w:szCs w:val="18"/>
                  <w:color w:val="auto"/>
                  <w:w w:val="89"/>
                </w:rPr>
                <w:t>Condensed Consolidated Statements of Comprehensive Loss for the Quarter and Two Quarters Ended December 26, 2014 and December</w:t>
              </w:r>
            </w:hyperlink>
          </w:p>
        </w:tc>
        <w:tc>
          <w:tcPr>
            <w:tcW w:w="640" w:type="dxa"/>
            <w:vAlign w:val="bottom"/>
          </w:tcPr>
          <w:p>
            <w:pPr>
              <w:spacing w:after="0"/>
              <w:rPr>
                <w:sz w:val="19"/>
                <w:szCs w:val="19"/>
                <w:color w:val="auto"/>
              </w:rPr>
            </w:pPr>
          </w:p>
        </w:tc>
      </w:tr>
      <w:tr>
        <w:trPr>
          <w:trHeight w:val="230"/>
        </w:trPr>
        <w:tc>
          <w:tcPr>
            <w:tcW w:w="10340" w:type="dxa"/>
            <w:vAlign w:val="bottom"/>
          </w:tcPr>
          <w:p>
            <w:pPr>
              <w:ind w:left="620"/>
              <w:spacing w:after="0"/>
              <w:rPr>
                <w:rFonts w:ascii="Arial" w:cs="Arial" w:eastAsia="Arial" w:hAnsi="Arial"/>
                <w:sz w:val="18"/>
                <w:szCs w:val="18"/>
                <w:color w:val="auto"/>
              </w:rPr>
            </w:pPr>
            <w:hyperlink w:anchor="page3">
              <w:r>
                <w:rPr>
                  <w:rFonts w:ascii="Arial" w:cs="Arial" w:eastAsia="Arial" w:hAnsi="Arial"/>
                  <w:sz w:val="18"/>
                  <w:szCs w:val="18"/>
                  <w:color w:val="auto"/>
                </w:rPr>
                <w:t>27, 2013 (Unaudited)</w:t>
              </w:r>
            </w:hyperlink>
          </w:p>
        </w:tc>
        <w:tc>
          <w:tcPr>
            <w:tcW w:w="640" w:type="dxa"/>
            <w:vAlign w:val="bottom"/>
          </w:tcPr>
          <w:p>
            <w:pPr>
              <w:jc w:val="right"/>
              <w:spacing w:after="0"/>
              <w:rPr>
                <w:rFonts w:ascii="Arial" w:cs="Arial" w:eastAsia="Arial" w:hAnsi="Arial"/>
                <w:sz w:val="18"/>
                <w:szCs w:val="18"/>
                <w:color w:val="auto"/>
              </w:rPr>
            </w:pPr>
            <w:hyperlink w:anchor="page3">
              <w:r>
                <w:rPr>
                  <w:rFonts w:ascii="Arial" w:cs="Arial" w:eastAsia="Arial" w:hAnsi="Arial"/>
                  <w:sz w:val="18"/>
                  <w:szCs w:val="18"/>
                  <w:color w:val="auto"/>
                </w:rPr>
                <w:t>4</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Balance Sheets as of December 26, 2014 and June 27, 2014 (Unaudited)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5</w:t>
              </w:r>
            </w:hyperlink>
          </w:p>
        </w:tc>
      </w:tr>
      <w:tr>
        <w:trPr>
          <w:trHeight w:val="243"/>
        </w:trPr>
        <w:tc>
          <w:tcPr>
            <w:tcW w:w="10340" w:type="dxa"/>
            <w:vAlign w:val="bottom"/>
          </w:tcPr>
          <w:p>
            <w:pPr>
              <w:ind w:left="380"/>
              <w:spacing w:after="0"/>
              <w:rPr>
                <w:rFonts w:ascii="Arial" w:cs="Arial" w:eastAsia="Arial" w:hAnsi="Arial"/>
                <w:sz w:val="18"/>
                <w:szCs w:val="18"/>
                <w:color w:val="auto"/>
                <w:w w:val="92"/>
              </w:rPr>
            </w:pPr>
            <w:hyperlink w:anchor="page5">
              <w:r>
                <w:rPr>
                  <w:rFonts w:ascii="Arial" w:cs="Arial" w:eastAsia="Arial" w:hAnsi="Arial"/>
                  <w:sz w:val="18"/>
                  <w:szCs w:val="18"/>
                  <w:color w:val="auto"/>
                  <w:w w:val="92"/>
                </w:rPr>
                <w:t>Condensed Consolidated Statements of Cash Flows for Two Quarters Ended December 26, 2014 and December 27, 2013 (Unaudited)</w:t>
              </w:r>
            </w:hyperlink>
          </w:p>
        </w:tc>
        <w:tc>
          <w:tcPr>
            <w:tcW w:w="6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6</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6">
              <w:r>
                <w:rPr>
                  <w:rFonts w:ascii="Arial" w:cs="Arial" w:eastAsia="Arial" w:hAnsi="Arial"/>
                  <w:sz w:val="18"/>
                  <w:szCs w:val="18"/>
                  <w:color w:val="auto"/>
                </w:rPr>
                <w:t>Notes to Condensed Consolidated Financial Statements (Unaudited)</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7</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18">
              <w:r>
                <w:rPr>
                  <w:rFonts w:ascii="Arial" w:cs="Arial" w:eastAsia="Arial" w:hAnsi="Arial"/>
                  <w:sz w:val="18"/>
                  <w:szCs w:val="18"/>
                  <w:color w:val="auto"/>
                </w:rPr>
                <w:t>Item 2. Management’s Discussion and Analysis of Financial Condition and Results of Operations</w:t>
              </w:r>
            </w:hyperlink>
          </w:p>
        </w:tc>
        <w:tc>
          <w:tcPr>
            <w:tcW w:w="640" w:type="dxa"/>
            <w:vAlign w:val="bottom"/>
          </w:tcPr>
          <w:p>
            <w:pPr>
              <w:jc w:val="right"/>
              <w:spacing w:after="0"/>
              <w:rPr>
                <w:rFonts w:ascii="Arial" w:cs="Arial" w:eastAsia="Arial" w:hAnsi="Arial"/>
                <w:sz w:val="18"/>
                <w:szCs w:val="18"/>
                <w:color w:val="auto"/>
              </w:rPr>
            </w:pPr>
            <w:hyperlink w:anchor="page18">
              <w:r>
                <w:rPr>
                  <w:rFonts w:ascii="Arial" w:cs="Arial" w:eastAsia="Arial" w:hAnsi="Arial"/>
                  <w:sz w:val="18"/>
                  <w:szCs w:val="18"/>
                  <w:color w:val="auto"/>
                </w:rPr>
                <w:t>18</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7">
              <w:r>
                <w:rPr>
                  <w:rFonts w:ascii="Arial" w:cs="Arial" w:eastAsia="Arial" w:hAnsi="Arial"/>
                  <w:sz w:val="18"/>
                  <w:szCs w:val="18"/>
                  <w:color w:val="auto"/>
                </w:rPr>
                <w:t>Item 3. Quantitative and Qualitative Disclosures About Market Risk</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28">
              <w:r>
                <w:rPr>
                  <w:rFonts w:ascii="Arial" w:cs="Arial" w:eastAsia="Arial" w:hAnsi="Arial"/>
                  <w:sz w:val="18"/>
                  <w:szCs w:val="18"/>
                  <w:color w:val="auto"/>
                </w:rPr>
                <w:t>Item 4. Controls and Procedures</w:t>
              </w:r>
            </w:hyperlink>
          </w:p>
        </w:tc>
        <w:tc>
          <w:tcPr>
            <w:tcW w:w="640" w:type="dxa"/>
            <w:vAlign w:val="bottom"/>
          </w:tcPr>
          <w:p>
            <w:pPr>
              <w:jc w:val="right"/>
              <w:spacing w:after="0"/>
              <w:rPr>
                <w:rFonts w:ascii="Arial" w:cs="Arial" w:eastAsia="Arial" w:hAnsi="Arial"/>
                <w:sz w:val="18"/>
                <w:szCs w:val="18"/>
                <w:color w:val="auto"/>
              </w:rPr>
            </w:pPr>
            <w:hyperlink w:anchor="page28">
              <w:r>
                <w:rPr>
                  <w:rFonts w:ascii="Arial" w:cs="Arial" w:eastAsia="Arial" w:hAnsi="Arial"/>
                  <w:sz w:val="18"/>
                  <w:szCs w:val="18"/>
                  <w:color w:val="auto"/>
                </w:rPr>
                <w:t>29</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1">
              <w:r>
                <w:rPr>
                  <w:rFonts w:ascii="Arial" w:cs="Arial" w:eastAsia="Arial" w:hAnsi="Arial"/>
                  <w:sz w:val="18"/>
                  <w:szCs w:val="18"/>
                  <w:b w:val="1"/>
                  <w:bCs w:val="1"/>
                  <w:color w:val="auto"/>
                </w:rPr>
                <w:t>Part II. Other Information</w:t>
              </w:r>
            </w:hyperlink>
          </w:p>
        </w:tc>
        <w:tc>
          <w:tcPr>
            <w:tcW w:w="640" w:type="dxa"/>
            <w:vAlign w:val="bottom"/>
            <w:tcBorders>
              <w:bottom w:val="single" w:sz="8" w:color="CCEEFF"/>
            </w:tcBorders>
            <w:shd w:val="clear" w:color="auto" w:fill="CCEEFF"/>
          </w:tcPr>
          <w:p>
            <w:pPr>
              <w:spacing w:after="0"/>
              <w:rPr>
                <w:sz w:val="21"/>
                <w:szCs w:val="21"/>
                <w:color w:val="auto"/>
              </w:rPr>
            </w:pPr>
          </w:p>
        </w:tc>
      </w:tr>
      <w:tr>
        <w:trPr>
          <w:trHeight w:val="243"/>
        </w:trPr>
        <w:tc>
          <w:tcPr>
            <w:tcW w:w="10340" w:type="dxa"/>
            <w:vAlign w:val="bottom"/>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1. Legal Proceedings</w:t>
              </w:r>
            </w:hyperlink>
          </w:p>
        </w:tc>
        <w:tc>
          <w:tcPr>
            <w:tcW w:w="6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1A. Risk Factors</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2. Unregistered Sales of Equity Securities and Use of Proceeds</w:t>
              </w:r>
            </w:hyperlink>
          </w:p>
        </w:tc>
        <w:tc>
          <w:tcPr>
            <w:tcW w:w="6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3. Defaults upon Senior Securities</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4. Mine Safety Disclosures</w:t>
              </w:r>
            </w:hyperlink>
          </w:p>
        </w:tc>
        <w:tc>
          <w:tcPr>
            <w:tcW w:w="6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5. Other Information</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32</w:t>
              </w:r>
            </w:hyperlink>
          </w:p>
        </w:tc>
      </w:tr>
      <w:tr>
        <w:trPr>
          <w:trHeight w:val="243"/>
        </w:trPr>
        <w:tc>
          <w:tcPr>
            <w:tcW w:w="10340" w:type="dxa"/>
            <w:vAlign w:val="bottom"/>
          </w:tcPr>
          <w:p>
            <w:pPr>
              <w:ind w:left="380"/>
              <w:spacing w:after="0"/>
              <w:rPr>
                <w:rFonts w:ascii="Arial" w:cs="Arial" w:eastAsia="Arial" w:hAnsi="Arial"/>
                <w:sz w:val="18"/>
                <w:szCs w:val="18"/>
                <w:color w:val="auto"/>
              </w:rPr>
            </w:pPr>
            <w:hyperlink w:anchor="page32">
              <w:r>
                <w:rPr>
                  <w:rFonts w:ascii="Arial" w:cs="Arial" w:eastAsia="Arial" w:hAnsi="Arial"/>
                  <w:sz w:val="18"/>
                  <w:szCs w:val="18"/>
                  <w:color w:val="auto"/>
                </w:rPr>
                <w:t>Item 6. Exhibits</w:t>
              </w:r>
            </w:hyperlink>
          </w:p>
        </w:tc>
        <w:tc>
          <w:tcPr>
            <w:tcW w:w="640" w:type="dxa"/>
            <w:vAlign w:val="bottom"/>
          </w:tcPr>
          <w:p>
            <w:pPr>
              <w:jc w:val="right"/>
              <w:spacing w:after="0"/>
              <w:rPr>
                <w:rFonts w:ascii="Arial" w:cs="Arial" w:eastAsia="Arial" w:hAnsi="Arial"/>
                <w:sz w:val="18"/>
                <w:szCs w:val="18"/>
                <w:color w:val="auto"/>
              </w:rPr>
            </w:pPr>
            <w:hyperlink w:anchor="page32">
              <w:r>
                <w:rPr>
                  <w:rFonts w:ascii="Arial" w:cs="Arial" w:eastAsia="Arial" w:hAnsi="Arial"/>
                  <w:sz w:val="18"/>
                  <w:szCs w:val="18"/>
                  <w:color w:val="auto"/>
                </w:rPr>
                <w:t>33</w:t>
              </w:r>
            </w:hyperlink>
          </w:p>
        </w:tc>
      </w:tr>
      <w:tr>
        <w:trPr>
          <w:trHeight w:val="27"/>
        </w:trPr>
        <w:tc>
          <w:tcPr>
            <w:tcW w:w="103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10340" w:type="dxa"/>
            <w:vAlign w:val="bottom"/>
            <w:tcBorders>
              <w:bottom w:val="single" w:sz="8" w:color="CCEEFF"/>
            </w:tcBorders>
            <w:shd w:val="clear" w:color="auto" w:fill="CCEEFF"/>
          </w:tcPr>
          <w:p>
            <w:pPr>
              <w:ind w:left="40"/>
              <w:spacing w:after="0"/>
              <w:rPr>
                <w:rFonts w:ascii="Arial" w:cs="Arial" w:eastAsia="Arial" w:hAnsi="Arial"/>
                <w:sz w:val="18"/>
                <w:szCs w:val="18"/>
                <w:b w:val="1"/>
                <w:bCs w:val="1"/>
                <w:color w:val="auto"/>
              </w:rPr>
            </w:pPr>
            <w:hyperlink w:anchor="page33">
              <w:r>
                <w:rPr>
                  <w:rFonts w:ascii="Arial" w:cs="Arial" w:eastAsia="Arial" w:hAnsi="Arial"/>
                  <w:sz w:val="18"/>
                  <w:szCs w:val="18"/>
                  <w:b w:val="1"/>
                  <w:bCs w:val="1"/>
                  <w:color w:val="auto"/>
                </w:rPr>
                <w:t>Signature</w:t>
              </w:r>
            </w:hyperlink>
          </w:p>
        </w:tc>
        <w:tc>
          <w:tcPr>
            <w:tcW w:w="6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3">
              <w:r>
                <w:rPr>
                  <w:rFonts w:ascii="Arial" w:cs="Arial" w:eastAsia="Arial" w:hAnsi="Arial"/>
                  <w:sz w:val="18"/>
                  <w:szCs w:val="18"/>
                  <w:color w:val="auto"/>
                </w:rPr>
                <w:t>34</w:t>
              </w:r>
            </w:hyperlink>
          </w:p>
        </w:tc>
      </w:tr>
      <w:tr>
        <w:trPr>
          <w:trHeight w:val="243"/>
        </w:trPr>
        <w:tc>
          <w:tcPr>
            <w:tcW w:w="10340" w:type="dxa"/>
            <w:vAlign w:val="bottom"/>
          </w:tcPr>
          <w:p>
            <w:pPr>
              <w:ind w:left="40"/>
              <w:spacing w:after="0"/>
              <w:rPr>
                <w:rFonts w:ascii="Arial" w:cs="Arial" w:eastAsia="Arial" w:hAnsi="Arial"/>
                <w:sz w:val="18"/>
                <w:szCs w:val="18"/>
                <w:b w:val="1"/>
                <w:bCs w:val="1"/>
                <w:color w:val="auto"/>
              </w:rPr>
            </w:pPr>
            <w:hyperlink w:anchor="page34">
              <w:r>
                <w:rPr>
                  <w:rFonts w:ascii="Arial" w:cs="Arial" w:eastAsia="Arial" w:hAnsi="Arial"/>
                  <w:sz w:val="18"/>
                  <w:szCs w:val="18"/>
                  <w:b w:val="1"/>
                  <w:bCs w:val="1"/>
                  <w:color w:val="auto"/>
                </w:rPr>
                <w:t>Exhibit Index</w:t>
              </w:r>
            </w:hyperlink>
          </w:p>
        </w:tc>
        <w:tc>
          <w:tcPr>
            <w:tcW w:w="640" w:type="dxa"/>
            <w:vAlign w:val="bottom"/>
          </w:tcPr>
          <w:p>
            <w:pPr>
              <w:jc w:val="right"/>
              <w:spacing w:after="0"/>
              <w:rPr>
                <w:rFonts w:ascii="Arial" w:cs="Arial" w:eastAsia="Arial" w:hAnsi="Arial"/>
                <w:sz w:val="18"/>
                <w:szCs w:val="18"/>
                <w:color w:val="auto"/>
              </w:rPr>
            </w:pPr>
            <w:hyperlink w:anchor="page34">
              <w:r>
                <w:rPr>
                  <w:rFonts w:ascii="Arial" w:cs="Arial" w:eastAsia="Arial" w:hAnsi="Arial"/>
                  <w:sz w:val="18"/>
                  <w:szCs w:val="18"/>
                  <w:color w:val="auto"/>
                </w:rPr>
                <w:t>35</w:t>
              </w:r>
            </w:hyperlink>
          </w:p>
        </w:tc>
      </w:tr>
      <w:tr>
        <w:trPr>
          <w:trHeight w:val="702"/>
        </w:trPr>
        <w:tc>
          <w:tcPr>
            <w:tcW w:w="10340" w:type="dxa"/>
            <w:vAlign w:val="bottom"/>
          </w:tcPr>
          <w:p>
            <w:pPr>
              <w:jc w:val="center"/>
              <w:ind w:left="550"/>
              <w:spacing w:after="0"/>
              <w:rPr>
                <w:sz w:val="20"/>
                <w:szCs w:val="20"/>
                <w:color w:val="auto"/>
              </w:rPr>
            </w:pPr>
            <w:r>
              <w:rPr>
                <w:rFonts w:ascii="Arial" w:cs="Arial" w:eastAsia="Arial" w:hAnsi="Arial"/>
                <w:sz w:val="18"/>
                <w:szCs w:val="18"/>
                <w:color w:val="auto"/>
                <w:w w:val="99"/>
              </w:rPr>
              <w:t>2</w:t>
            </w:r>
          </w:p>
        </w:tc>
        <w:tc>
          <w:tcPr>
            <w:tcW w:w="640" w:type="dxa"/>
            <w:vAlign w:val="bottom"/>
          </w:tcPr>
          <w:p>
            <w:pPr>
              <w:spacing w:after="0"/>
              <w:rPr>
                <w:sz w:val="24"/>
                <w:szCs w:val="24"/>
                <w:color w:val="auto"/>
              </w:rPr>
            </w:pPr>
          </w:p>
        </w:tc>
      </w:tr>
    </w:tbl>
    <w:p>
      <w:pPr>
        <w:sectPr>
          <w:pgSz w:w="11900" w:h="16838" w:orient="portrait"/>
          <w:cols w:equalWidth="0" w:num="1">
            <w:col w:w="10980"/>
          </w:cols>
          <w:pgMar w:left="460" w:top="580" w:right="459" w:bottom="1440" w:gutter="0" w:footer="0" w:header="0"/>
        </w:sectPr>
      </w:pPr>
    </w:p>
    <w:bookmarkStart w:id="2" w:name="page3"/>
    <w:bookmarkEnd w:id="2"/>
    <w:p>
      <w:pPr>
        <w:spacing w:after="0"/>
        <w:tabs>
          <w:tab w:leader="none" w:pos="840" w:val="left"/>
        </w:tabs>
        <w:rPr>
          <w:sz w:val="20"/>
          <w:szCs w:val="20"/>
          <w:color w:val="auto"/>
        </w:rPr>
      </w:pPr>
      <w:r>
        <w:rPr>
          <w:rFonts w:ascii="Arial" w:cs="Arial" w:eastAsia="Arial" w:hAnsi="Arial"/>
          <w:sz w:val="18"/>
          <w:szCs w:val="18"/>
          <w:b w:val="1"/>
          <w:bCs w:val="1"/>
          <w:color w:val="auto"/>
        </w:rPr>
        <w:t>PART I.</w:t>
        <w:tab/>
        <w:t>FINANCIAL INFORMATION</w:t>
      </w:r>
    </w:p>
    <w:p>
      <w:pPr>
        <w:spacing w:after="0" w:line="38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71"/>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 share amounts)</w:t>
            </w: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27,</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Revenue from product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58.0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51.9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113.9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115.4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63.8</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174.9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42.4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83.8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88.6</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37"/>
        </w:trPr>
        <w:tc>
          <w:tcPr>
            <w:tcW w:w="5620" w:type="dxa"/>
            <w:vAlign w:val="bottom"/>
          </w:tcPr>
          <w:p>
            <w:pPr>
              <w:ind w:left="380"/>
              <w:spacing w:after="0"/>
              <w:rPr>
                <w:sz w:val="20"/>
                <w:szCs w:val="20"/>
                <w:color w:val="auto"/>
              </w:rPr>
            </w:pPr>
            <w:r>
              <w:rPr>
                <w:rFonts w:ascii="Arial" w:cs="Arial" w:eastAsia="Arial" w:hAnsi="Arial"/>
                <w:sz w:val="18"/>
                <w:szCs w:val="18"/>
                <w:color w:val="auto"/>
              </w:rPr>
              <w:t>Total cost of revenues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127.9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134.8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identifiable intangible assets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Operating loss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from continuing operations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discontinued operations, net of tax</w:t>
            </w: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0"/>
        </w:trPr>
        <w:tc>
          <w:tcPr>
            <w:tcW w:w="56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Basic and diluted income (loss) per common share:</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62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Continuing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Discontinued operations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Weighted average shares outstanding, basic and diluted</w:t>
            </w:r>
          </w:p>
        </w:tc>
        <w:tc>
          <w:tcPr>
            <w:tcW w:w="18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61.8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58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6"/>
              </w:rPr>
              <w:t>December 27,</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loss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 hedges: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200"/>
              <w:spacing w:after="0"/>
              <w:rPr>
                <w:sz w:val="20"/>
                <w:szCs w:val="20"/>
                <w:color w:val="auto"/>
              </w:rPr>
            </w:pPr>
            <w:r>
              <w:rPr>
                <w:rFonts w:ascii="Arial" w:cs="Arial" w:eastAsia="Arial" w:hAnsi="Arial"/>
                <w:sz w:val="18"/>
                <w:szCs w:val="18"/>
                <w:color w:val="auto"/>
              </w:rPr>
              <w:t>Change in unrealized gain (loss) on cash flow hedges</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62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8"/>
              </w:rPr>
              <w:t>Reclassification adjustment for realized net gain on cash flow hedges</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included in net loss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Net change in unrealized gain or loss on cash flow hedges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currency translation gain (loss)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18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loss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4"/>
                <w:szCs w:val="14"/>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26,</w:t>
            </w:r>
          </w:p>
        </w:tc>
        <w:tc>
          <w:tcPr>
            <w:tcW w:w="260" w:type="dxa"/>
            <w:vAlign w:val="bottom"/>
          </w:tcPr>
          <w:p>
            <w:pPr>
              <w:spacing w:after="0"/>
              <w:rPr>
                <w:sz w:val="14"/>
                <w:szCs w:val="1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27,</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2014</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Current Assets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Unbilled costs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service 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209.3</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218.2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Long-Term Assets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27.5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29.3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Identifiable intangible assets, net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7"/>
        </w:trPr>
        <w:tc>
          <w:tcPr>
            <w:tcW w:w="8580" w:type="dxa"/>
            <w:vAlign w:val="bottom"/>
          </w:tcPr>
          <w:p>
            <w:pPr>
              <w:ind w:left="380"/>
              <w:spacing w:after="0"/>
              <w:rPr>
                <w:sz w:val="20"/>
                <w:szCs w:val="20"/>
                <w:color w:val="auto"/>
              </w:rPr>
            </w:pPr>
            <w:r>
              <w:rPr>
                <w:rFonts w:ascii="Arial" w:cs="Arial" w:eastAsia="Arial" w:hAnsi="Arial"/>
                <w:sz w:val="18"/>
                <w:szCs w:val="18"/>
                <w:color w:val="auto"/>
              </w:rPr>
              <w:t>Total long-term assets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33.1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242.4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Short-term debt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Accrued compensation and benefits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expenses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Advance payments and unearned income</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Restructuring liabilities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130.9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Long-Term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Unearned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i w:val="1"/>
                <w:iCs w:val="1"/>
                <w:color w:val="auto"/>
              </w:rPr>
              <w:t>Commitments and Contingencies (Note 12)</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Stockholders’ Equity</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Preferred stock</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Additional paid-in-capital</w:t>
            </w: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808.0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807.0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Accumulated deficit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(702.1)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102.6</w:t>
            </w:r>
          </w:p>
        </w:tc>
        <w:tc>
          <w:tcPr>
            <w:tcW w:w="0" w:type="dxa"/>
            <w:vAlign w:val="bottom"/>
          </w:tcPr>
          <w:p>
            <w:pPr>
              <w:spacing w:after="0"/>
              <w:rPr>
                <w:sz w:val="1"/>
                <w:szCs w:val="1"/>
                <w:color w:val="auto"/>
              </w:rPr>
            </w:pPr>
          </w:p>
        </w:tc>
      </w:tr>
      <w:tr>
        <w:trPr>
          <w:trHeight w:val="257"/>
        </w:trPr>
        <w:tc>
          <w:tcPr>
            <w:tcW w:w="8580" w:type="dxa"/>
            <w:vAlign w:val="bottom"/>
          </w:tcPr>
          <w:p>
            <w:pPr>
              <w:ind w:left="720"/>
              <w:spacing w:after="0"/>
              <w:rPr>
                <w:sz w:val="20"/>
                <w:szCs w:val="20"/>
                <w:color w:val="auto"/>
              </w:rPr>
            </w:pPr>
            <w:r>
              <w:rPr>
                <w:rFonts w:ascii="Arial" w:cs="Arial" w:eastAsia="Arial" w:hAnsi="Arial"/>
                <w:sz w:val="18"/>
                <w:szCs w:val="18"/>
                <w:color w:val="auto"/>
              </w:rPr>
              <w:t>Total Liabilities and Stockholders’ Equity</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242.4</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420"/>
          </w:cols>
          <w:pgMar w:left="240" w:top="580"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20"/>
          </w:cols>
          <w:pgMar w:left="240" w:top="580" w:right="23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1"/>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180" w:type="dxa"/>
            <w:vAlign w:val="bottom"/>
          </w:tcPr>
          <w:p>
            <w:pPr>
              <w:jc w:val="right"/>
              <w:ind w:right="191"/>
              <w:spacing w:after="0" w:line="153" w:lineRule="exact"/>
              <w:rPr>
                <w:sz w:val="20"/>
                <w:szCs w:val="20"/>
                <w:color w:val="auto"/>
              </w:rPr>
            </w:pPr>
            <w:r>
              <w:rPr>
                <w:rFonts w:ascii="Arial" w:cs="Arial" w:eastAsia="Arial" w:hAnsi="Arial"/>
                <w:sz w:val="14"/>
                <w:szCs w:val="14"/>
                <w:b w:val="1"/>
                <w:bCs w:val="1"/>
                <w:color w:val="auto"/>
                <w:w w:val="96"/>
              </w:rPr>
              <w:t>December 27,</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Amortization of identifiable intangible assets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Depreciation and amortization of property, plant and equipment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Bad debt expense (recovery)</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Share-based compensation expense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Charges for inventory and customer service inventory write-downs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Gain on disposition of the WiMAX business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Unbilled costs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Inventories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Customer service inventories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Accounts payable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Advance payments and unearned income</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Income taxes payable or receivable</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040"/>
              <w:spacing w:after="0"/>
              <w:rPr>
                <w:sz w:val="20"/>
                <w:szCs w:val="20"/>
                <w:color w:val="auto"/>
              </w:rPr>
            </w:pPr>
            <w:r>
              <w:rPr>
                <w:rFonts w:ascii="Arial" w:cs="Arial" w:eastAsia="Arial" w:hAnsi="Arial"/>
                <w:sz w:val="18"/>
                <w:szCs w:val="18"/>
                <w:color w:val="auto"/>
              </w:rPr>
              <w:t>Reserve for uncertain tax positions and deferred taxes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43"/>
        </w:trPr>
        <w:tc>
          <w:tcPr>
            <w:tcW w:w="8580" w:type="dxa"/>
            <w:vAlign w:val="bottom"/>
          </w:tcPr>
          <w:p>
            <w:pPr>
              <w:ind w:left="1040"/>
              <w:spacing w:after="0"/>
              <w:rPr>
                <w:sz w:val="20"/>
                <w:szCs w:val="20"/>
                <w:color w:val="auto"/>
              </w:rPr>
            </w:pPr>
            <w:r>
              <w:rPr>
                <w:rFonts w:ascii="Arial" w:cs="Arial" w:eastAsia="Arial" w:hAnsi="Arial"/>
                <w:sz w:val="18"/>
                <w:szCs w:val="18"/>
                <w:color w:val="auto"/>
              </w:rPr>
              <w:t>Other assets and liabilities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Net cash used in operating activities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18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Additions of property, plant and equipment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used in investing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Proceeds from short-term debt</w:t>
            </w:r>
          </w:p>
        </w:tc>
        <w:tc>
          <w:tcPr>
            <w:tcW w:w="180" w:type="dxa"/>
            <w:vAlign w:val="bottom"/>
          </w:tcPr>
          <w:p>
            <w:pPr>
              <w:spacing w:after="0"/>
              <w:rPr>
                <w:sz w:val="21"/>
                <w:szCs w:val="21"/>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Repayments of short-term debt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Payments on capital leases</w:t>
            </w: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share-based compensation awards</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37"/>
        </w:trPr>
        <w:tc>
          <w:tcPr>
            <w:tcW w:w="8580" w:type="dxa"/>
            <w:vAlign w:val="bottom"/>
          </w:tcPr>
          <w:p>
            <w:pPr>
              <w:ind w:left="680"/>
              <w:spacing w:after="0"/>
              <w:rPr>
                <w:sz w:val="20"/>
                <w:szCs w:val="20"/>
                <w:color w:val="auto"/>
              </w:rPr>
            </w:pPr>
            <w:r>
              <w:rPr>
                <w:rFonts w:ascii="Arial" w:cs="Arial" w:eastAsia="Arial" w:hAnsi="Arial"/>
                <w:sz w:val="18"/>
                <w:szCs w:val="18"/>
                <w:color w:val="auto"/>
              </w:rPr>
              <w:t>Net cash provided by (used in) financing activities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and cash equivalents</w:t>
            </w: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Decrease in Cash and Cash Equivalents</w:t>
            </w: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and Cash Equivalents, Beginning of Period</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38.7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64.7</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The accompanying unaudited condensed consolidated financial statements have been prepared by us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quarter and two quarters ended December 26, 2014 (the “second quarter and first two quarters of fiscal 2015”)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27, 2014.</w:t>
      </w:r>
    </w:p>
    <w:p>
      <w:pPr>
        <w:spacing w:after="0" w:line="128"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The condensed consolidated financial statements include the accounts of the Company and its wholly-owned and majority owned subsidiaries.</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Significant intercompany transactions and accounts have been eliminated.</w:t>
      </w:r>
    </w:p>
    <w:p>
      <w:pPr>
        <w:spacing w:after="0" w:line="157" w:lineRule="exact"/>
        <w:rPr>
          <w:sz w:val="20"/>
          <w:szCs w:val="20"/>
          <w:color w:val="auto"/>
        </w:rPr>
      </w:pPr>
    </w:p>
    <w:p>
      <w:pPr>
        <w:ind w:right="240" w:firstLine="432"/>
        <w:spacing w:after="0" w:line="277" w:lineRule="auto"/>
        <w:rPr>
          <w:sz w:val="20"/>
          <w:szCs w:val="20"/>
          <w:color w:val="auto"/>
        </w:rPr>
      </w:pPr>
      <w:r>
        <w:rPr>
          <w:rFonts w:ascii="Arial" w:cs="Arial" w:eastAsia="Arial" w:hAnsi="Arial"/>
          <w:sz w:val="18"/>
          <w:szCs w:val="18"/>
          <w:color w:val="auto"/>
        </w:rPr>
        <w:t>We operate on a 52-week or 53-week year ending on the Friday nearest June 30. The first two quarters of fiscal 2015 and 2014 included 13 weeks in each quarter.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432"/>
        <w:spacing w:after="0" w:line="255" w:lineRule="auto"/>
        <w:rPr>
          <w:sz w:val="20"/>
          <w:szCs w:val="20"/>
          <w:color w:val="auto"/>
        </w:rPr>
      </w:pPr>
      <w:r>
        <w:rPr>
          <w:rFonts w:ascii="Arial" w:cs="Arial" w:eastAsia="Arial" w:hAnsi="Arial"/>
          <w:sz w:val="18"/>
          <w:szCs w:val="18"/>
          <w:color w:val="auto"/>
        </w:rPr>
        <w:t>The preparation of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doubtful accounts, inventory valuation, valuation allowances for deferred tax assets, uncertainties in income taxes, restructuring obligations, product warranty obligations, share-based awards, contingencies and useful lives of property, plant and equipment.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ind w:right="620" w:firstLine="405"/>
        <w:spacing w:after="0" w:line="277" w:lineRule="auto"/>
        <w:rPr>
          <w:sz w:val="20"/>
          <w:szCs w:val="20"/>
          <w:color w:val="auto"/>
        </w:rPr>
      </w:pPr>
      <w:r>
        <w:rPr>
          <w:rFonts w:ascii="Arial" w:cs="Arial" w:eastAsia="Arial" w:hAnsi="Arial"/>
          <w:sz w:val="18"/>
          <w:szCs w:val="18"/>
          <w:color w:val="auto"/>
        </w:rPr>
        <w:t>There have been no material changes in our significant accounting policies as of and for the first two quarters of fiscal 2015, as compared to the significant accounting policies described in our Annual Report on Form 10-K for the fiscal year ended June 27, 2014.</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58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171"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In July 2013, the Financial Accounting Standards Board (“FASB”) issued an amendment to the accounting guidance on the presentation of an unrecognized tax benefit when a net operating loss carryforward, a similar tax loss, or tax credit carryforward exists. This new guidance requires entities, if certain criteria are met, to present an unrecognized tax benefit, or portion of an unrecognized tax benefit, in the financial statements as a reduction to a deferred tax asset for a net operating loss carryforward, a similar tax loss, or a tax credit carryforward when such items exist in the same taxing jurisdiction. We adopted this new guidance in the first quarter of fiscal 2015 and the adoption of this standard did not have an effect on our consolidated financial position or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171"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 xml:space="preserve">On May 28, 2014, the FASB issued ASU No.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which requires an entity to recognize the amount of revenue to which it expects to be entitled for the transfer of promised goods or services to customers. The ASU will replace most existing revenue recognition guidance in U.S. GAAP when it becomes effective. The new standard is effective for us beginning in our fiscal year 2018. Early application is not permitted. The standard permits the use of either the retrospective or cumulative effect transition method. We are evaluating the effect that ASU 2014-09 will have on our consolidated financial statements and related disclosures. We have not yet selected a transition method nor have we determined the effect of the standard on our consolidated financial position or results of operations.</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Accumulated Other Comprehensive Income (Loss)</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changes in components of our accumulated other comprehensive loss during the first two quarters of fiscal 2015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Foreign</w:t>
            </w:r>
          </w:p>
        </w:tc>
        <w:tc>
          <w:tcPr>
            <w:tcW w:w="2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jc w:val="center"/>
              <w:ind w:right="12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7"/>
              </w:rPr>
              <w:t>Currency</w:t>
            </w:r>
          </w:p>
        </w:tc>
        <w:tc>
          <w:tcPr>
            <w:tcW w:w="2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Accumulated</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240" w:type="dxa"/>
            <w:vAlign w:val="bottom"/>
          </w:tcPr>
          <w:p>
            <w:pPr>
              <w:spacing w:after="0"/>
              <w:rPr>
                <w:sz w:val="12"/>
                <w:szCs w:val="12"/>
                <w:color w:val="auto"/>
              </w:rPr>
            </w:pPr>
          </w:p>
        </w:tc>
        <w:tc>
          <w:tcPr>
            <w:tcW w:w="13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Hedging</w:t>
            </w: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6"/>
              </w:rPr>
              <w:t>Other</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3"/>
              </w:rPr>
              <w:t>Adjustment</w:t>
            </w:r>
          </w:p>
        </w:tc>
        <w:tc>
          <w:tcPr>
            <w:tcW w:w="2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280" w:type="dxa"/>
            <w:vAlign w:val="bottom"/>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(“CTA”)</w:t>
            </w: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93"/>
              </w:rPr>
              <w:t>Derivatives</w:t>
            </w:r>
          </w:p>
        </w:tc>
        <w:tc>
          <w:tcPr>
            <w:tcW w:w="2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center"/>
              <w:ind w:right="100"/>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6"/>
              </w:rPr>
              <w:t>(In millions)</w:t>
            </w:r>
          </w:p>
        </w:tc>
        <w:tc>
          <w:tcPr>
            <w:tcW w:w="2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June 27, 2014</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Foreign currency translation loss</w:t>
            </w:r>
          </w:p>
        </w:tc>
        <w:tc>
          <w:tcPr>
            <w:tcW w:w="26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unrealized gain on cash flow hedges</w:t>
            </w:r>
          </w:p>
        </w:tc>
        <w:tc>
          <w:tcPr>
            <w:tcW w:w="2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Balance as of December 26, 2014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Net Loss Per Share of Common Stock</w:t>
      </w:r>
    </w:p>
    <w:p>
      <w:pPr>
        <w:spacing w:after="0" w:line="229" w:lineRule="exact"/>
        <w:rPr>
          <w:sz w:val="20"/>
          <w:szCs w:val="20"/>
          <w:color w:val="auto"/>
        </w:rPr>
      </w:pPr>
    </w:p>
    <w:p>
      <w:pPr>
        <w:ind w:right="20" w:firstLine="405"/>
        <w:spacing w:after="0" w:line="255" w:lineRule="auto"/>
        <w:rPr>
          <w:sz w:val="20"/>
          <w:szCs w:val="20"/>
          <w:color w:val="auto"/>
        </w:rPr>
      </w:pPr>
      <w:r>
        <w:rPr>
          <w:rFonts w:ascii="Arial" w:cs="Arial" w:eastAsia="Arial" w:hAnsi="Arial"/>
          <w:sz w:val="18"/>
          <w:szCs w:val="18"/>
          <w:color w:val="auto"/>
        </w:rPr>
        <w:t>We compute net income (loss) per share of common stock using the two-class method. Basic net income (loss) per share is computed using the weighted average number of common shares and participating securities outstanding. Our unvested restricted shares (including restricted stock awards and performance share awards) contain rights to receive non-forfeitable dividends and therefore are considered to be participating securities and would be included in the calculations of net income per basic and diluted common share. As we incurred net loss in all periods presented, all potential dilutive securities from stock options, restricted stocks and units and performance shares and units have been excluded from the diluted net loss per share calculations, as their effect would have been anti-dilutive. The following table summarizes the potential weighted average shares of common stock outstanding that have been excluded from the diluted net loss per share calculations: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27"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860" w:type="dxa"/>
            <w:vAlign w:val="bottom"/>
            <w:tcBorders>
              <w:bottom w:val="single" w:sz="8" w:color="auto"/>
            </w:tcBorders>
            <w:gridSpan w:val="3"/>
          </w:tcPr>
          <w:p>
            <w:pPr>
              <w:ind w:left="980"/>
              <w:spacing w:after="0"/>
              <w:rPr>
                <w:sz w:val="20"/>
                <w:szCs w:val="20"/>
                <w:color w:val="auto"/>
              </w:rPr>
            </w:pPr>
            <w:r>
              <w:rPr>
                <w:rFonts w:ascii="Arial" w:cs="Arial" w:eastAsia="Arial" w:hAnsi="Arial"/>
                <w:sz w:val="14"/>
                <w:szCs w:val="14"/>
                <w:b w:val="1"/>
                <w:bCs w:val="1"/>
                <w:color w:val="auto"/>
              </w:rPr>
              <w:t>Quarter Ended</w:t>
            </w:r>
          </w:p>
        </w:tc>
        <w:tc>
          <w:tcPr>
            <w:tcW w:w="140" w:type="dxa"/>
            <w:vAlign w:val="bottom"/>
            <w:gridSpan w:val="2"/>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5"/>
          </w:tcPr>
          <w:p>
            <w:pPr>
              <w:jc w:val="right"/>
              <w:ind w:right="657"/>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500" w:type="dxa"/>
            <w:vAlign w:val="bottom"/>
            <w:gridSpan w:val="2"/>
          </w:tcPr>
          <w:p>
            <w:pPr>
              <w:ind w:left="240"/>
              <w:spacing w:after="0" w:line="153" w:lineRule="exact"/>
              <w:rPr>
                <w:sz w:val="20"/>
                <w:szCs w:val="20"/>
                <w:color w:val="auto"/>
              </w:rPr>
            </w:pPr>
            <w:r>
              <w:rPr>
                <w:rFonts w:ascii="Arial" w:cs="Arial" w:eastAsia="Arial" w:hAnsi="Arial"/>
                <w:sz w:val="14"/>
                <w:szCs w:val="14"/>
                <w:b w:val="1"/>
                <w:bCs w:val="1"/>
                <w:color w:val="auto"/>
              </w:rPr>
              <w:t>December 26,</w:t>
            </w:r>
          </w:p>
        </w:tc>
        <w:tc>
          <w:tcPr>
            <w:tcW w:w="1640" w:type="dxa"/>
            <w:vAlign w:val="bottom"/>
            <w:gridSpan w:val="4"/>
          </w:tcPr>
          <w:p>
            <w:pPr>
              <w:ind w:left="240"/>
              <w:spacing w:after="0" w:line="153" w:lineRule="exact"/>
              <w:rPr>
                <w:sz w:val="20"/>
                <w:szCs w:val="20"/>
                <w:color w:val="auto"/>
              </w:rPr>
            </w:pPr>
            <w:r>
              <w:rPr>
                <w:rFonts w:ascii="Arial" w:cs="Arial" w:eastAsia="Arial" w:hAnsi="Arial"/>
                <w:sz w:val="14"/>
                <w:szCs w:val="14"/>
                <w:b w:val="1"/>
                <w:bCs w:val="1"/>
                <w:color w:val="auto"/>
              </w:rPr>
              <w:t>December 27,</w:t>
            </w:r>
          </w:p>
        </w:tc>
        <w:tc>
          <w:tcPr>
            <w:tcW w:w="1300" w:type="dxa"/>
            <w:vAlign w:val="bottom"/>
            <w:gridSpan w:val="3"/>
          </w:tcPr>
          <w:p>
            <w:pPr>
              <w:jc w:val="center"/>
              <w:ind w:right="280"/>
              <w:spacing w:after="0" w:line="153" w:lineRule="exact"/>
              <w:rPr>
                <w:sz w:val="20"/>
                <w:szCs w:val="20"/>
                <w:color w:val="auto"/>
              </w:rPr>
            </w:pPr>
            <w:r>
              <w:rPr>
                <w:rFonts w:ascii="Arial" w:cs="Arial" w:eastAsia="Arial" w:hAnsi="Arial"/>
                <w:sz w:val="14"/>
                <w:szCs w:val="14"/>
                <w:b w:val="1"/>
                <w:bCs w:val="1"/>
                <w:color w:val="auto"/>
                <w:w w:val="90"/>
              </w:rPr>
              <w:t>December 26,</w:t>
            </w:r>
          </w:p>
        </w:tc>
        <w:tc>
          <w:tcPr>
            <w:tcW w:w="180" w:type="dxa"/>
            <w:vAlign w:val="bottom"/>
          </w:tcPr>
          <w:p>
            <w:pPr>
              <w:spacing w:after="0"/>
              <w:rPr>
                <w:sz w:val="13"/>
                <w:szCs w:val="13"/>
                <w:color w:val="auto"/>
              </w:rPr>
            </w:pPr>
          </w:p>
        </w:tc>
        <w:tc>
          <w:tcPr>
            <w:tcW w:w="118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92"/>
              </w:rPr>
              <w:t>December 27,</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2014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2013</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7"/>
          </w:tcPr>
          <w:p>
            <w:pPr>
              <w:ind w:left="10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7.1</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Restricted stock awards and units and performance shares and units</w:t>
            </w:r>
          </w:p>
        </w:tc>
        <w:tc>
          <w:tcPr>
            <w:tcW w:w="1380" w:type="dxa"/>
            <w:vAlign w:val="bottom"/>
          </w:tcPr>
          <w:p>
            <w:pPr>
              <w:jc w:val="right"/>
              <w:ind w:right="59"/>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360" w:type="dxa"/>
            <w:vAlign w:val="bottom"/>
          </w:tcPr>
          <w:p>
            <w:pPr>
              <w:ind w:left="1020"/>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7"/>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Total potential shares of common stock excluded</w:t>
            </w:r>
          </w:p>
        </w:tc>
        <w:tc>
          <w:tcPr>
            <w:tcW w:w="138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20" w:type="dxa"/>
            <w:vAlign w:val="bottom"/>
            <w:tcBorders>
              <w:bottom w:val="single" w:sz="8" w:color="auto"/>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0"/>
        </w:trPr>
        <w:tc>
          <w:tcPr>
            <w:tcW w:w="5620" w:type="dxa"/>
            <w:vAlign w:val="bottom"/>
            <w:vMerge w:val="restart"/>
          </w:tcPr>
          <w:p>
            <w:pPr>
              <w:spacing w:after="0"/>
              <w:rPr>
                <w:sz w:val="20"/>
                <w:szCs w:val="20"/>
                <w:color w:val="auto"/>
              </w:rPr>
            </w:pPr>
            <w:r>
              <w:rPr>
                <w:rFonts w:ascii="Arial" w:cs="Arial" w:eastAsia="Arial" w:hAnsi="Arial"/>
                <w:sz w:val="18"/>
                <w:szCs w:val="18"/>
                <w:b w:val="1"/>
                <w:bCs w:val="1"/>
                <w:color w:val="auto"/>
              </w:rPr>
              <w:t>Note 4. Balance Sheet Components</w:t>
            </w: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56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tcPr>
          <w:p>
            <w:pPr>
              <w:spacing w:after="0"/>
              <w:rPr>
                <w:sz w:val="20"/>
                <w:szCs w:val="20"/>
                <w:color w:val="auto"/>
              </w:rPr>
            </w:pPr>
            <w:r>
              <w:rPr>
                <w:rFonts w:ascii="Arial" w:cs="Arial" w:eastAsia="Arial" w:hAnsi="Arial"/>
                <w:sz w:val="18"/>
                <w:szCs w:val="18"/>
                <w:b w:val="1"/>
                <w:bCs w:val="1"/>
                <w:i w:val="1"/>
                <w:iCs w:val="1"/>
                <w:color w:val="auto"/>
              </w:rPr>
              <w:t>Receivables, net</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620" w:type="dxa"/>
            <w:vAlign w:val="bottom"/>
          </w:tcPr>
          <w:p>
            <w:pPr>
              <w:ind w:left="420"/>
              <w:spacing w:after="0"/>
              <w:rPr>
                <w:sz w:val="20"/>
                <w:szCs w:val="20"/>
                <w:color w:val="auto"/>
              </w:rPr>
            </w:pPr>
            <w:r>
              <w:rPr>
                <w:rFonts w:ascii="Arial" w:cs="Arial" w:eastAsia="Arial" w:hAnsi="Arial"/>
                <w:sz w:val="18"/>
                <w:szCs w:val="18"/>
                <w:color w:val="auto"/>
              </w:rPr>
              <w:t>Our receivables are summarized below:</w:t>
            </w: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56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24"/>
                <w:szCs w:val="24"/>
                <w:color w:val="auto"/>
              </w:rPr>
            </w:pPr>
          </w:p>
        </w:tc>
        <w:tc>
          <w:tcPr>
            <w:tcW w:w="1180" w:type="dxa"/>
            <w:vAlign w:val="bottom"/>
          </w:tcPr>
          <w:p>
            <w:pPr>
              <w:jc w:val="center"/>
              <w:ind w:right="137"/>
              <w:spacing w:after="0"/>
              <w:rPr>
                <w:sz w:val="20"/>
                <w:szCs w:val="20"/>
                <w:color w:val="auto"/>
              </w:rPr>
            </w:pPr>
            <w:r>
              <w:rPr>
                <w:rFonts w:ascii="Arial" w:cs="Arial" w:eastAsia="Arial" w:hAnsi="Arial"/>
                <w:sz w:val="14"/>
                <w:szCs w:val="14"/>
                <w:b w:val="1"/>
                <w:bCs w:val="1"/>
                <w:color w:val="auto"/>
                <w:w w:val="92"/>
              </w:rPr>
              <w:t>June 27,</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2014</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7"/>
              <w:spacing w:after="0"/>
              <w:rPr>
                <w:sz w:val="20"/>
                <w:szCs w:val="20"/>
                <w:color w:val="auto"/>
              </w:rPr>
            </w:pPr>
            <w:r>
              <w:rPr>
                <w:rFonts w:ascii="Arial" w:cs="Arial" w:eastAsia="Arial" w:hAnsi="Arial"/>
                <w:sz w:val="14"/>
                <w:szCs w:val="14"/>
                <w:b w:val="1"/>
                <w:bCs w:val="1"/>
                <w:color w:val="auto"/>
                <w:w w:val="89"/>
              </w:rPr>
              <w:t>2014</w:t>
            </w: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660" w:type="dxa"/>
            <w:vAlign w:val="bottom"/>
            <w:gridSpan w:val="5"/>
          </w:tcPr>
          <w:p>
            <w:pPr>
              <w:jc w:val="right"/>
              <w:ind w:right="957"/>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4"/>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88.3</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84.6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1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gridSpan w:val="2"/>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gridSpan w:val="4"/>
            <w:shd w:val="clear" w:color="auto" w:fill="CCEEFF"/>
          </w:tcPr>
          <w:p>
            <w:pPr>
              <w:ind w:left="148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81.0</w:t>
            </w:r>
          </w:p>
        </w:tc>
        <w:tc>
          <w:tcPr>
            <w:tcW w:w="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405"/>
        <w:spacing w:after="0" w:line="264" w:lineRule="auto"/>
        <w:rPr>
          <w:sz w:val="20"/>
          <w:szCs w:val="20"/>
          <w:color w:val="auto"/>
        </w:rPr>
      </w:pPr>
      <w:r>
        <w:rPr>
          <w:rFonts w:ascii="Arial" w:cs="Arial" w:eastAsia="Arial" w:hAnsi="Arial"/>
          <w:sz w:val="18"/>
          <w:szCs w:val="18"/>
          <w:color w:val="auto"/>
        </w:rPr>
        <w:t>We regularly require letters of credit from certain customers and we generally discount these letters of credit with various financial institutions. Under these arrangements, collection risk is fully transferred to the financial institutions. We record the cost of discounting these letters of credit as interest expense. Total customer letters of credit being discounted and related interest expense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ind w:left="76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Two Quarters Ended</w:t>
            </w:r>
          </w:p>
        </w:tc>
      </w:tr>
      <w:tr>
        <w:trPr>
          <w:trHeight w:val="152"/>
        </w:trPr>
        <w:tc>
          <w:tcPr>
            <w:tcW w:w="5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tcPr>
          <w:p>
            <w:pPr>
              <w:jc w:val="right"/>
              <w:ind w:right="241"/>
              <w:spacing w:after="0" w:line="153" w:lineRule="exact"/>
              <w:rPr>
                <w:sz w:val="20"/>
                <w:szCs w:val="20"/>
                <w:color w:val="auto"/>
              </w:rPr>
            </w:pPr>
            <w:r>
              <w:rPr>
                <w:rFonts w:ascii="Arial" w:cs="Arial" w:eastAsia="Arial" w:hAnsi="Arial"/>
                <w:sz w:val="14"/>
                <w:szCs w:val="14"/>
                <w:b w:val="1"/>
                <w:bCs w:val="1"/>
                <w:color w:val="auto"/>
                <w:w w:val="94"/>
              </w:rPr>
              <w:t>December 26,</w:t>
            </w:r>
          </w:p>
        </w:tc>
        <w:tc>
          <w:tcPr>
            <w:tcW w:w="28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December 26,</w:t>
            </w:r>
          </w:p>
        </w:tc>
        <w:tc>
          <w:tcPr>
            <w:tcW w:w="180" w:type="dxa"/>
            <w:vAlign w:val="bottom"/>
          </w:tcPr>
          <w:p>
            <w:pPr>
              <w:spacing w:after="0"/>
              <w:rPr>
                <w:sz w:val="13"/>
                <w:szCs w:val="13"/>
                <w:color w:val="auto"/>
              </w:rPr>
            </w:pPr>
          </w:p>
        </w:tc>
        <w:tc>
          <w:tcPr>
            <w:tcW w:w="1180" w:type="dxa"/>
            <w:vAlign w:val="bottom"/>
          </w:tcPr>
          <w:p>
            <w:pPr>
              <w:jc w:val="center"/>
              <w:ind w:right="136"/>
              <w:spacing w:after="0" w:line="153" w:lineRule="exact"/>
              <w:rPr>
                <w:sz w:val="20"/>
                <w:szCs w:val="20"/>
                <w:color w:val="auto"/>
              </w:rPr>
            </w:pPr>
            <w:r>
              <w:rPr>
                <w:rFonts w:ascii="Arial" w:cs="Arial" w:eastAsia="Arial" w:hAnsi="Arial"/>
                <w:sz w:val="14"/>
                <w:szCs w:val="14"/>
                <w:b w:val="1"/>
                <w:bCs w:val="1"/>
                <w:color w:val="auto"/>
                <w:w w:val="92"/>
              </w:rPr>
              <w:t>December 27,</w:t>
            </w:r>
          </w:p>
        </w:tc>
      </w:tr>
      <w:tr>
        <w:trPr>
          <w:trHeight w:val="192"/>
        </w:trPr>
        <w:tc>
          <w:tcPr>
            <w:tcW w:w="56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1"/>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760" w:type="dxa"/>
            <w:vAlign w:val="bottom"/>
            <w:gridSpan w:val="5"/>
          </w:tcPr>
          <w:p>
            <w:pPr>
              <w:ind w:left="86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letters of credit being discounted</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13.6</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1.8</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41"/>
              <w:spacing w:after="0"/>
              <w:rPr>
                <w:sz w:val="20"/>
                <w:szCs w:val="20"/>
                <w:color w:val="auto"/>
              </w:rPr>
            </w:pPr>
            <w:r>
              <w:rPr>
                <w:rFonts w:ascii="Arial" w:cs="Arial" w:eastAsia="Arial" w:hAnsi="Arial"/>
                <w:sz w:val="18"/>
                <w:szCs w:val="18"/>
                <w:color w:val="auto"/>
              </w:rPr>
              <w:t>0.1</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w:t>
            </w:r>
          </w:p>
        </w:tc>
      </w:tr>
      <w:tr>
        <w:trPr>
          <w:trHeight w:val="486"/>
        </w:trPr>
        <w:tc>
          <w:tcPr>
            <w:tcW w:w="5620" w:type="dxa"/>
            <w:vAlign w:val="bottom"/>
          </w:tcPr>
          <w:p>
            <w:pPr>
              <w:spacing w:after="0"/>
              <w:rPr>
                <w:sz w:val="20"/>
                <w:szCs w:val="20"/>
                <w:color w:val="auto"/>
              </w:rPr>
            </w:pPr>
            <w:r>
              <w:rPr>
                <w:rFonts w:ascii="Arial" w:cs="Arial" w:eastAsia="Arial" w:hAnsi="Arial"/>
                <w:sz w:val="18"/>
                <w:szCs w:val="18"/>
                <w:b w:val="1"/>
                <w:bCs w:val="1"/>
                <w:i w:val="1"/>
                <w:iCs w:val="1"/>
                <w:color w:val="auto"/>
              </w:rPr>
              <w:t>Inventories</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78"/>
        </w:trPr>
        <w:tc>
          <w:tcPr>
            <w:tcW w:w="5620" w:type="dxa"/>
            <w:vAlign w:val="bottom"/>
          </w:tcPr>
          <w:p>
            <w:pPr>
              <w:ind w:left="440"/>
              <w:spacing w:after="0"/>
              <w:rPr>
                <w:sz w:val="20"/>
                <w:szCs w:val="20"/>
                <w:color w:val="auto"/>
              </w:rPr>
            </w:pPr>
            <w:r>
              <w:rPr>
                <w:rFonts w:ascii="Arial" w:cs="Arial" w:eastAsia="Arial" w:hAnsi="Arial"/>
                <w:sz w:val="18"/>
                <w:szCs w:val="18"/>
                <w:color w:val="auto"/>
              </w:rPr>
              <w:t>Our inventories are summarized below:</w:t>
            </w: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88"/>
        </w:trPr>
        <w:tc>
          <w:tcPr>
            <w:tcW w:w="5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26,</w:t>
            </w:r>
          </w:p>
        </w:tc>
        <w:tc>
          <w:tcPr>
            <w:tcW w:w="180" w:type="dxa"/>
            <w:vAlign w:val="bottom"/>
          </w:tcPr>
          <w:p>
            <w:pPr>
              <w:spacing w:after="0"/>
              <w:rPr>
                <w:sz w:val="24"/>
                <w:szCs w:val="24"/>
                <w:color w:val="auto"/>
              </w:rPr>
            </w:pPr>
          </w:p>
        </w:tc>
        <w:tc>
          <w:tcPr>
            <w:tcW w:w="1180" w:type="dxa"/>
            <w:vAlign w:val="bottom"/>
          </w:tcPr>
          <w:p>
            <w:pPr>
              <w:jc w:val="center"/>
              <w:ind w:right="136"/>
              <w:spacing w:after="0"/>
              <w:rPr>
                <w:sz w:val="20"/>
                <w:szCs w:val="20"/>
                <w:color w:val="auto"/>
              </w:rPr>
            </w:pPr>
            <w:r>
              <w:rPr>
                <w:rFonts w:ascii="Arial" w:cs="Arial" w:eastAsia="Arial" w:hAnsi="Arial"/>
                <w:sz w:val="14"/>
                <w:szCs w:val="14"/>
                <w:b w:val="1"/>
                <w:bCs w:val="1"/>
                <w:color w:val="auto"/>
                <w:w w:val="92"/>
              </w:rPr>
              <w:t>June 27,</w:t>
            </w:r>
          </w:p>
        </w:tc>
      </w:tr>
      <w:tr>
        <w:trPr>
          <w:trHeight w:val="192"/>
        </w:trPr>
        <w:tc>
          <w:tcPr>
            <w:tcW w:w="5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89"/>
              </w:rPr>
              <w:t>2014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9"/>
              </w:rPr>
              <w:t>2014</w:t>
            </w:r>
          </w:p>
        </w:tc>
      </w:tr>
      <w:tr>
        <w:trPr>
          <w:trHeight w:val="196"/>
        </w:trPr>
        <w:tc>
          <w:tcPr>
            <w:tcW w:w="5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0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25.3</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5.3</w:t>
            </w: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20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7.5</w:t>
            </w:r>
          </w:p>
        </w:tc>
      </w:tr>
      <w:tr>
        <w:trPr>
          <w:trHeight w:val="237"/>
        </w:trPr>
        <w:tc>
          <w:tcPr>
            <w:tcW w:w="5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38.1</w:t>
            </w:r>
          </w:p>
        </w:tc>
      </w:tr>
      <w:tr>
        <w:trPr>
          <w:trHeight w:val="67"/>
        </w:trPr>
        <w:tc>
          <w:tcPr>
            <w:tcW w:w="5620" w:type="dxa"/>
            <w:vAlign w:val="bottom"/>
            <w:tcBorders>
              <w:bottom w:val="single" w:sz="8" w:color="CCEEFF"/>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200" w:type="dxa"/>
            <w:vAlign w:val="bottom"/>
            <w:tcBorders>
              <w:bottom w:val="single" w:sz="8" w:color="CCEEFF"/>
            </w:tcBorders>
          </w:tcPr>
          <w:p>
            <w:pPr>
              <w:spacing w:after="0"/>
              <w:rPr>
                <w:sz w:val="5"/>
                <w:szCs w:val="5"/>
                <w:color w:val="auto"/>
              </w:rPr>
            </w:pPr>
          </w:p>
        </w:tc>
        <w:tc>
          <w:tcPr>
            <w:tcW w:w="280" w:type="dxa"/>
            <w:vAlign w:val="bottom"/>
            <w:tcBorders>
              <w:bottom w:val="single" w:sz="8" w:color="CCEEFF"/>
            </w:tcBorders>
          </w:tcPr>
          <w:p>
            <w:pPr>
              <w:spacing w:after="0"/>
              <w:rPr>
                <w:sz w:val="5"/>
                <w:szCs w:val="5"/>
                <w:color w:val="auto"/>
              </w:rPr>
            </w:pPr>
          </w:p>
        </w:tc>
        <w:tc>
          <w:tcPr>
            <w:tcW w:w="118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r>
      <w:tr>
        <w:trPr>
          <w:trHeight w:val="231"/>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sales included within finished goods</w:t>
            </w:r>
          </w:p>
        </w:tc>
        <w:tc>
          <w:tcPr>
            <w:tcW w:w="2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w:t>
            </w: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8"/>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6.6</w:t>
            </w:r>
          </w:p>
        </w:tc>
      </w:tr>
      <w:tr>
        <w:trPr>
          <w:trHeight w:val="486"/>
        </w:trPr>
        <w:tc>
          <w:tcPr>
            <w:tcW w:w="56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9</w:t>
            </w:r>
          </w:p>
        </w:tc>
        <w:tc>
          <w:tcPr>
            <w:tcW w:w="1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420"/>
          </w:cols>
          <w:pgMar w:left="240" w:top="1022" w:right="239" w:bottom="1440" w:gutter="0" w:footer="0" w:header="0"/>
        </w:sectPr>
      </w:pPr>
    </w:p>
    <w:bookmarkStart w:id="9" w:name="page10"/>
    <w:bookmarkEnd w:id="9"/>
    <w:p>
      <w:pPr>
        <w:jc w:val="both"/>
        <w:ind w:right="40" w:firstLine="432"/>
        <w:spacing w:after="0" w:line="264" w:lineRule="auto"/>
        <w:rPr>
          <w:sz w:val="20"/>
          <w:szCs w:val="20"/>
          <w:color w:val="auto"/>
        </w:rPr>
      </w:pPr>
      <w:r>
        <w:rPr>
          <w:rFonts w:ascii="Arial" w:cs="Arial" w:eastAsia="Arial" w:hAnsi="Arial"/>
          <w:sz w:val="18"/>
          <w:szCs w:val="18"/>
          <w:color w:val="auto"/>
        </w:rPr>
        <w:t>We recorded charges to adjust our inventory and customer service inventory to the lower of cost or market. These charges were primarily due to excess and obsolete inventory resulting from product transitioning and discontinuance, or customer insolvency. During the first two quarters of fiscal 2015 and 2014, such charges incurred were classified in cost of product sales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ind w:left="84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right"/>
              <w:ind w:right="735"/>
              <w:spacing w:after="0"/>
              <w:rPr>
                <w:sz w:val="20"/>
                <w:szCs w:val="20"/>
                <w:color w:val="auto"/>
              </w:rPr>
            </w:pPr>
            <w:r>
              <w:rPr>
                <w:rFonts w:ascii="Arial" w:cs="Arial" w:eastAsia="Arial" w:hAnsi="Arial"/>
                <w:sz w:val="14"/>
                <w:szCs w:val="14"/>
                <w:b w:val="1"/>
                <w:bCs w:val="1"/>
                <w:color w:val="auto"/>
              </w:rPr>
              <w:t>Two Quarters Ended</w:t>
            </w:r>
          </w:p>
        </w:tc>
      </w:tr>
      <w:tr>
        <w:trPr>
          <w:trHeight w:val="152"/>
        </w:trPr>
        <w:tc>
          <w:tcPr>
            <w:tcW w:w="5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26,</w:t>
            </w:r>
          </w:p>
        </w:tc>
        <w:tc>
          <w:tcPr>
            <w:tcW w:w="200" w:type="dxa"/>
            <w:vAlign w:val="bottom"/>
          </w:tcPr>
          <w:p>
            <w:pPr>
              <w:spacing w:after="0"/>
              <w:rPr>
                <w:sz w:val="13"/>
                <w:szCs w:val="13"/>
                <w:color w:val="auto"/>
              </w:rPr>
            </w:pPr>
          </w:p>
        </w:tc>
        <w:tc>
          <w:tcPr>
            <w:tcW w:w="134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27,</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26,</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w w:val="94"/>
              </w:rPr>
              <w:t>December 27,</w:t>
            </w:r>
          </w:p>
        </w:tc>
      </w:tr>
      <w:tr>
        <w:trPr>
          <w:trHeight w:val="192"/>
        </w:trPr>
        <w:tc>
          <w:tcPr>
            <w:tcW w:w="53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2013</w:t>
            </w:r>
          </w:p>
        </w:tc>
      </w:tr>
      <w:tr>
        <w:trPr>
          <w:trHeight w:val="250"/>
        </w:trPr>
        <w:tc>
          <w:tcPr>
            <w:tcW w:w="5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880" w:type="dxa"/>
            <w:vAlign w:val="bottom"/>
            <w:gridSpan w:val="7"/>
          </w:tcPr>
          <w:p>
            <w:pPr>
              <w:jc w:val="right"/>
              <w:ind w:right="580"/>
              <w:spacing w:after="0"/>
              <w:rPr>
                <w:sz w:val="20"/>
                <w:szCs w:val="20"/>
                <w:color w:val="auto"/>
              </w:rPr>
            </w:pPr>
            <w:r>
              <w:rPr>
                <w:rFonts w:ascii="Arial" w:cs="Arial" w:eastAsia="Arial" w:hAnsi="Arial"/>
                <w:sz w:val="14"/>
                <w:szCs w:val="14"/>
                <w:b w:val="1"/>
                <w:bCs w:val="1"/>
                <w:color w:val="auto"/>
              </w:rPr>
              <w:t>(In millions, except percentages)</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5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and deferred cost of sales charges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2.6</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2.4</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200" w:type="dxa"/>
            <w:vAlign w:val="bottom"/>
          </w:tcPr>
          <w:p>
            <w:pPr>
              <w:spacing w:after="0"/>
              <w:rPr>
                <w:sz w:val="21"/>
                <w:szCs w:val="21"/>
                <w:color w:val="auto"/>
              </w:rPr>
            </w:pPr>
          </w:p>
        </w:tc>
        <w:tc>
          <w:tcPr>
            <w:tcW w:w="1240" w:type="dxa"/>
            <w:vAlign w:val="bottom"/>
          </w:tcPr>
          <w:p>
            <w:pPr>
              <w:ind w:left="82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ind w:left="82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ind w:right="96"/>
              <w:spacing w:after="0"/>
              <w:rPr>
                <w:sz w:val="20"/>
                <w:szCs w:val="20"/>
                <w:color w:val="auto"/>
              </w:rPr>
            </w:pPr>
            <w:r>
              <w:rPr>
                <w:rFonts w:ascii="Arial" w:cs="Arial" w:eastAsia="Arial" w:hAnsi="Arial"/>
                <w:sz w:val="18"/>
                <w:szCs w:val="18"/>
                <w:color w:val="auto"/>
              </w:rPr>
              <w:t>0.9</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rPr>
              <w:t>0.8</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6"/>
              <w:spacing w:after="0"/>
              <w:rPr>
                <w:sz w:val="20"/>
                <w:szCs w:val="20"/>
                <w:color w:val="auto"/>
              </w:rPr>
            </w:pPr>
            <w:r>
              <w:rPr>
                <w:rFonts w:ascii="Arial" w:cs="Arial" w:eastAsia="Arial" w:hAnsi="Arial"/>
                <w:sz w:val="18"/>
                <w:szCs w:val="18"/>
                <w:color w:val="auto"/>
              </w:rPr>
              <w:t>3.5</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ind w:left="780"/>
              <w:spacing w:after="0"/>
              <w:rPr>
                <w:sz w:val="20"/>
                <w:szCs w:val="20"/>
                <w:color w:val="auto"/>
              </w:rPr>
            </w:pPr>
            <w:r>
              <w:rPr>
                <w:rFonts w:ascii="Arial" w:cs="Arial" w:eastAsia="Arial" w:hAnsi="Arial"/>
                <w:sz w:val="18"/>
                <w:szCs w:val="18"/>
                <w:color w:val="auto"/>
              </w:rPr>
              <w:t>3.2</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5360" w:type="dxa"/>
            <w:vAlign w:val="bottom"/>
          </w:tcPr>
          <w:p>
            <w:pPr>
              <w:ind w:left="40"/>
              <w:spacing w:after="0"/>
              <w:rPr>
                <w:sz w:val="20"/>
                <w:szCs w:val="20"/>
                <w:color w:val="auto"/>
              </w:rPr>
            </w:pPr>
            <w:r>
              <w:rPr>
                <w:rFonts w:ascii="Arial" w:cs="Arial" w:eastAsia="Arial" w:hAnsi="Arial"/>
                <w:sz w:val="18"/>
                <w:szCs w:val="18"/>
                <w:color w:val="auto"/>
              </w:rPr>
              <w:t>As % of revenue</w:t>
            </w:r>
          </w:p>
        </w:tc>
        <w:tc>
          <w:tcPr>
            <w:tcW w:w="200" w:type="dxa"/>
            <w:vAlign w:val="bottom"/>
          </w:tcPr>
          <w:p>
            <w:pPr>
              <w:spacing w:after="0"/>
              <w:rPr>
                <w:sz w:val="19"/>
                <w:szCs w:val="19"/>
                <w:color w:val="auto"/>
              </w:rPr>
            </w:pPr>
          </w:p>
        </w:tc>
        <w:tc>
          <w:tcPr>
            <w:tcW w:w="1240" w:type="dxa"/>
            <w:vAlign w:val="bottom"/>
          </w:tcPr>
          <w:p>
            <w:pPr>
              <w:ind w:left="820"/>
              <w:spacing w:after="0"/>
              <w:rPr>
                <w:sz w:val="20"/>
                <w:szCs w:val="20"/>
                <w:color w:val="auto"/>
              </w:rPr>
            </w:pPr>
            <w:r>
              <w:rPr>
                <w:rFonts w:ascii="Arial" w:cs="Arial" w:eastAsia="Arial" w:hAnsi="Arial"/>
                <w:sz w:val="18"/>
                <w:szCs w:val="18"/>
                <w:color w:val="auto"/>
                <w:w w:val="97"/>
              </w:rPr>
              <w:t>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ind w:left="820"/>
              <w:spacing w:after="0"/>
              <w:rPr>
                <w:sz w:val="20"/>
                <w:szCs w:val="20"/>
                <w:color w:val="auto"/>
              </w:rPr>
            </w:pPr>
            <w:r>
              <w:rPr>
                <w:rFonts w:ascii="Arial" w:cs="Arial" w:eastAsia="Arial" w:hAnsi="Arial"/>
                <w:sz w:val="18"/>
                <w:szCs w:val="18"/>
                <w:color w:val="auto"/>
                <w:w w:val="97"/>
              </w:rPr>
              <w:t>1.7%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ind w:left="780"/>
              <w:spacing w:after="0"/>
              <w:rPr>
                <w:sz w:val="20"/>
                <w:szCs w:val="20"/>
                <w:color w:val="auto"/>
              </w:rPr>
            </w:pPr>
            <w:r>
              <w:rPr>
                <w:rFonts w:ascii="Arial" w:cs="Arial" w:eastAsia="Arial" w:hAnsi="Arial"/>
                <w:sz w:val="18"/>
                <w:szCs w:val="18"/>
                <w:color w:val="auto"/>
                <w:w w:val="97"/>
              </w:rPr>
              <w:t>1.8%</w:t>
            </w:r>
          </w:p>
        </w:tc>
      </w:tr>
      <w:tr>
        <w:trPr>
          <w:trHeight w:val="486"/>
        </w:trPr>
        <w:tc>
          <w:tcPr>
            <w:tcW w:w="5360" w:type="dxa"/>
            <w:vAlign w:val="bottom"/>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78"/>
        </w:trPr>
        <w:tc>
          <w:tcPr>
            <w:tcW w:w="5360" w:type="dxa"/>
            <w:vAlign w:val="bottom"/>
          </w:tcPr>
          <w:p>
            <w:pPr>
              <w:ind w:left="440"/>
              <w:spacing w:after="0"/>
              <w:rPr>
                <w:sz w:val="20"/>
                <w:szCs w:val="20"/>
                <w:color w:val="auto"/>
              </w:rPr>
            </w:pPr>
            <w:r>
              <w:rPr>
                <w:rFonts w:ascii="Arial" w:cs="Arial" w:eastAsia="Arial" w:hAnsi="Arial"/>
                <w:sz w:val="18"/>
                <w:szCs w:val="18"/>
                <w:color w:val="auto"/>
                <w:w w:val="97"/>
              </w:rPr>
              <w:t>Our property, plant and equipment, net are summarized below:</w:t>
            </w: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88"/>
        </w:trPr>
        <w:tc>
          <w:tcPr>
            <w:tcW w:w="5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3"/>
          </w:tcPr>
          <w:p>
            <w:pPr>
              <w:ind w:left="120"/>
              <w:spacing w:after="0"/>
              <w:rPr>
                <w:sz w:val="20"/>
                <w:szCs w:val="20"/>
                <w:color w:val="auto"/>
              </w:rPr>
            </w:pPr>
            <w:r>
              <w:rPr>
                <w:rFonts w:ascii="Arial" w:cs="Arial" w:eastAsia="Arial" w:hAnsi="Arial"/>
                <w:sz w:val="14"/>
                <w:szCs w:val="14"/>
                <w:b w:val="1"/>
                <w:bCs w:val="1"/>
                <w:color w:val="auto"/>
              </w:rPr>
              <w:t>December 26,</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jc w:val="center"/>
              <w:ind w:right="115"/>
              <w:spacing w:after="0"/>
              <w:rPr>
                <w:sz w:val="20"/>
                <w:szCs w:val="20"/>
                <w:color w:val="auto"/>
              </w:rPr>
            </w:pPr>
            <w:r>
              <w:rPr>
                <w:rFonts w:ascii="Arial" w:cs="Arial" w:eastAsia="Arial" w:hAnsi="Arial"/>
                <w:sz w:val="14"/>
                <w:szCs w:val="14"/>
                <w:b w:val="1"/>
                <w:bCs w:val="1"/>
                <w:color w:val="auto"/>
                <w:w w:val="92"/>
              </w:rPr>
              <w:t>June 27,</w:t>
            </w:r>
          </w:p>
        </w:tc>
      </w:tr>
      <w:tr>
        <w:trPr>
          <w:trHeight w:val="192"/>
        </w:trPr>
        <w:tc>
          <w:tcPr>
            <w:tcW w:w="53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2014</w:t>
            </w: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2014</w:t>
            </w:r>
          </w:p>
        </w:tc>
      </w:tr>
      <w:tr>
        <w:trPr>
          <w:trHeight w:val="196"/>
        </w:trPr>
        <w:tc>
          <w:tcPr>
            <w:tcW w:w="5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20" w:type="dxa"/>
            <w:vAlign w:val="bottom"/>
            <w:gridSpan w:val="6"/>
          </w:tcPr>
          <w:p>
            <w:pPr>
              <w:jc w:val="right"/>
              <w:ind w:right="955"/>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0.7</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10.4</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10.3</w:t>
            </w:r>
          </w:p>
        </w:tc>
      </w:tr>
      <w:tr>
        <w:trPr>
          <w:trHeight w:val="27"/>
        </w:trPr>
        <w:tc>
          <w:tcPr>
            <w:tcW w:w="5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47.1</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44"/>
        </w:trPr>
        <w:tc>
          <w:tcPr>
            <w:tcW w:w="5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71.3</w:t>
            </w:r>
          </w:p>
        </w:tc>
      </w:tr>
      <w:tr>
        <w:trPr>
          <w:trHeight w:val="243"/>
        </w:trPr>
        <w:tc>
          <w:tcPr>
            <w:tcW w:w="53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(44.2)</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(42.0)</w:t>
            </w:r>
          </w:p>
        </w:tc>
      </w:tr>
      <w:tr>
        <w:trPr>
          <w:trHeight w:val="27"/>
        </w:trPr>
        <w:tc>
          <w:tcPr>
            <w:tcW w:w="53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6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29.3</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b w:val="1"/>
                <w:bCs w:val="1"/>
                <w:color w:val="auto"/>
              </w:rPr>
              <w:t>Two Quarters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64"/>
              <w:spacing w:after="0" w:line="153" w:lineRule="exact"/>
              <w:rPr>
                <w:sz w:val="20"/>
                <w:szCs w:val="20"/>
                <w:color w:val="auto"/>
              </w:rPr>
            </w:pPr>
            <w:r>
              <w:rPr>
                <w:rFonts w:ascii="Arial" w:cs="Arial" w:eastAsia="Arial" w:hAnsi="Arial"/>
                <w:sz w:val="14"/>
                <w:szCs w:val="14"/>
                <w:b w:val="1"/>
                <w:bCs w:val="1"/>
                <w:color w:val="auto"/>
                <w:w w:val="90"/>
              </w:rPr>
              <w:t>December 26,</w:t>
            </w:r>
          </w:p>
        </w:tc>
        <w:tc>
          <w:tcPr>
            <w:tcW w:w="28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80" w:type="dxa"/>
            <w:vAlign w:val="bottom"/>
          </w:tcPr>
          <w:p>
            <w:pPr>
              <w:spacing w:after="0"/>
              <w:rPr>
                <w:sz w:val="13"/>
                <w:szCs w:val="13"/>
                <w:color w:val="auto"/>
              </w:rPr>
            </w:pPr>
          </w:p>
        </w:tc>
        <w:tc>
          <w:tcPr>
            <w:tcW w:w="1200" w:type="dxa"/>
            <w:vAlign w:val="bottom"/>
          </w:tcPr>
          <w:p>
            <w:pPr>
              <w:jc w:val="center"/>
              <w:ind w:right="164"/>
              <w:spacing w:after="0" w:line="153" w:lineRule="exact"/>
              <w:rPr>
                <w:sz w:val="20"/>
                <w:szCs w:val="20"/>
                <w:color w:val="auto"/>
              </w:rPr>
            </w:pPr>
            <w:r>
              <w:rPr>
                <w:rFonts w:ascii="Arial" w:cs="Arial" w:eastAsia="Arial" w:hAnsi="Arial"/>
                <w:sz w:val="14"/>
                <w:szCs w:val="14"/>
                <w:b w:val="1"/>
                <w:bCs w:val="1"/>
                <w:color w:val="auto"/>
                <w:w w:val="92"/>
              </w:rPr>
              <w:t>December 26,</w:t>
            </w:r>
          </w:p>
        </w:tc>
        <w:tc>
          <w:tcPr>
            <w:tcW w:w="280" w:type="dxa"/>
            <w:vAlign w:val="bottom"/>
          </w:tcPr>
          <w:p>
            <w:pPr>
              <w:spacing w:after="0"/>
              <w:rPr>
                <w:sz w:val="13"/>
                <w:szCs w:val="13"/>
                <w:color w:val="auto"/>
              </w:rPr>
            </w:pPr>
          </w:p>
        </w:tc>
        <w:tc>
          <w:tcPr>
            <w:tcW w:w="118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2"/>
              </w:rPr>
              <w:t>December 27,</w:t>
            </w: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4"/>
          </w:tcPr>
          <w:p>
            <w:pPr>
              <w:ind w:left="8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1.9</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3.5</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3.5</w:t>
            </w: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both"/>
        <w:ind w:right="20" w:firstLine="405"/>
        <w:spacing w:after="0" w:line="342" w:lineRule="auto"/>
        <w:rPr>
          <w:sz w:val="20"/>
          <w:szCs w:val="20"/>
          <w:color w:val="auto"/>
        </w:rPr>
      </w:pPr>
      <w:r>
        <w:rPr>
          <w:rFonts w:ascii="Arial" w:cs="Arial" w:eastAsia="Arial" w:hAnsi="Arial"/>
          <w:sz w:val="16"/>
          <w:szCs w:val="16"/>
          <w:color w:val="auto"/>
        </w:rPr>
        <w:t>We accrue for the estimated cost to repair or replace products under warranty at the time of sale. Changes in our warranty liability, which are included as a component of other accrued expenses in the condensed consolidated balance sheets, during the first two quarters of fiscal 2015 and 2014 were as follows: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4940" w:type="dxa"/>
            <w:vAlign w:val="bottom"/>
          </w:tcPr>
          <w:p>
            <w:pPr>
              <w:spacing w:after="0"/>
              <w:rPr>
                <w:sz w:val="13"/>
                <w:szCs w:val="13"/>
                <w:color w:val="auto"/>
              </w:rPr>
            </w:pPr>
          </w:p>
        </w:tc>
        <w:tc>
          <w:tcPr>
            <w:tcW w:w="3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180" w:type="dxa"/>
            <w:vAlign w:val="bottom"/>
          </w:tcPr>
          <w:p>
            <w:pPr>
              <w:jc w:val="right"/>
              <w:ind w:right="196"/>
              <w:spacing w:after="0" w:line="153" w:lineRule="exact"/>
              <w:rPr>
                <w:sz w:val="20"/>
                <w:szCs w:val="20"/>
                <w:color w:val="auto"/>
              </w:rPr>
            </w:pPr>
            <w:r>
              <w:rPr>
                <w:rFonts w:ascii="Arial" w:cs="Arial" w:eastAsia="Arial" w:hAnsi="Arial"/>
                <w:sz w:val="14"/>
                <w:szCs w:val="14"/>
                <w:b w:val="1"/>
                <w:bCs w:val="1"/>
                <w:color w:val="auto"/>
                <w:w w:val="96"/>
              </w:rPr>
              <w:t>December 27,</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196"/>
        </w:trPr>
        <w:tc>
          <w:tcPr>
            <w:tcW w:w="494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(In millions)</w:t>
            </w:r>
          </w:p>
        </w:tc>
        <w:tc>
          <w:tcPr>
            <w:tcW w:w="0" w:type="dxa"/>
            <w:vAlign w:val="bottom"/>
          </w:tcPr>
          <w:p>
            <w:pPr>
              <w:spacing w:after="0"/>
              <w:rPr>
                <w:sz w:val="1"/>
                <w:szCs w:val="1"/>
                <w:color w:val="auto"/>
              </w:rPr>
            </w:pPr>
          </w:p>
        </w:tc>
      </w:tr>
      <w:tr>
        <w:trPr>
          <w:trHeight w:val="256"/>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fiscal year</w:t>
            </w:r>
          </w:p>
        </w:tc>
        <w:tc>
          <w:tcPr>
            <w:tcW w:w="38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color w:val="auto"/>
              </w:rPr>
              <w:t>Warranty provision for revenue recorded during the period</w:t>
            </w:r>
          </w:p>
        </w:tc>
        <w:tc>
          <w:tcPr>
            <w:tcW w:w="36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9"/>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6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Consumption during the period</w:t>
            </w:r>
          </w:p>
        </w:tc>
        <w:tc>
          <w:tcPr>
            <w:tcW w:w="364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7"/>
        </w:trPr>
        <w:tc>
          <w:tcPr>
            <w:tcW w:w="494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364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3640" w:type="dxa"/>
            <w:vAlign w:val="bottom"/>
            <w:vMerge w:val="restart"/>
          </w:tcPr>
          <w:p>
            <w:pPr>
              <w:jc w:val="right"/>
              <w:ind w:right="2690"/>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940" w:type="dxa"/>
            <w:vAlign w:val="bottom"/>
          </w:tcPr>
          <w:p>
            <w:pPr>
              <w:spacing w:after="0" w:line="20" w:lineRule="exact"/>
              <w:rPr>
                <w:sz w:val="1"/>
                <w:szCs w:val="1"/>
                <w:color w:val="auto"/>
              </w:rPr>
            </w:pPr>
          </w:p>
        </w:tc>
        <w:tc>
          <w:tcPr>
            <w:tcW w:w="3640" w:type="dxa"/>
            <w:vAlign w:val="bottom"/>
            <w:vMerge w:val="continue"/>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4940" w:type="dxa"/>
            <w:vAlign w:val="bottom"/>
          </w:tcPr>
          <w:p>
            <w:pPr>
              <w:spacing w:after="0"/>
              <w:rPr>
                <w:sz w:val="24"/>
                <w:szCs w:val="24"/>
                <w:color w:val="auto"/>
              </w:rPr>
            </w:pPr>
          </w:p>
        </w:tc>
        <w:tc>
          <w:tcPr>
            <w:tcW w:w="36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175" w:lineRule="exact"/>
        <w:rPr>
          <w:sz w:val="20"/>
          <w:szCs w:val="20"/>
          <w:color w:val="auto"/>
        </w:rPr>
      </w:pPr>
    </w:p>
    <w:p>
      <w:pPr>
        <w:ind w:right="200" w:firstLine="432"/>
        <w:spacing w:after="0" w:line="302" w:lineRule="auto"/>
        <w:rPr>
          <w:sz w:val="20"/>
          <w:szCs w:val="20"/>
          <w:color w:val="auto"/>
        </w:rPr>
      </w:pPr>
      <w:r>
        <w:rPr>
          <w:rFonts w:ascii="Arial" w:cs="Arial" w:eastAsia="Arial" w:hAnsi="Arial"/>
          <w:sz w:val="16"/>
          <w:szCs w:val="16"/>
          <w:color w:val="auto"/>
        </w:rPr>
        <w:t>We determine fair value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00"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 — Unobservable inputs reflecting our own assumptions.</w:t>
      </w:r>
    </w:p>
    <w:p>
      <w:pPr>
        <w:spacing w:after="0" w:line="171"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December 26, 2014 and June 27, 2014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659"/>
              <w:spacing w:after="0"/>
              <w:rPr>
                <w:sz w:val="20"/>
                <w:szCs w:val="20"/>
                <w:color w:val="auto"/>
              </w:rPr>
            </w:pPr>
            <w:r>
              <w:rPr>
                <w:rFonts w:ascii="Arial" w:cs="Arial" w:eastAsia="Arial" w:hAnsi="Arial"/>
                <w:sz w:val="14"/>
                <w:szCs w:val="14"/>
                <w:b w:val="1"/>
                <w:bCs w:val="1"/>
                <w:color w:val="auto"/>
              </w:rPr>
              <w:t>December 26, 2014</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060" w:type="dxa"/>
            <w:vAlign w:val="bottom"/>
            <w:tcBorders>
              <w:bottom w:val="single" w:sz="8" w:color="auto"/>
            </w:tcBorders>
            <w:gridSpan w:val="3"/>
          </w:tcPr>
          <w:p>
            <w:pPr>
              <w:jc w:val="right"/>
              <w:ind w:right="676"/>
              <w:spacing w:after="0"/>
              <w:rPr>
                <w:sz w:val="20"/>
                <w:szCs w:val="20"/>
                <w:color w:val="auto"/>
              </w:rPr>
            </w:pPr>
            <w:r>
              <w:rPr>
                <w:rFonts w:ascii="Arial" w:cs="Arial" w:eastAsia="Arial" w:hAnsi="Arial"/>
                <w:sz w:val="14"/>
                <w:szCs w:val="14"/>
                <w:b w:val="1"/>
                <w:bCs w:val="1"/>
                <w:color w:val="auto"/>
              </w:rPr>
              <w:t>June 27, 2014</w:t>
            </w:r>
          </w:p>
        </w:tc>
        <w:tc>
          <w:tcPr>
            <w:tcW w:w="1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Cost</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3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Cost</w:t>
            </w:r>
          </w:p>
        </w:tc>
        <w:tc>
          <w:tcPr>
            <w:tcW w:w="2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14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w w:val="97"/>
              </w:rPr>
              <w:t>Valuation Inputs</w:t>
            </w:r>
          </w:p>
        </w:tc>
      </w:tr>
      <w:tr>
        <w:trPr>
          <w:trHeight w:val="264"/>
        </w:trPr>
        <w:tc>
          <w:tcPr>
            <w:tcW w:w="5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millions)</w:t>
            </w:r>
          </w:p>
        </w:tc>
        <w:tc>
          <w:tcPr>
            <w:tcW w:w="8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56"/>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Cash equivalents:</w:t>
            </w: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r>
      <w:tr>
        <w:trPr>
          <w:trHeight w:val="27"/>
        </w:trPr>
        <w:tc>
          <w:tcPr>
            <w:tcW w:w="50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Money market funds</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5.5</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10.2</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ind w:left="560"/>
              <w:spacing w:after="0"/>
              <w:rPr>
                <w:sz w:val="20"/>
                <w:szCs w:val="20"/>
                <w:color w:val="auto"/>
              </w:rPr>
            </w:pPr>
            <w:r>
              <w:rPr>
                <w:rFonts w:ascii="Arial" w:cs="Arial" w:eastAsia="Arial" w:hAnsi="Arial"/>
                <w:sz w:val="18"/>
                <w:szCs w:val="18"/>
                <w:color w:val="auto"/>
                <w:w w:val="96"/>
              </w:rPr>
              <w:t>Level 1</w:t>
            </w:r>
          </w:p>
        </w:tc>
      </w:tr>
      <w:tr>
        <w:trPr>
          <w:trHeight w:val="243"/>
        </w:trPr>
        <w:tc>
          <w:tcPr>
            <w:tcW w:w="5040" w:type="dxa"/>
            <w:vAlign w:val="bottom"/>
          </w:tcPr>
          <w:p>
            <w:pPr>
              <w:ind w:left="180"/>
              <w:spacing w:after="0"/>
              <w:rPr>
                <w:sz w:val="20"/>
                <w:szCs w:val="20"/>
                <w:color w:val="auto"/>
              </w:rPr>
            </w:pPr>
            <w:r>
              <w:rPr>
                <w:rFonts w:ascii="Arial" w:cs="Arial" w:eastAsia="Arial" w:hAnsi="Arial"/>
                <w:sz w:val="18"/>
                <w:szCs w:val="18"/>
                <w:color w:val="auto"/>
              </w:rPr>
              <w:t>Bank certificates of deposit</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9"/>
              <w:spacing w:after="0"/>
              <w:rPr>
                <w:sz w:val="20"/>
                <w:szCs w:val="20"/>
                <w:color w:val="auto"/>
              </w:rPr>
            </w:pPr>
            <w:r>
              <w:rPr>
                <w:rFonts w:ascii="Arial" w:cs="Arial" w:eastAsia="Arial" w:hAnsi="Arial"/>
                <w:sz w:val="18"/>
                <w:szCs w:val="18"/>
                <w:color w:val="auto"/>
              </w:rPr>
              <w:t>0.2</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9"/>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39"/>
              <w:spacing w:after="0"/>
              <w:rPr>
                <w:sz w:val="20"/>
                <w:szCs w:val="20"/>
                <w:color w:val="auto"/>
              </w:rPr>
            </w:pPr>
            <w:r>
              <w:rPr>
                <w:rFonts w:ascii="Arial" w:cs="Arial" w:eastAsia="Arial" w:hAnsi="Arial"/>
                <w:sz w:val="18"/>
                <w:szCs w:val="18"/>
                <w:color w:val="auto"/>
              </w:rPr>
              <w:t>3.5</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140" w:type="dxa"/>
            <w:vAlign w:val="bottom"/>
          </w:tcPr>
          <w:p>
            <w:pPr>
              <w:ind w:left="560"/>
              <w:spacing w:after="0"/>
              <w:rPr>
                <w:sz w:val="20"/>
                <w:szCs w:val="20"/>
                <w:color w:val="auto"/>
              </w:rPr>
            </w:pPr>
            <w:r>
              <w:rPr>
                <w:rFonts w:ascii="Arial" w:cs="Arial" w:eastAsia="Arial" w:hAnsi="Arial"/>
                <w:sz w:val="18"/>
                <w:szCs w:val="18"/>
                <w:color w:val="auto"/>
                <w:w w:val="96"/>
              </w:rPr>
              <w:t>Level 2</w:t>
            </w:r>
          </w:p>
        </w:tc>
      </w:tr>
    </w:tbl>
    <w:p>
      <w:pPr>
        <w:spacing w:after="0" w:line="229" w:lineRule="exact"/>
        <w:rPr>
          <w:sz w:val="20"/>
          <w:szCs w:val="20"/>
          <w:color w:val="auto"/>
        </w:rPr>
      </w:pPr>
    </w:p>
    <w:p>
      <w:pPr>
        <w:ind w:right="100" w:firstLine="432"/>
        <w:spacing w:after="0" w:line="264"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include shares in money market funds purchased from two major financial institutions. As of December 26, 2014 and June 27, 2014, these money market shares were valued at $1.00 net asset value per share by these financial institutions.</w:t>
      </w:r>
    </w:p>
    <w:p>
      <w:pPr>
        <w:spacing w:after="0" w:line="127" w:lineRule="exact"/>
        <w:rPr>
          <w:sz w:val="20"/>
          <w:szCs w:val="20"/>
          <w:color w:val="auto"/>
        </w:rPr>
      </w:pPr>
    </w:p>
    <w:p>
      <w:pPr>
        <w:ind w:right="360" w:firstLine="432"/>
        <w:spacing w:after="0" w:line="302" w:lineRule="auto"/>
        <w:rPr>
          <w:sz w:val="20"/>
          <w:szCs w:val="20"/>
          <w:color w:val="auto"/>
        </w:rPr>
      </w:pPr>
      <w:r>
        <w:rPr>
          <w:rFonts w:ascii="Arial" w:cs="Arial" w:eastAsia="Arial" w:hAnsi="Arial"/>
          <w:sz w:val="16"/>
          <w:szCs w:val="16"/>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assets and liabilities related to our foreign currency forward contracts were not material as of December 26, 2014 and June 27, 2014.</w:t>
      </w:r>
    </w:p>
    <w:p>
      <w:pPr>
        <w:spacing w:after="0" w:line="100" w:lineRule="exact"/>
        <w:rPr>
          <w:sz w:val="20"/>
          <w:szCs w:val="20"/>
          <w:color w:val="auto"/>
        </w:rPr>
      </w:pPr>
    </w:p>
    <w:p>
      <w:pPr>
        <w:jc w:val="both"/>
        <w:ind w:right="160" w:firstLine="432"/>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two quarters of fiscal 2015 and 2014, we had no transfers between levels of the fair value hierarchy of our assets or liabilities measured at fair value.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ind w:right="200" w:firstLine="405"/>
        <w:spacing w:after="0" w:line="255" w:lineRule="auto"/>
        <w:rPr>
          <w:sz w:val="20"/>
          <w:szCs w:val="20"/>
          <w:color w:val="auto"/>
        </w:rPr>
      </w:pPr>
      <w:r>
        <w:rPr>
          <w:rFonts w:ascii="Arial" w:cs="Arial" w:eastAsia="Arial" w:hAnsi="Arial"/>
          <w:sz w:val="18"/>
          <w:szCs w:val="18"/>
          <w:color w:val="auto"/>
        </w:rPr>
        <w:t>On March 28, 2014, we entered into a Second Amended and Restated Loan Agreement with Silicon Valley Bank (the “SVB Credit Facility”), which was amended on September 25, 2014, October 30, 2014 and December 2, 2014 providing for the extensions of deadline for preparing and filing our fiscal 2014 financial statements with the Securities and Exchange Commission (the “SEC”). This agreement amends and restates our existing First Amended and Restated Loan and Security Agreement, which was entered into on September 27, 2013 and amended providing for certain amendments to the maximum borrowing limit and financial covenants. Our outstanding debt balance under the SVB Credit Facility was $9.0 million and $6.0 million as of December 26, 2014 and June 27, 2014.</w:t>
      </w:r>
    </w:p>
    <w:p>
      <w:pPr>
        <w:spacing w:after="0" w:line="139"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The SVB Credit Facility provides for a committed amount of up to $40.0 million, with a $30.0 million sublimit that can be borrowed by our Singapore subsidiary. Borrowings that may be advanced under the SVB Credit Facility at the lesser of $40.0 million or a borrowing base equal to a specified percentage of the value of eligible accounts receivable and U.S. unbilled accounts of the Company, subject to certain reserves and eligibility criteria. The SVB Credit Facility can also be utilized to issue letters of credit. Principal, together with all accrued and unpaid interest, is due and payable on September 26, 2016. We may prepay loans under the SVB Credit Facility in whole or in part at any time without premium or penalty. As of December 26, 2014, available credit under the SVB Credit Facility was $13.2 million reflecting the calculated borrowing base of $28.1 million less existing borrowings of $9.0 million and outstanding letters of credit of $5.9 million.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850" w:right="239" w:bottom="1440" w:gutter="0" w:footer="0" w:header="0"/>
        </w:sectPr>
      </w:pPr>
    </w:p>
    <w:bookmarkStart w:id="11" w:name="page12"/>
    <w:bookmarkEnd w:id="11"/>
    <w:p>
      <w:pPr>
        <w:ind w:right="20" w:firstLine="432"/>
        <w:spacing w:after="0" w:line="257" w:lineRule="auto"/>
        <w:rPr>
          <w:sz w:val="20"/>
          <w:szCs w:val="20"/>
          <w:color w:val="auto"/>
        </w:rPr>
      </w:pPr>
      <w:r>
        <w:rPr>
          <w:rFonts w:ascii="Arial" w:cs="Arial" w:eastAsia="Arial" w:hAnsi="Arial"/>
          <w:sz w:val="18"/>
          <w:szCs w:val="18"/>
          <w:color w:val="auto"/>
        </w:rPr>
        <w:t xml:space="preserve">Borrowings under the SVB Credit Facility carry an interest rate computed at the daily prime rate as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plus a spread of 0.50% to 1.50%, with such spread determined based on our adjusted quick ratio. If a minimum adjusted quick ratio requirement is satisfied, LIBOR advances are offered at LIBOR plus a spread of 2.75%. Interest is due and payable in arrears monthly for prime rate loans and, for LIBOR rate loans, at the end of an interest period or at each three-month interval if the interest period is greater than three months. During the first two quarters of fiscal year 2015, the weighted average interest rate on our outstanding loan was 3.8%.</w:t>
      </w:r>
    </w:p>
    <w:p>
      <w:pPr>
        <w:spacing w:after="0" w:line="134" w:lineRule="exact"/>
        <w:rPr>
          <w:sz w:val="20"/>
          <w:szCs w:val="20"/>
          <w:color w:val="auto"/>
        </w:rPr>
      </w:pPr>
    </w:p>
    <w:p>
      <w:pPr>
        <w:ind w:right="20" w:firstLine="432"/>
        <w:spacing w:after="0" w:line="254"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38" w:lineRule="exact"/>
        <w:rPr>
          <w:sz w:val="20"/>
          <w:szCs w:val="20"/>
          <w:color w:val="auto"/>
        </w:rPr>
      </w:pPr>
    </w:p>
    <w:p>
      <w:pPr>
        <w:ind w:right="200" w:firstLine="432"/>
        <w:spacing w:after="0" w:line="286" w:lineRule="auto"/>
        <w:rPr>
          <w:sz w:val="20"/>
          <w:szCs w:val="20"/>
          <w:color w:val="auto"/>
        </w:rPr>
      </w:pPr>
      <w:r>
        <w:rPr>
          <w:rFonts w:ascii="Arial" w:cs="Arial" w:eastAsia="Arial" w:hAnsi="Arial"/>
          <w:sz w:val="17"/>
          <w:szCs w:val="17"/>
          <w:color w:val="auto"/>
        </w:rPr>
        <w:t>As of December 26, 2014, we were in compliance with the quarterly financial covenants contained in the SVB Credit Facility. However, as a result of uncertainty on our ability to meet the financial covenants and the fact that the SVB Credit Facility contains subjective acceleration clauses that could be triggered by the lender, the $9.0 million borrowing was classified as a current liability as of December 26, 2014.</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2014-2015 Plan</w:t>
      </w:r>
    </w:p>
    <w:p>
      <w:pPr>
        <w:spacing w:after="0" w:line="175" w:lineRule="exact"/>
        <w:rPr>
          <w:sz w:val="20"/>
          <w:szCs w:val="20"/>
          <w:color w:val="auto"/>
        </w:rPr>
      </w:pPr>
    </w:p>
    <w:p>
      <w:pPr>
        <w:jc w:val="both"/>
        <w:ind w:right="180" w:firstLine="405"/>
        <w:spacing w:after="0" w:line="312" w:lineRule="auto"/>
        <w:rPr>
          <w:sz w:val="20"/>
          <w:szCs w:val="20"/>
          <w:color w:val="auto"/>
        </w:rPr>
      </w:pPr>
      <w:r>
        <w:rPr>
          <w:rFonts w:ascii="Arial" w:cs="Arial" w:eastAsia="Arial" w:hAnsi="Arial"/>
          <w:sz w:val="16"/>
          <w:szCs w:val="16"/>
          <w:color w:val="auto"/>
        </w:rPr>
        <w:t>During the third quarter of fiscal 2014, in line with the decrease in revenue that we experienced and our reduced forecast for the immediate future, we initiated a restructuring plan (the “Fiscal 2014-2015 Plan”) to reduce our operating costs, primarily in North America, Europe and Asia. Activities under the Fiscal 2014-2015 Plan primarily include reductions in force and additional facility downsizing of our Santa Clara, California headquarters.</w:t>
      </w:r>
    </w:p>
    <w:p>
      <w:pPr>
        <w:spacing w:after="0" w:line="93" w:lineRule="exact"/>
        <w:rPr>
          <w:sz w:val="20"/>
          <w:szCs w:val="20"/>
          <w:color w:val="auto"/>
        </w:rPr>
      </w:pPr>
    </w:p>
    <w:p>
      <w:pPr>
        <w:ind w:right="500" w:firstLine="405"/>
        <w:spacing w:after="0" w:line="308" w:lineRule="auto"/>
        <w:rPr>
          <w:sz w:val="20"/>
          <w:szCs w:val="20"/>
          <w:color w:val="auto"/>
        </w:rPr>
      </w:pPr>
      <w:r>
        <w:rPr>
          <w:rFonts w:ascii="Arial" w:cs="Arial" w:eastAsia="Arial" w:hAnsi="Arial"/>
          <w:sz w:val="17"/>
          <w:szCs w:val="17"/>
          <w:color w:val="auto"/>
        </w:rPr>
        <w:t>The following table summarizes our costs incurred during the second quarter and first two quarters of fiscal 2015, estimated additional costs to be incurred and estimated total costs expected to be incurred as of December 26, 2014 under the Fiscal 2014-2015 Plan:</w:t>
      </w:r>
    </w:p>
    <w:p>
      <w:pPr>
        <w:spacing w:after="0" w:line="72" w:lineRule="exact"/>
        <w:rPr>
          <w:sz w:val="20"/>
          <w:szCs w:val="20"/>
          <w:color w:val="auto"/>
        </w:rPr>
      </w:pPr>
    </w:p>
    <w:tbl>
      <w:tblPr>
        <w:tblLayout w:type="fixed"/>
        <w:tblInd w:w="10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Costs (Benefits)</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Costs Incurred</w:t>
            </w:r>
          </w:p>
        </w:tc>
        <w:tc>
          <w:tcPr>
            <w:tcW w:w="140" w:type="dxa"/>
            <w:vAlign w:val="bottom"/>
          </w:tcPr>
          <w:p>
            <w:pPr>
              <w:spacing w:after="0"/>
              <w:rPr>
                <w:sz w:val="14"/>
                <w:szCs w:val="1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Cumulative</w:t>
            </w:r>
          </w:p>
        </w:tc>
        <w:tc>
          <w:tcPr>
            <w:tcW w:w="158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Estimated Additional</w:t>
            </w:r>
          </w:p>
        </w:tc>
        <w:tc>
          <w:tcPr>
            <w:tcW w:w="140" w:type="dxa"/>
            <w:vAlign w:val="bottom"/>
          </w:tcPr>
          <w:p>
            <w:pPr>
              <w:spacing w:after="0"/>
              <w:rPr>
                <w:sz w:val="14"/>
                <w:szCs w:val="14"/>
                <w:color w:val="auto"/>
              </w:rPr>
            </w:pPr>
          </w:p>
        </w:tc>
        <w:tc>
          <w:tcPr>
            <w:tcW w:w="1340" w:type="dxa"/>
            <w:vAlign w:val="bottom"/>
            <w:vMerge w:val="restart"/>
          </w:tcPr>
          <w:p>
            <w:pPr>
              <w:jc w:val="center"/>
              <w:ind w:right="39"/>
              <w:spacing w:after="0"/>
              <w:rPr>
                <w:sz w:val="20"/>
                <w:szCs w:val="20"/>
                <w:color w:val="auto"/>
              </w:rPr>
            </w:pPr>
            <w:r>
              <w:rPr>
                <w:rFonts w:ascii="Arial" w:cs="Arial" w:eastAsia="Arial" w:hAnsi="Arial"/>
                <w:sz w:val="14"/>
                <w:szCs w:val="14"/>
                <w:b w:val="1"/>
                <w:bCs w:val="1"/>
                <w:color w:val="auto"/>
                <w:w w:val="94"/>
              </w:rPr>
              <w:t>Total Restructuring</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Incurred During</w:t>
            </w:r>
          </w:p>
        </w:tc>
        <w:tc>
          <w:tcPr>
            <w:tcW w:w="15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During Two Quarters</w:t>
            </w: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Costs Incurred</w:t>
            </w:r>
          </w:p>
        </w:tc>
        <w:tc>
          <w:tcPr>
            <w:tcW w:w="158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Quarter Ended</w:t>
            </w:r>
          </w:p>
        </w:tc>
        <w:tc>
          <w:tcPr>
            <w:tcW w:w="140" w:type="dxa"/>
            <w:vAlign w:val="bottom"/>
          </w:tcPr>
          <w:p>
            <w:pPr>
              <w:spacing w:after="0"/>
              <w:rPr>
                <w:sz w:val="12"/>
                <w:szCs w:val="12"/>
                <w:color w:val="auto"/>
              </w:rPr>
            </w:pPr>
          </w:p>
        </w:tc>
        <w:tc>
          <w:tcPr>
            <w:tcW w:w="14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Ended</w:t>
            </w:r>
          </w:p>
        </w:tc>
        <w:tc>
          <w:tcPr>
            <w:tcW w:w="140" w:type="dxa"/>
            <w:vAlign w:val="bottom"/>
          </w:tcPr>
          <w:p>
            <w:pPr>
              <w:spacing w:after="0"/>
              <w:rPr>
                <w:sz w:val="12"/>
                <w:szCs w:val="12"/>
                <w:color w:val="auto"/>
              </w:rPr>
            </w:pPr>
          </w:p>
        </w:tc>
        <w:tc>
          <w:tcPr>
            <w:tcW w:w="14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5"/>
              </w:rPr>
              <w:t>Through</w:t>
            </w:r>
          </w:p>
        </w:tc>
        <w:tc>
          <w:tcPr>
            <w:tcW w:w="260" w:type="dxa"/>
            <w:vAlign w:val="bottom"/>
          </w:tcPr>
          <w:p>
            <w:pPr>
              <w:spacing w:after="0"/>
              <w:rPr>
                <w:sz w:val="12"/>
                <w:szCs w:val="12"/>
                <w:color w:val="auto"/>
              </w:rPr>
            </w:pPr>
          </w:p>
        </w:tc>
        <w:tc>
          <w:tcPr>
            <w:tcW w:w="132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Costs to be</w:t>
            </w:r>
          </w:p>
        </w:tc>
        <w:tc>
          <w:tcPr>
            <w:tcW w:w="140" w:type="dxa"/>
            <w:vAlign w:val="bottom"/>
          </w:tcPr>
          <w:p>
            <w:pPr>
              <w:spacing w:after="0"/>
              <w:rPr>
                <w:sz w:val="12"/>
                <w:szCs w:val="12"/>
                <w:color w:val="auto"/>
              </w:rPr>
            </w:pPr>
          </w:p>
        </w:tc>
        <w:tc>
          <w:tcPr>
            <w:tcW w:w="1340" w:type="dxa"/>
            <w:vAlign w:val="bottom"/>
          </w:tcPr>
          <w:p>
            <w:pPr>
              <w:jc w:val="center"/>
              <w:ind w:right="39"/>
              <w:spacing w:after="0" w:line="149"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192"/>
        </w:trPr>
        <w:tc>
          <w:tcPr>
            <w:tcW w:w="3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26, 2014</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26, 2014</w:t>
            </w:r>
          </w:p>
        </w:tc>
        <w:tc>
          <w:tcPr>
            <w:tcW w:w="1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26, 2014</w:t>
            </w:r>
          </w:p>
        </w:tc>
        <w:tc>
          <w:tcPr>
            <w:tcW w:w="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99"/>
              </w:rPr>
              <w:t>Incurred</w:t>
            </w: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to be Incurred</w:t>
            </w:r>
          </w:p>
        </w:tc>
        <w:tc>
          <w:tcPr>
            <w:tcW w:w="0" w:type="dxa"/>
            <w:vAlign w:val="bottom"/>
          </w:tcPr>
          <w:p>
            <w:pPr>
              <w:spacing w:after="0"/>
              <w:rPr>
                <w:sz w:val="1"/>
                <w:szCs w:val="1"/>
                <w:color w:val="auto"/>
              </w:rPr>
            </w:pPr>
          </w:p>
        </w:tc>
      </w:tr>
      <w:tr>
        <w:trPr>
          <w:trHeight w:val="250"/>
        </w:trPr>
        <w:tc>
          <w:tcPr>
            <w:tcW w:w="35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40" w:type="dxa"/>
            <w:vAlign w:val="bottom"/>
            <w:gridSpan w:val="2"/>
          </w:tcPr>
          <w:p>
            <w:pPr>
              <w:ind w:left="2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52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Severance and benefits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3520" w:type="dxa"/>
            <w:vAlign w:val="bottom"/>
          </w:tcPr>
          <w:p>
            <w:pPr>
              <w:ind w:left="700"/>
              <w:spacing w:after="0"/>
              <w:rPr>
                <w:sz w:val="20"/>
                <w:szCs w:val="20"/>
                <w:color w:val="auto"/>
              </w:rPr>
            </w:pPr>
            <w:r>
              <w:rPr>
                <w:rFonts w:ascii="Arial" w:cs="Arial" w:eastAsia="Arial" w:hAnsi="Arial"/>
                <w:sz w:val="18"/>
                <w:szCs w:val="18"/>
                <w:color w:val="auto"/>
              </w:rPr>
              <w:t>Facilities and other</w:t>
            </w:r>
          </w:p>
        </w:tc>
        <w:tc>
          <w:tcPr>
            <w:tcW w:w="140" w:type="dxa"/>
            <w:vAlign w:val="bottom"/>
          </w:tcPr>
          <w:p>
            <w:pPr>
              <w:spacing w:after="0"/>
              <w:rPr>
                <w:sz w:val="21"/>
                <w:szCs w:val="21"/>
                <w:color w:val="auto"/>
              </w:rPr>
            </w:pPr>
          </w:p>
        </w:tc>
        <w:tc>
          <w:tcPr>
            <w:tcW w:w="1340" w:type="dxa"/>
            <w:vAlign w:val="bottom"/>
          </w:tcPr>
          <w:p>
            <w:pPr>
              <w:jc w:val="right"/>
              <w:ind w:right="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2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3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for Fiscal 2014-2015 Plan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56"/>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During the second quarter of fiscal 2015, we decided to keep several U.S. employees who were previously included in the reduction of workforce and, therefore, accrued severance and benefits charges related to these employees were reversed during the quarter. We intend to substantially complete the remaining restructuring activities under the Fiscal 2014-2015 Plan in fiscal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2013-2014 Plan</w:t>
      </w:r>
    </w:p>
    <w:p>
      <w:pPr>
        <w:spacing w:after="0" w:line="175" w:lineRule="exact"/>
        <w:rPr>
          <w:sz w:val="20"/>
          <w:szCs w:val="20"/>
          <w:color w:val="auto"/>
        </w:rPr>
      </w:pPr>
    </w:p>
    <w:p>
      <w:pPr>
        <w:ind w:right="60" w:firstLine="405"/>
        <w:spacing w:after="0" w:line="259" w:lineRule="auto"/>
        <w:rPr>
          <w:sz w:val="20"/>
          <w:szCs w:val="20"/>
          <w:color w:val="auto"/>
        </w:rPr>
      </w:pPr>
      <w:r>
        <w:rPr>
          <w:rFonts w:ascii="Arial" w:cs="Arial" w:eastAsia="Arial" w:hAnsi="Arial"/>
          <w:sz w:val="18"/>
          <w:szCs w:val="18"/>
          <w:color w:val="auto"/>
        </w:rPr>
        <w:t>During the fourth quarter of fiscal 2013, we initiated a restructuring plan (the “Fiscal 2013-2014 Plan”) to bring our cost structure in line with the changing business environment of the worldwide microwave radio and telecommunication markets, primarily in North America, Europe and Asia. Activities under the Fiscal 2013-2014 Plan include reductions in force and the downsizing of our Santa Clara, California headquarters and certain U.S. and international field offices to reduce our operating expenses.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746" w:right="239" w:bottom="1440" w:gutter="0" w:footer="0" w:header="0"/>
        </w:sectPr>
      </w:pPr>
    </w:p>
    <w:bookmarkStart w:id="12" w:name="page13"/>
    <w:bookmarkEnd w:id="12"/>
    <w:p>
      <w:pPr>
        <w:ind w:firstLine="405"/>
        <w:spacing w:after="0" w:line="277" w:lineRule="auto"/>
        <w:rPr>
          <w:sz w:val="20"/>
          <w:szCs w:val="20"/>
          <w:color w:val="auto"/>
        </w:rPr>
      </w:pPr>
      <w:r>
        <w:rPr>
          <w:rFonts w:ascii="Arial" w:cs="Arial" w:eastAsia="Arial" w:hAnsi="Arial"/>
          <w:sz w:val="18"/>
          <w:szCs w:val="18"/>
          <w:color w:val="auto"/>
        </w:rPr>
        <w:t>The following table summarizes our costs incurred during the second quarter and first two quarters of fiscal 2015 and 2014, estimated additional costs to be incurred and estimated total costs expected to be incurred as of December 26, 2014 under the Fiscal 2013-2014 Plan: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3"/>
            <w:vMerge w:val="restart"/>
          </w:tcPr>
          <w:p>
            <w:pPr>
              <w:ind w:left="380"/>
              <w:spacing w:after="0"/>
              <w:rPr>
                <w:sz w:val="20"/>
                <w:szCs w:val="20"/>
                <w:color w:val="auto"/>
              </w:rPr>
            </w:pPr>
            <w:r>
              <w:rPr>
                <w:rFonts w:ascii="Arial" w:cs="Arial" w:eastAsia="Arial" w:hAnsi="Arial"/>
                <w:sz w:val="14"/>
                <w:szCs w:val="14"/>
                <w:b w:val="1"/>
                <w:bCs w:val="1"/>
                <w:color w:val="auto"/>
                <w:w w:val="97"/>
              </w:rPr>
              <w:t>Costs Incurred</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80" w:type="dxa"/>
            <w:vAlign w:val="bottom"/>
            <w:gridSpan w:val="5"/>
          </w:tcPr>
          <w:p>
            <w:pPr>
              <w:jc w:val="center"/>
              <w:ind w:right="240"/>
              <w:spacing w:after="0"/>
              <w:rPr>
                <w:sz w:val="20"/>
                <w:szCs w:val="20"/>
                <w:color w:val="auto"/>
              </w:rPr>
            </w:pPr>
            <w:r>
              <w:rPr>
                <w:rFonts w:ascii="Arial" w:cs="Arial" w:eastAsia="Arial" w:hAnsi="Arial"/>
                <w:sz w:val="14"/>
                <w:szCs w:val="14"/>
                <w:b w:val="1"/>
                <w:bCs w:val="1"/>
                <w:color w:val="auto"/>
                <w:w w:val="93"/>
              </w:rPr>
              <w:t>Costs (Benefits) Incurred</w:t>
            </w:r>
          </w:p>
        </w:tc>
        <w:tc>
          <w:tcPr>
            <w:tcW w:w="2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center"/>
              <w:ind w:left="460"/>
              <w:spacing w:after="0" w:line="149" w:lineRule="exact"/>
              <w:rPr>
                <w:sz w:val="20"/>
                <w:szCs w:val="20"/>
                <w:color w:val="auto"/>
              </w:rPr>
            </w:pPr>
            <w:r>
              <w:rPr>
                <w:rFonts w:ascii="Arial" w:cs="Arial" w:eastAsia="Arial" w:hAnsi="Arial"/>
                <w:sz w:val="14"/>
                <w:szCs w:val="14"/>
                <w:b w:val="1"/>
                <w:bCs w:val="1"/>
                <w:color w:val="auto"/>
                <w:w w:val="97"/>
              </w:rPr>
              <w:t>During</w:t>
            </w: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5"/>
              </w:rPr>
              <w:t>Cumulative</w:t>
            </w:r>
          </w:p>
        </w:tc>
        <w:tc>
          <w:tcPr>
            <w:tcW w:w="160" w:type="dxa"/>
            <w:vAlign w:val="bottom"/>
          </w:tcPr>
          <w:p>
            <w:pPr>
              <w:spacing w:after="0"/>
              <w:rPr>
                <w:sz w:val="12"/>
                <w:szCs w:val="12"/>
                <w:color w:val="auto"/>
              </w:rPr>
            </w:pPr>
          </w:p>
        </w:tc>
        <w:tc>
          <w:tcPr>
            <w:tcW w:w="9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Estimated</w:t>
            </w:r>
          </w:p>
        </w:tc>
        <w:tc>
          <w:tcPr>
            <w:tcW w:w="140" w:type="dxa"/>
            <w:vAlign w:val="bottom"/>
          </w:tcPr>
          <w:p>
            <w:pPr>
              <w:spacing w:after="0"/>
              <w:rPr>
                <w:sz w:val="12"/>
                <w:szCs w:val="12"/>
                <w:color w:val="auto"/>
              </w:rPr>
            </w:pPr>
          </w:p>
        </w:tc>
        <w:tc>
          <w:tcPr>
            <w:tcW w:w="1120" w:type="dxa"/>
            <w:vAlign w:val="bottom"/>
            <w:vMerge w:val="restart"/>
          </w:tcPr>
          <w:p>
            <w:pPr>
              <w:jc w:val="center"/>
              <w:ind w:right="60"/>
              <w:spacing w:after="0"/>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68"/>
        </w:trPr>
        <w:tc>
          <w:tcPr>
            <w:tcW w:w="3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820" w:type="dxa"/>
            <w:vAlign w:val="bottom"/>
            <w:gridSpan w:val="4"/>
            <w:vMerge w:val="restart"/>
          </w:tcPr>
          <w:p>
            <w:pPr>
              <w:jc w:val="right"/>
              <w:ind w:right="174"/>
              <w:spacing w:after="0"/>
              <w:rPr>
                <w:sz w:val="20"/>
                <w:szCs w:val="20"/>
                <w:color w:val="auto"/>
              </w:rPr>
            </w:pPr>
            <w:r>
              <w:rPr>
                <w:rFonts w:ascii="Arial" w:cs="Arial" w:eastAsia="Arial" w:hAnsi="Arial"/>
                <w:sz w:val="14"/>
                <w:szCs w:val="14"/>
                <w:b w:val="1"/>
                <w:bCs w:val="1"/>
                <w:color w:val="auto"/>
              </w:rPr>
              <w:t>During Quarter Ended</w:t>
            </w:r>
          </w:p>
        </w:tc>
        <w:tc>
          <w:tcPr>
            <w:tcW w:w="1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760" w:type="dxa"/>
            <w:vAlign w:val="bottom"/>
            <w:gridSpan w:val="4"/>
            <w:vMerge w:val="restart"/>
          </w:tcPr>
          <w:p>
            <w:pPr>
              <w:jc w:val="center"/>
              <w:ind w:right="17"/>
              <w:spacing w:after="0"/>
              <w:rPr>
                <w:sz w:val="20"/>
                <w:szCs w:val="20"/>
                <w:color w:val="auto"/>
              </w:rPr>
            </w:pPr>
            <w:r>
              <w:rPr>
                <w:rFonts w:ascii="Arial" w:cs="Arial" w:eastAsia="Arial" w:hAnsi="Arial"/>
                <w:sz w:val="14"/>
                <w:szCs w:val="14"/>
                <w:b w:val="1"/>
                <w:bCs w:val="1"/>
                <w:color w:val="auto"/>
                <w:w w:val="94"/>
              </w:rPr>
              <w:t>Two Quarters Ended</w:t>
            </w:r>
          </w:p>
        </w:tc>
        <w:tc>
          <w:tcPr>
            <w:tcW w:w="120" w:type="dxa"/>
            <w:vAlign w:val="bottom"/>
            <w:vMerge w:val="restart"/>
          </w:tcPr>
          <w:p>
            <w:pPr>
              <w:spacing w:after="0"/>
              <w:rPr>
                <w:sz w:val="5"/>
                <w:szCs w:val="5"/>
                <w:color w:val="auto"/>
              </w:rPr>
            </w:pPr>
          </w:p>
        </w:tc>
        <w:tc>
          <w:tcPr>
            <w:tcW w:w="2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3440" w:type="dxa"/>
            <w:vAlign w:val="bottom"/>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760" w:type="dxa"/>
            <w:vAlign w:val="bottom"/>
            <w:tcBorders>
              <w:bottom w:val="single" w:sz="8" w:color="auto"/>
            </w:tcBorders>
            <w:gridSpan w:val="4"/>
            <w:vMerge w:val="continue"/>
          </w:tcPr>
          <w:p>
            <w:pPr>
              <w:spacing w:after="0"/>
              <w:rPr>
                <w:sz w:val="10"/>
                <w:szCs w:val="10"/>
                <w:color w:val="auto"/>
              </w:rPr>
            </w:pPr>
          </w:p>
        </w:tc>
        <w:tc>
          <w:tcPr>
            <w:tcW w:w="120" w:type="dxa"/>
            <w:vAlign w:val="bottom"/>
            <w:vMerge w:val="continue"/>
          </w:tcPr>
          <w:p>
            <w:pPr>
              <w:spacing w:after="0"/>
              <w:rPr>
                <w:sz w:val="10"/>
                <w:szCs w:val="10"/>
                <w:color w:val="auto"/>
              </w:rPr>
            </w:pPr>
          </w:p>
        </w:tc>
        <w:tc>
          <w:tcPr>
            <w:tcW w:w="1460" w:type="dxa"/>
            <w:vAlign w:val="bottom"/>
            <w:gridSpan w:val="3"/>
          </w:tcPr>
          <w:p>
            <w:pPr>
              <w:jc w:val="center"/>
              <w:ind w:right="100"/>
              <w:spacing w:after="0" w:line="125" w:lineRule="exact"/>
              <w:rPr>
                <w:sz w:val="20"/>
                <w:szCs w:val="20"/>
                <w:color w:val="auto"/>
              </w:rPr>
            </w:pPr>
            <w:r>
              <w:rPr>
                <w:rFonts w:ascii="Arial" w:cs="Arial" w:eastAsia="Arial" w:hAnsi="Arial"/>
                <w:sz w:val="14"/>
                <w:szCs w:val="14"/>
                <w:b w:val="1"/>
                <w:bCs w:val="1"/>
                <w:color w:val="auto"/>
                <w:w w:val="93"/>
              </w:rPr>
              <w:t>Costs Incurred</w:t>
            </w:r>
          </w:p>
        </w:tc>
        <w:tc>
          <w:tcPr>
            <w:tcW w:w="160" w:type="dxa"/>
            <w:vAlign w:val="bottom"/>
          </w:tcPr>
          <w:p>
            <w:pPr>
              <w:spacing w:after="0"/>
              <w:rPr>
                <w:sz w:val="10"/>
                <w:szCs w:val="10"/>
                <w:color w:val="auto"/>
              </w:rPr>
            </w:pPr>
          </w:p>
        </w:tc>
        <w:tc>
          <w:tcPr>
            <w:tcW w:w="980" w:type="dxa"/>
            <w:vAlign w:val="bottom"/>
            <w:gridSpan w:val="2"/>
          </w:tcPr>
          <w:p>
            <w:pPr>
              <w:jc w:val="center"/>
              <w:ind w:right="240"/>
              <w:spacing w:after="0" w:line="125" w:lineRule="exact"/>
              <w:rPr>
                <w:sz w:val="20"/>
                <w:szCs w:val="20"/>
                <w:color w:val="auto"/>
              </w:rPr>
            </w:pPr>
            <w:r>
              <w:rPr>
                <w:rFonts w:ascii="Arial" w:cs="Arial" w:eastAsia="Arial" w:hAnsi="Arial"/>
                <w:sz w:val="14"/>
                <w:szCs w:val="14"/>
                <w:b w:val="1"/>
                <w:bCs w:val="1"/>
                <w:color w:val="auto"/>
                <w:w w:val="96"/>
              </w:rPr>
              <w:t>Additional</w:t>
            </w:r>
          </w:p>
        </w:tc>
        <w:tc>
          <w:tcPr>
            <w:tcW w:w="140" w:type="dxa"/>
            <w:vAlign w:val="bottom"/>
          </w:tcPr>
          <w:p>
            <w:pPr>
              <w:spacing w:after="0"/>
              <w:rPr>
                <w:sz w:val="10"/>
                <w:szCs w:val="10"/>
                <w:color w:val="auto"/>
              </w:rPr>
            </w:pPr>
          </w:p>
        </w:tc>
        <w:tc>
          <w:tcPr>
            <w:tcW w:w="1120" w:type="dxa"/>
            <w:vAlign w:val="bottom"/>
          </w:tcPr>
          <w:p>
            <w:pPr>
              <w:jc w:val="center"/>
              <w:ind w:right="60"/>
              <w:spacing w:after="0" w:line="125" w:lineRule="exact"/>
              <w:rPr>
                <w:sz w:val="20"/>
                <w:szCs w:val="20"/>
                <w:color w:val="auto"/>
              </w:rPr>
            </w:pPr>
            <w:r>
              <w:rPr>
                <w:rFonts w:ascii="Arial" w:cs="Arial" w:eastAsia="Arial" w:hAnsi="Arial"/>
                <w:sz w:val="14"/>
                <w:szCs w:val="14"/>
                <w:b w:val="1"/>
                <w:bCs w:val="1"/>
                <w:color w:val="auto"/>
                <w:w w:val="93"/>
              </w:rPr>
              <w:t>Restructuring</w:t>
            </w:r>
          </w:p>
        </w:tc>
        <w:tc>
          <w:tcPr>
            <w:tcW w:w="0" w:type="dxa"/>
            <w:vAlign w:val="bottom"/>
          </w:tcPr>
          <w:p>
            <w:pPr>
              <w:spacing w:after="0"/>
              <w:rPr>
                <w:sz w:val="1"/>
                <w:szCs w:val="1"/>
                <w:color w:val="auto"/>
              </w:rPr>
            </w:pPr>
          </w:p>
        </w:tc>
      </w:tr>
      <w:tr>
        <w:trPr>
          <w:trHeight w:val="152"/>
        </w:trPr>
        <w:tc>
          <w:tcPr>
            <w:tcW w:w="3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w:t>
            </w:r>
          </w:p>
        </w:tc>
        <w:tc>
          <w:tcPr>
            <w:tcW w:w="108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1000" w:type="dxa"/>
            <w:vAlign w:val="bottom"/>
            <w:gridSpan w:val="3"/>
          </w:tcPr>
          <w:p>
            <w:pPr>
              <w:ind w:left="20"/>
              <w:spacing w:after="0" w:line="153" w:lineRule="exact"/>
              <w:rPr>
                <w:sz w:val="20"/>
                <w:szCs w:val="20"/>
                <w:color w:val="auto"/>
              </w:rPr>
            </w:pPr>
            <w:r>
              <w:rPr>
                <w:rFonts w:ascii="Arial" w:cs="Arial" w:eastAsia="Arial" w:hAnsi="Arial"/>
                <w:sz w:val="14"/>
                <w:szCs w:val="14"/>
                <w:b w:val="1"/>
                <w:bCs w:val="1"/>
                <w:color w:val="auto"/>
              </w:rPr>
              <w:t>December 26,</w:t>
            </w:r>
          </w:p>
        </w:tc>
        <w:tc>
          <w:tcPr>
            <w:tcW w:w="1020" w:type="dxa"/>
            <w:vAlign w:val="bottom"/>
            <w:gridSpan w:val="3"/>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280" w:type="dxa"/>
            <w:vAlign w:val="bottom"/>
          </w:tcPr>
          <w:p>
            <w:pPr>
              <w:spacing w:after="0"/>
              <w:rPr>
                <w:sz w:val="13"/>
                <w:szCs w:val="13"/>
                <w:color w:val="auto"/>
              </w:rPr>
            </w:pPr>
          </w:p>
        </w:tc>
        <w:tc>
          <w:tcPr>
            <w:tcW w:w="118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8"/>
              </w:rPr>
              <w:t>Through</w:t>
            </w:r>
          </w:p>
        </w:tc>
        <w:tc>
          <w:tcPr>
            <w:tcW w:w="160" w:type="dxa"/>
            <w:vAlign w:val="bottom"/>
          </w:tcPr>
          <w:p>
            <w:pPr>
              <w:spacing w:after="0"/>
              <w:rPr>
                <w:sz w:val="13"/>
                <w:szCs w:val="13"/>
                <w:color w:val="auto"/>
              </w:rPr>
            </w:pPr>
          </w:p>
        </w:tc>
        <w:tc>
          <w:tcPr>
            <w:tcW w:w="98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89"/>
              </w:rPr>
              <w:t>Costs to be</w:t>
            </w:r>
          </w:p>
        </w:tc>
        <w:tc>
          <w:tcPr>
            <w:tcW w:w="140" w:type="dxa"/>
            <w:vAlign w:val="bottom"/>
          </w:tcPr>
          <w:p>
            <w:pPr>
              <w:spacing w:after="0"/>
              <w:rPr>
                <w:sz w:val="13"/>
                <w:szCs w:val="13"/>
                <w:color w:val="auto"/>
              </w:rPr>
            </w:pPr>
          </w:p>
        </w:tc>
        <w:tc>
          <w:tcPr>
            <w:tcW w:w="1120" w:type="dxa"/>
            <w:vAlign w:val="bottom"/>
          </w:tcPr>
          <w:p>
            <w:pPr>
              <w:jc w:val="center"/>
              <w:ind w:right="60"/>
              <w:spacing w:after="0" w:line="153" w:lineRule="exact"/>
              <w:rPr>
                <w:sz w:val="20"/>
                <w:szCs w:val="20"/>
                <w:color w:val="auto"/>
              </w:rPr>
            </w:pPr>
            <w:r>
              <w:rPr>
                <w:rFonts w:ascii="Arial" w:cs="Arial" w:eastAsia="Arial" w:hAnsi="Arial"/>
                <w:sz w:val="14"/>
                <w:szCs w:val="14"/>
                <w:b w:val="1"/>
                <w:bCs w:val="1"/>
                <w:color w:val="auto"/>
                <w:w w:val="89"/>
              </w:rPr>
              <w:t>Costs Expected</w:t>
            </w:r>
          </w:p>
        </w:tc>
        <w:tc>
          <w:tcPr>
            <w:tcW w:w="0" w:type="dxa"/>
            <w:vAlign w:val="bottom"/>
          </w:tcPr>
          <w:p>
            <w:pPr>
              <w:spacing w:after="0"/>
              <w:rPr>
                <w:sz w:val="1"/>
                <w:szCs w:val="1"/>
                <w:color w:val="auto"/>
              </w:rPr>
            </w:pPr>
          </w:p>
        </w:tc>
      </w:tr>
      <w:tr>
        <w:trPr>
          <w:trHeight w:val="192"/>
        </w:trPr>
        <w:tc>
          <w:tcPr>
            <w:tcW w:w="3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40"/>
              <w:spacing w:after="0"/>
              <w:rPr>
                <w:sz w:val="20"/>
                <w:szCs w:val="20"/>
                <w:color w:val="auto"/>
              </w:rPr>
            </w:pPr>
            <w:r>
              <w:rPr>
                <w:rFonts w:ascii="Arial" w:cs="Arial" w:eastAsia="Arial" w:hAnsi="Arial"/>
                <w:sz w:val="14"/>
                <w:szCs w:val="14"/>
                <w:b w:val="1"/>
                <w:bCs w:val="1"/>
                <w:color w:val="auto"/>
              </w:rPr>
              <w:t>26, 2014</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1"/>
              </w:rPr>
              <w:t>December 26, 2014</w:t>
            </w: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9"/>
              </w:rPr>
              <w:t>Incurred</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96"/>
              </w:rPr>
              <w:t>to be Incurred</w:t>
            </w:r>
          </w:p>
        </w:tc>
        <w:tc>
          <w:tcPr>
            <w:tcW w:w="0" w:type="dxa"/>
            <w:vAlign w:val="bottom"/>
          </w:tcPr>
          <w:p>
            <w:pPr>
              <w:spacing w:after="0"/>
              <w:rPr>
                <w:sz w:val="1"/>
                <w:szCs w:val="1"/>
                <w:color w:val="auto"/>
              </w:rPr>
            </w:pPr>
          </w:p>
        </w:tc>
      </w:tr>
      <w:tr>
        <w:trPr>
          <w:trHeight w:val="250"/>
        </w:trPr>
        <w:tc>
          <w:tcPr>
            <w:tcW w:w="3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6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millions)</w:t>
            </w: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34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Severance and benefits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3440" w:type="dxa"/>
            <w:vAlign w:val="bottom"/>
          </w:tcPr>
          <w:p>
            <w:pPr>
              <w:ind w:left="720"/>
              <w:spacing w:after="0"/>
              <w:rPr>
                <w:sz w:val="20"/>
                <w:szCs w:val="20"/>
                <w:color w:val="auto"/>
              </w:rPr>
            </w:pPr>
            <w:r>
              <w:rPr>
                <w:rFonts w:ascii="Arial" w:cs="Arial" w:eastAsia="Arial" w:hAnsi="Arial"/>
                <w:sz w:val="18"/>
                <w:szCs w:val="18"/>
                <w:color w:val="auto"/>
              </w:rPr>
              <w:t>Facilities and other</w:t>
            </w:r>
          </w:p>
        </w:tc>
        <w:tc>
          <w:tcPr>
            <w:tcW w:w="160" w:type="dxa"/>
            <w:vAlign w:val="bottom"/>
          </w:tcPr>
          <w:p>
            <w:pPr>
              <w:spacing w:after="0"/>
              <w:rPr>
                <w:sz w:val="21"/>
                <w:szCs w:val="21"/>
                <w:color w:val="auto"/>
              </w:rPr>
            </w:pPr>
          </w:p>
        </w:tc>
        <w:tc>
          <w:tcPr>
            <w:tcW w:w="760" w:type="dxa"/>
            <w:vAlign w:val="bottom"/>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tcPr>
          <w:p>
            <w:pPr>
              <w:jc w:val="right"/>
              <w:ind w:right="17"/>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80" w:type="dxa"/>
            <w:vAlign w:val="bottom"/>
          </w:tcPr>
          <w:p>
            <w:pPr>
              <w:jc w:val="right"/>
              <w:ind w:right="4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7"/>
        </w:trPr>
        <w:tc>
          <w:tcPr>
            <w:tcW w:w="3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44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for Fiscal 2013-2014 Plan</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2"/>
                <w:szCs w:val="22"/>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7.1</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ind w:right="2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During the first two quarters of fiscal 2015, we wrote off certain accrued outplacement service benefits under the Fiscal 2013-2014 Plan. Facilities and other charges in the first two quarters of fiscal 2015 included obligations under a non-cancelable lease for facilities that we ceased to use at our Santa Clara, California headquarters and certain international field offices. We substantially completed the restructuring activities under the Fiscal 2013-2014 Plan in fiscal 2014. As of December 26, 2014, the remaining additional costs to be incurred under the Fiscal 2013-2014 Plan primarily related to our facility charges through the applicable remaining lease term.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Liabilities</w:t>
      </w:r>
    </w:p>
    <w:p>
      <w:pPr>
        <w:spacing w:after="0" w:line="175" w:lineRule="exact"/>
        <w:rPr>
          <w:sz w:val="20"/>
          <w:szCs w:val="20"/>
          <w:color w:val="auto"/>
        </w:rPr>
      </w:pPr>
    </w:p>
    <w:p>
      <w:pPr>
        <w:ind w:right="80" w:firstLine="432"/>
        <w:spacing w:after="0" w:line="264" w:lineRule="auto"/>
        <w:rPr>
          <w:sz w:val="20"/>
          <w:szCs w:val="20"/>
          <w:color w:val="auto"/>
        </w:rPr>
      </w:pPr>
      <w:r>
        <w:rPr>
          <w:rFonts w:ascii="Arial" w:cs="Arial" w:eastAsia="Arial" w:hAnsi="Arial"/>
          <w:sz w:val="18"/>
          <w:szCs w:val="18"/>
          <w:color w:val="auto"/>
        </w:rPr>
        <w:t>Our restructuring liabilities consisted primarily of accrued severance and benefits as well as facilities restructuring reserves primarily related to our office leases in California. The information in the following table summarizes the changes in our restructuring liabilities during the first two quarters of fiscal 2015: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Severance and</w:t>
            </w:r>
          </w:p>
        </w:tc>
        <w:tc>
          <w:tcPr>
            <w:tcW w:w="200" w:type="dxa"/>
            <w:vAlign w:val="bottom"/>
          </w:tcPr>
          <w:p>
            <w:pPr>
              <w:spacing w:after="0"/>
              <w:rPr>
                <w:sz w:val="14"/>
                <w:szCs w:val="14"/>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6"/>
              </w:rPr>
              <w:t>Facilities and</w:t>
            </w:r>
          </w:p>
        </w:tc>
        <w:tc>
          <w:tcPr>
            <w:tcW w:w="320" w:type="dxa"/>
            <w:vAlign w:val="bottom"/>
          </w:tcPr>
          <w:p>
            <w:pPr>
              <w:spacing w:after="0"/>
              <w:rPr>
                <w:sz w:val="14"/>
                <w:szCs w:val="14"/>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90"/>
              </w:rPr>
              <w:t>Benefits</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rPr>
              <w:t>Other</w:t>
            </w: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6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4"/>
              </w:rPr>
              <w:t>(In millions)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Restructuring liabilities as of June 27, 2014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Provision and adjustments</w:t>
            </w:r>
          </w:p>
        </w:tc>
        <w:tc>
          <w:tcPr>
            <w:tcW w:w="1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ind w:right="18"/>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payments</w:t>
            </w:r>
          </w:p>
        </w:tc>
        <w:tc>
          <w:tcPr>
            <w:tcW w:w="18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97"/>
        </w:trPr>
        <w:tc>
          <w:tcPr>
            <w:tcW w:w="69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Restructuring liabilities as of December 26, 2014</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4.1</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37"/>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portion of restructuring liabilities as of December 26, 2014</w:t>
            </w:r>
          </w:p>
        </w:tc>
        <w:tc>
          <w:tcPr>
            <w:tcW w:w="18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Long-term portion included in other long-term liabilities as of December 26, 2014</w:t>
            </w: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Divestiture</w:t>
      </w:r>
    </w:p>
    <w:p>
      <w:pPr>
        <w:spacing w:after="0" w:line="175" w:lineRule="exact"/>
        <w:rPr>
          <w:sz w:val="20"/>
          <w:szCs w:val="20"/>
          <w:color w:val="auto"/>
        </w:rPr>
      </w:pPr>
    </w:p>
    <w:p>
      <w:pPr>
        <w:ind w:right="60" w:firstLine="432"/>
        <w:spacing w:after="0" w:line="254" w:lineRule="auto"/>
        <w:rPr>
          <w:sz w:val="20"/>
          <w:szCs w:val="20"/>
          <w:color w:val="auto"/>
        </w:rPr>
      </w:pPr>
      <w:r>
        <w:rPr>
          <w:rFonts w:ascii="Arial" w:cs="Arial" w:eastAsia="Arial" w:hAnsi="Arial"/>
          <w:sz w:val="18"/>
          <w:szCs w:val="18"/>
          <w:color w:val="auto"/>
        </w:rPr>
        <w:t>In March 2011, our board of directors approved a plan for the sale of our WiMAX business. On September 2, 2011, we sold to EION Networks, Inc. (“EION”) our WiMAX business and related assets consisting of certain technology, inventory and equipment. As consideration for the sale of assets, EION agreed to pay us $0.4 million in cash and up to $2.8 million in additional cash payments contingent upon specific factors related to future WiMAX business performance. As of December 26, 2014, we received $0.1 million of such contingent payments and do not expect any further payments from EION. In addition, EION is entitled to receive cash payments up to $2.0 million upon collection of certain WiMAX accounts receivable. As of September 26, 2014, we have paid $1.6 million to EION and reduced $0.4 million of our liability to EION primarily resulting from the write-down of the corresponding WiMAX accounts receivable. Therefore, the accrued liabilities due to EION related to the disposition of the WiMAX business have been zero since September 26, 2014.</w:t>
      </w:r>
    </w:p>
    <w:p>
      <w:pPr>
        <w:spacing w:after="0" w:line="138" w:lineRule="exact"/>
        <w:rPr>
          <w:sz w:val="20"/>
          <w:szCs w:val="20"/>
          <w:color w:val="auto"/>
        </w:rPr>
      </w:pPr>
    </w:p>
    <w:p>
      <w:pPr>
        <w:ind w:right="40" w:firstLine="432"/>
        <w:spacing w:after="0" w:line="259" w:lineRule="auto"/>
        <w:rPr>
          <w:sz w:val="20"/>
          <w:szCs w:val="20"/>
          <w:color w:val="auto"/>
        </w:rPr>
      </w:pPr>
      <w:r>
        <w:rPr>
          <w:rFonts w:ascii="Arial" w:cs="Arial" w:eastAsia="Arial" w:hAnsi="Arial"/>
          <w:sz w:val="18"/>
          <w:szCs w:val="18"/>
          <w:color w:val="auto"/>
        </w:rPr>
        <w:t>In the third quarter of fiscal 2011, we began accounting for the WiMAX business as a discontinued operation and, therefore, the operating results of our WiMAX business were included in discontinued operations in our condensed consolidated financial statements for all periods presented. The income recognized in the first two quarters of fiscal 2015 was primarily due to a gain on disposition of WiMAX resulting from a write-off of accrued liabilities due to EION.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46" w:right="239" w:bottom="1440" w:gutter="0" w:footer="0" w:header="0"/>
        </w:sectPr>
      </w:pPr>
    </w:p>
    <w:bookmarkStart w:id="13" w:name="page14"/>
    <w:bookmarkEnd w:id="13"/>
    <w:p>
      <w:pPr>
        <w:ind w:left="440"/>
        <w:spacing w:after="0"/>
        <w:rPr>
          <w:sz w:val="20"/>
          <w:szCs w:val="20"/>
          <w:color w:val="auto"/>
        </w:rPr>
      </w:pPr>
      <w:r>
        <w:rPr>
          <w:rFonts w:ascii="Arial" w:cs="Arial" w:eastAsia="Arial" w:hAnsi="Arial"/>
          <w:sz w:val="18"/>
          <w:szCs w:val="18"/>
          <w:color w:val="auto"/>
        </w:rPr>
        <w:t>Summary results of operations for the WiMAX business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34"/>
              <w:spacing w:after="0"/>
              <w:rPr>
                <w:sz w:val="20"/>
                <w:szCs w:val="20"/>
                <w:color w:val="auto"/>
              </w:rPr>
            </w:pPr>
            <w:r>
              <w:rPr>
                <w:rFonts w:ascii="Arial" w:cs="Arial" w:eastAsia="Arial" w:hAnsi="Arial"/>
                <w:sz w:val="14"/>
                <w:szCs w:val="14"/>
                <w:b w:val="1"/>
                <w:bCs w:val="1"/>
                <w:color w:val="auto"/>
              </w:rPr>
              <w:t>Two Quarters Ended</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26,</w:t>
            </w:r>
          </w:p>
        </w:tc>
        <w:tc>
          <w:tcPr>
            <w:tcW w:w="1460" w:type="dxa"/>
            <w:vAlign w:val="bottom"/>
            <w:gridSpan w:val="3"/>
          </w:tcPr>
          <w:p>
            <w:pPr>
              <w:ind w:left="240"/>
              <w:spacing w:after="0" w:line="153" w:lineRule="exact"/>
              <w:rPr>
                <w:sz w:val="20"/>
                <w:szCs w:val="20"/>
                <w:color w:val="auto"/>
              </w:rPr>
            </w:pPr>
            <w:r>
              <w:rPr>
                <w:rFonts w:ascii="Arial" w:cs="Arial" w:eastAsia="Arial" w:hAnsi="Arial"/>
                <w:sz w:val="14"/>
                <w:szCs w:val="14"/>
                <w:b w:val="1"/>
                <w:bCs w:val="1"/>
                <w:color w:val="auto"/>
              </w:rPr>
              <w:t>December 27,</w:t>
            </w:r>
          </w:p>
        </w:tc>
        <w:tc>
          <w:tcPr>
            <w:tcW w:w="148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December 26, 2014</w:t>
            </w: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8"/>
              </w:rPr>
              <w:t>December 27, 2013</w:t>
            </w: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vMerge w:val="continue"/>
          </w:tcPr>
          <w:p>
            <w:pPr>
              <w:spacing w:after="0"/>
              <w:rPr>
                <w:sz w:val="16"/>
                <w:szCs w:val="16"/>
                <w:color w:val="auto"/>
              </w:rPr>
            </w:pPr>
          </w:p>
        </w:tc>
        <w:tc>
          <w:tcPr>
            <w:tcW w:w="136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560" w:type="dxa"/>
            <w:vAlign w:val="bottom"/>
            <w:gridSpan w:val="3"/>
          </w:tcPr>
          <w:p>
            <w:pPr>
              <w:jc w:val="right"/>
              <w:ind w:right="154"/>
              <w:spacing w:after="0"/>
              <w:rPr>
                <w:sz w:val="20"/>
                <w:szCs w:val="20"/>
                <w:color w:val="auto"/>
              </w:rPr>
            </w:pPr>
            <w:r>
              <w:rPr>
                <w:rFonts w:ascii="Arial" w:cs="Arial" w:eastAsia="Arial" w:hAnsi="Arial"/>
                <w:sz w:val="14"/>
                <w:szCs w:val="14"/>
                <w:b w:val="1"/>
                <w:bCs w:val="1"/>
                <w:color w:val="auto"/>
              </w:rPr>
              <w:t>(In millions)</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6"/>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Income (loss) from operations related to WiMAX</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460" w:type="dxa"/>
            <w:vAlign w:val="bottom"/>
            <w:tcBorders>
              <w:top w:val="single" w:sz="8" w:color="auto"/>
            </w:tcBorders>
          </w:tcPr>
          <w:p>
            <w:pPr>
              <w:jc w:val="right"/>
              <w:ind w:right="274"/>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0"/>
                <w:szCs w:val="20"/>
                <w:color w:val="auto"/>
              </w:rPr>
            </w:pPr>
          </w:p>
        </w:tc>
        <w:tc>
          <w:tcPr>
            <w:tcW w:w="560" w:type="dxa"/>
            <w:vAlign w:val="bottom"/>
            <w:tcBorders>
              <w:top w:val="single" w:sz="8" w:color="auto"/>
            </w:tcBorders>
          </w:tcPr>
          <w:p>
            <w:pPr>
              <w:jc w:val="right"/>
              <w:ind w:right="354"/>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20" w:type="dxa"/>
            <w:vAlign w:val="bottom"/>
            <w:tcBorders>
              <w:top w:val="single" w:sz="8" w:color="auto"/>
            </w:tcBorders>
          </w:tcPr>
          <w:p>
            <w:pPr>
              <w:jc w:val="right"/>
              <w:ind w:right="614"/>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disposal</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18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1"/>
                <w:szCs w:val="21"/>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20" w:type="dxa"/>
            <w:vAlign w:val="bottom"/>
          </w:tcPr>
          <w:p>
            <w:pPr>
              <w:spacing w:after="0"/>
              <w:rPr>
                <w:sz w:val="21"/>
                <w:szCs w:val="21"/>
                <w:color w:val="auto"/>
              </w:rPr>
            </w:pPr>
          </w:p>
        </w:tc>
        <w:tc>
          <w:tcPr>
            <w:tcW w:w="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62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Income (loss) from discontinued operations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74"/>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4"/>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2007 Stock Equity Plan and Activities</w:t>
      </w:r>
    </w:p>
    <w:p>
      <w:pPr>
        <w:spacing w:after="0" w:line="175" w:lineRule="exact"/>
        <w:rPr>
          <w:sz w:val="20"/>
          <w:szCs w:val="20"/>
          <w:color w:val="auto"/>
        </w:rPr>
      </w:pPr>
    </w:p>
    <w:p>
      <w:pPr>
        <w:ind w:right="80" w:firstLine="432"/>
        <w:spacing w:after="0" w:line="255" w:lineRule="auto"/>
        <w:rPr>
          <w:sz w:val="20"/>
          <w:szCs w:val="20"/>
          <w:color w:val="auto"/>
        </w:rPr>
      </w:pPr>
      <w:r>
        <w:rPr>
          <w:rFonts w:ascii="Arial" w:cs="Arial" w:eastAsia="Arial" w:hAnsi="Arial"/>
          <w:sz w:val="18"/>
          <w:szCs w:val="18"/>
          <w:color w:val="auto"/>
        </w:rPr>
        <w:t>As of December 26, 2014, we had one stock incentive plan for our employees and nonemployee directors, the 2007 Stock Equity Plan, as amended and restated effective November 17, 2011 (the “2007 Stock Plan”). The 2007 Stock Plan provides for accelerated vesting of certain share-based awards if there is a change in control of the Company. The 2007 Stock Plan also provides for the issuance of share-based awards in the form of stock options, stock appreciation rights, restricted stock awards and units, and performance share awards and units. We have various incentive programs under the 2007 Stock Plan, including annual and long-term incentive programs (“AIP” or “LTIP”), a global equity program (“GEP”) and product development incentive programs (“PDIP”).</w:t>
      </w:r>
    </w:p>
    <w:p>
      <w:pPr>
        <w:spacing w:after="0" w:line="139" w:lineRule="exact"/>
        <w:rPr>
          <w:sz w:val="20"/>
          <w:szCs w:val="20"/>
          <w:color w:val="auto"/>
        </w:rPr>
      </w:pPr>
    </w:p>
    <w:p>
      <w:pPr>
        <w:ind w:right="80" w:firstLine="432"/>
        <w:spacing w:after="0" w:line="276" w:lineRule="auto"/>
        <w:rPr>
          <w:sz w:val="20"/>
          <w:szCs w:val="20"/>
          <w:color w:val="auto"/>
        </w:rPr>
      </w:pPr>
      <w:r>
        <w:rPr>
          <w:rFonts w:ascii="Arial" w:cs="Arial" w:eastAsia="Arial" w:hAnsi="Arial"/>
          <w:sz w:val="17"/>
          <w:szCs w:val="17"/>
          <w:color w:val="auto"/>
        </w:rPr>
        <w:t>Under the 2007 Stock Plan, option exercise prices are equal to the fair market value on the date the options are granted using our closing stock price. Options may be exercised for a period set at the time of grant, which is generally seven years after the date of grant. Options generally vest in installments on one of three vesting schedules: (1) 50% one year from the grant date and 25% each year thereafter over a three-year period from the date of grant; (2) one-third annually over a three-year period from the date of grant; or (3) one-fourth annually over a four-year period from date of grant. Stock options are issued to directors annually and generally vest on the day before the annual stockholders’ meeting.</w:t>
      </w:r>
    </w:p>
    <w:p>
      <w:pPr>
        <w:spacing w:after="0" w:line="119" w:lineRule="exact"/>
        <w:rPr>
          <w:sz w:val="20"/>
          <w:szCs w:val="20"/>
          <w:color w:val="auto"/>
        </w:rPr>
      </w:pPr>
    </w:p>
    <w:p>
      <w:pPr>
        <w:ind w:right="20" w:firstLine="432"/>
        <w:spacing w:after="0" w:line="312" w:lineRule="auto"/>
        <w:rPr>
          <w:sz w:val="20"/>
          <w:szCs w:val="20"/>
          <w:color w:val="auto"/>
        </w:rPr>
      </w:pPr>
      <w:r>
        <w:rPr>
          <w:rFonts w:ascii="Arial" w:cs="Arial" w:eastAsia="Arial" w:hAnsi="Arial"/>
          <w:sz w:val="16"/>
          <w:szCs w:val="16"/>
          <w:color w:val="auto"/>
        </w:rPr>
        <w:t>Restricted stock is not transferable until vested and the restrictions lapse upon the achievement of continued employment or service over a specified time period. Restricted stock issued to employees generally vests either one-third annually over a three-year period from the date of grant or in full three years after the grant date. Restricted stock is issued to directors annually and generally vests on the day before the annual stockholders’ meeting.</w:t>
      </w:r>
    </w:p>
    <w:p>
      <w:pPr>
        <w:spacing w:after="0" w:line="93" w:lineRule="exact"/>
        <w:rPr>
          <w:sz w:val="20"/>
          <w:szCs w:val="20"/>
          <w:color w:val="auto"/>
        </w:rPr>
      </w:pPr>
    </w:p>
    <w:p>
      <w:pPr>
        <w:jc w:val="both"/>
        <w:ind w:right="320" w:firstLine="432"/>
        <w:spacing w:after="0" w:line="259" w:lineRule="auto"/>
        <w:rPr>
          <w:sz w:val="20"/>
          <w:szCs w:val="20"/>
          <w:color w:val="auto"/>
        </w:rPr>
      </w:pPr>
      <w:r>
        <w:rPr>
          <w:rFonts w:ascii="Arial" w:cs="Arial" w:eastAsia="Arial" w:hAnsi="Arial"/>
          <w:sz w:val="18"/>
          <w:szCs w:val="18"/>
          <w:color w:val="auto"/>
        </w:rPr>
        <w:t>Vesting of performance shares under our AIP, LTIP or GEP is subject to financial performance criteria including revenue, operating income, or cash flow targets for the periods as defined in the programs and continued employment through the end of the applicable period. Performance shares under our PDIPs are issued to employees related to certain new product development projects and vest upon achievement of the product development milestones as defined in the programs.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6"/>
          <w:szCs w:val="16"/>
          <w:color w:val="auto"/>
        </w:rPr>
        <w:t>During the first two quarters of fiscal 2015, we granted options to purchase 216,787 shares of our common stock to employees under our 2007 Stock</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157"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Upon the exercise of stock options, vesting of restricted stock awards and units, or vesting of performance share awards and units, we issue new shares of our common stock to our employees. All awards that are canceled prior to vesting or expire unexercised are returned to the approved pool of reserved shares under the 2007 Stock Plan and made available for future grants. Shares of our common stock remaining available for future issuance under the 2007 Stock Plan totaled 4,152,316 as of December 26, 2014.</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746" w:right="2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Share-Based Compensation</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Total compensation expense for share-based awards included in our condensed consolidated statements of operations for the second quarter of fiscal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and 2014 was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94"/>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56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180" w:type="dxa"/>
            <w:vAlign w:val="bottom"/>
          </w:tcPr>
          <w:p>
            <w:pPr>
              <w:jc w:val="right"/>
              <w:ind w:right="194"/>
              <w:spacing w:after="0" w:line="153" w:lineRule="exact"/>
              <w:rPr>
                <w:sz w:val="20"/>
                <w:szCs w:val="20"/>
                <w:color w:val="auto"/>
              </w:rPr>
            </w:pPr>
            <w:r>
              <w:rPr>
                <w:rFonts w:ascii="Arial" w:cs="Arial" w:eastAsia="Arial" w:hAnsi="Arial"/>
                <w:sz w:val="14"/>
                <w:szCs w:val="14"/>
                <w:b w:val="1"/>
                <w:bCs w:val="1"/>
                <w:color w:val="auto"/>
                <w:w w:val="96"/>
              </w:rPr>
              <w:t>December 27,</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gridSpan w:val="4"/>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02"/>
        </w:trPr>
        <w:tc>
          <w:tcPr>
            <w:tcW w:w="562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1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auto"/>
            </w:tcBorders>
            <w:shd w:val="clear" w:color="auto" w:fill="CCEEFF"/>
          </w:tcPr>
          <w:p>
            <w:pPr>
              <w:spacing w:after="0"/>
              <w:rPr>
                <w:sz w:val="4"/>
                <w:szCs w:val="4"/>
                <w:color w:val="auto"/>
              </w:rPr>
            </w:pPr>
          </w:p>
        </w:tc>
        <w:tc>
          <w:tcPr>
            <w:tcW w:w="180" w:type="dxa"/>
            <w:vAlign w:val="bottom"/>
            <w:tcBorders>
              <w:top w:val="single" w:sz="8" w:color="auto"/>
            </w:tcBorders>
            <w:shd w:val="clear" w:color="auto" w:fill="CCEEFF"/>
          </w:tcPr>
          <w:p>
            <w:pPr>
              <w:spacing w:after="0"/>
              <w:rPr>
                <w:sz w:val="4"/>
                <w:szCs w:val="4"/>
                <w:color w:val="auto"/>
              </w:rPr>
            </w:pPr>
          </w:p>
        </w:tc>
        <w:tc>
          <w:tcPr>
            <w:tcW w:w="38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20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Cost of revenues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Selling and administrative</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38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558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562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620" w:type="dxa"/>
            <w:vAlign w:val="bottom"/>
            <w:gridSpan w:val="4"/>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3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5620" w:type="dxa"/>
            <w:vAlign w:val="bottom"/>
            <w:gridSpan w:val="4"/>
          </w:tcPr>
          <w:p>
            <w:pPr>
              <w:ind w:left="40"/>
              <w:spacing w:after="0"/>
              <w:rPr>
                <w:sz w:val="20"/>
                <w:szCs w:val="20"/>
                <w:color w:val="auto"/>
              </w:rPr>
            </w:pPr>
            <w:r>
              <w:rPr>
                <w:rFonts w:ascii="Arial" w:cs="Arial" w:eastAsia="Arial" w:hAnsi="Arial"/>
                <w:sz w:val="18"/>
                <w:szCs w:val="18"/>
                <w:color w:val="auto"/>
              </w:rPr>
              <w:t>Restricted stock awards and units</w:t>
            </w:r>
          </w:p>
        </w:tc>
        <w:tc>
          <w:tcPr>
            <w:tcW w:w="180" w:type="dxa"/>
            <w:vAlign w:val="bottom"/>
          </w:tcPr>
          <w:p>
            <w:pPr>
              <w:spacing w:after="0"/>
              <w:rPr>
                <w:sz w:val="21"/>
                <w:szCs w:val="21"/>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Performance shares</w:t>
            </w:r>
          </w:p>
        </w:tc>
        <w:tc>
          <w:tcPr>
            <w:tcW w:w="18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5580" w:type="dxa"/>
            <w:vAlign w:val="bottom"/>
            <w:gridSpan w:val="3"/>
          </w:tcPr>
          <w:p>
            <w:pPr>
              <w:ind w:left="340"/>
              <w:spacing w:after="0"/>
              <w:rPr>
                <w:sz w:val="20"/>
                <w:szCs w:val="20"/>
                <w:color w:val="auto"/>
              </w:rPr>
            </w:pPr>
            <w:r>
              <w:rPr>
                <w:rFonts w:ascii="Arial" w:cs="Arial" w:eastAsia="Arial" w:hAnsi="Arial"/>
                <w:sz w:val="18"/>
                <w:szCs w:val="18"/>
                <w:color w:val="auto"/>
              </w:rPr>
              <w:t>Total share-based compensation expense</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firstLine="405"/>
        <w:spacing w:after="0" w:line="277" w:lineRule="auto"/>
        <w:rPr>
          <w:sz w:val="20"/>
          <w:szCs w:val="20"/>
          <w:color w:val="auto"/>
        </w:rPr>
      </w:pPr>
      <w:r>
        <w:rPr>
          <w:rFonts w:ascii="Arial" w:cs="Arial" w:eastAsia="Arial" w:hAnsi="Arial"/>
          <w:sz w:val="18"/>
          <w:szCs w:val="18"/>
          <w:color w:val="auto"/>
        </w:rPr>
        <w:t>As of December 26, 2014, there was $1.7 million of total unrecognized compensation expense related to nonvested share-based awards granted under our 2007 Stock Plan. This expense is expected to be recognized over a weighted average period of 1.48 years.</w:t>
      </w:r>
    </w:p>
    <w:p>
      <w:pPr>
        <w:spacing w:after="0" w:line="170" w:lineRule="exact"/>
        <w:rPr>
          <w:sz w:val="20"/>
          <w:szCs w:val="20"/>
          <w:color w:val="auto"/>
        </w:rPr>
      </w:pPr>
    </w:p>
    <w:p>
      <w:pPr>
        <w:ind w:right="480" w:firstLine="405"/>
        <w:spacing w:after="0" w:line="277" w:lineRule="auto"/>
        <w:rPr>
          <w:sz w:val="20"/>
          <w:szCs w:val="20"/>
          <w:color w:val="auto"/>
        </w:rPr>
      </w:pPr>
      <w:r>
        <w:rPr>
          <w:rFonts w:ascii="Arial" w:cs="Arial" w:eastAsia="Arial" w:hAnsi="Arial"/>
          <w:sz w:val="18"/>
          <w:szCs w:val="18"/>
          <w:color w:val="auto"/>
        </w:rPr>
        <w:t>The fair value of each option grant under our 2007 Stock Plan was estimated using the Black-Scholes option pricing model on the date of grant. A summary of the significant weighted average assumptions we used in the Black-Scholes valuation model is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2880" w:type="dxa"/>
            <w:vAlign w:val="bottom"/>
            <w:tcBorders>
              <w:bottom w:val="single" w:sz="8" w:color="auto"/>
            </w:tcBorders>
            <w:gridSpan w:val="3"/>
          </w:tcPr>
          <w:p>
            <w:pPr>
              <w:ind w:left="96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2980" w:type="dxa"/>
            <w:vAlign w:val="bottom"/>
            <w:tcBorders>
              <w:bottom w:val="single" w:sz="8" w:color="auto"/>
            </w:tcBorders>
            <w:gridSpan w:val="3"/>
          </w:tcPr>
          <w:p>
            <w:pPr>
              <w:jc w:val="right"/>
              <w:ind w:right="735"/>
              <w:spacing w:after="0"/>
              <w:rPr>
                <w:sz w:val="20"/>
                <w:szCs w:val="20"/>
                <w:color w:val="auto"/>
              </w:rPr>
            </w:pPr>
            <w:r>
              <w:rPr>
                <w:rFonts w:ascii="Arial" w:cs="Arial" w:eastAsia="Arial" w:hAnsi="Arial"/>
                <w:sz w:val="14"/>
                <w:szCs w:val="14"/>
                <w:b w:val="1"/>
                <w:bCs w:val="1"/>
                <w:color w:val="auto"/>
              </w:rPr>
              <w:t>Two Quarters Ended</w:t>
            </w:r>
          </w:p>
        </w:tc>
      </w:tr>
      <w:tr>
        <w:trPr>
          <w:trHeight w:val="152"/>
        </w:trPr>
        <w:tc>
          <w:tcPr>
            <w:tcW w:w="5460" w:type="dxa"/>
            <w:vAlign w:val="bottom"/>
          </w:tcPr>
          <w:p>
            <w:pPr>
              <w:spacing w:after="0"/>
              <w:rPr>
                <w:sz w:val="13"/>
                <w:szCs w:val="13"/>
                <w:color w:val="auto"/>
              </w:rPr>
            </w:pPr>
          </w:p>
        </w:tc>
        <w:tc>
          <w:tcPr>
            <w:tcW w:w="1440" w:type="dxa"/>
            <w:vAlign w:val="bottom"/>
            <w:gridSpan w:val="2"/>
          </w:tcPr>
          <w:p>
            <w:pPr>
              <w:ind w:left="220"/>
              <w:spacing w:after="0" w:line="153" w:lineRule="exact"/>
              <w:rPr>
                <w:sz w:val="20"/>
                <w:szCs w:val="20"/>
                <w:color w:val="auto"/>
              </w:rPr>
            </w:pPr>
            <w:r>
              <w:rPr>
                <w:rFonts w:ascii="Arial" w:cs="Arial" w:eastAsia="Arial" w:hAnsi="Arial"/>
                <w:sz w:val="14"/>
                <w:szCs w:val="14"/>
                <w:b w:val="1"/>
                <w:bCs w:val="1"/>
                <w:color w:val="auto"/>
              </w:rPr>
              <w:t>December 26,</w:t>
            </w:r>
          </w:p>
        </w:tc>
        <w:tc>
          <w:tcPr>
            <w:tcW w:w="15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December 27,</w:t>
            </w:r>
          </w:p>
        </w:tc>
        <w:tc>
          <w:tcPr>
            <w:tcW w:w="1540" w:type="dxa"/>
            <w:vAlign w:val="bottom"/>
            <w:gridSpan w:val="2"/>
          </w:tcPr>
          <w:p>
            <w:pPr>
              <w:ind w:left="280"/>
              <w:spacing w:after="0" w:line="153" w:lineRule="exact"/>
              <w:rPr>
                <w:sz w:val="20"/>
                <w:szCs w:val="20"/>
                <w:color w:val="auto"/>
              </w:rPr>
            </w:pPr>
            <w:r>
              <w:rPr>
                <w:rFonts w:ascii="Arial" w:cs="Arial" w:eastAsia="Arial" w:hAnsi="Arial"/>
                <w:sz w:val="14"/>
                <w:szCs w:val="14"/>
                <w:b w:val="1"/>
                <w:bCs w:val="1"/>
                <w:color w:val="auto"/>
              </w:rPr>
              <w:t>December 26,</w:t>
            </w:r>
          </w:p>
        </w:tc>
        <w:tc>
          <w:tcPr>
            <w:tcW w:w="1440" w:type="dxa"/>
            <w:vAlign w:val="bottom"/>
          </w:tcPr>
          <w:p>
            <w:pPr>
              <w:jc w:val="right"/>
              <w:ind w:right="235"/>
              <w:spacing w:after="0" w:line="153" w:lineRule="exact"/>
              <w:rPr>
                <w:sz w:val="20"/>
                <w:szCs w:val="20"/>
                <w:color w:val="auto"/>
              </w:rPr>
            </w:pPr>
            <w:r>
              <w:rPr>
                <w:rFonts w:ascii="Arial" w:cs="Arial" w:eastAsia="Arial" w:hAnsi="Arial"/>
                <w:sz w:val="14"/>
                <w:szCs w:val="14"/>
                <w:b w:val="1"/>
                <w:bCs w:val="1"/>
                <w:color w:val="auto"/>
              </w:rPr>
              <w:t>December 27,</w:t>
            </w:r>
          </w:p>
        </w:tc>
      </w:tr>
      <w:tr>
        <w:trPr>
          <w:trHeight w:val="192"/>
        </w:trPr>
        <w:tc>
          <w:tcPr>
            <w:tcW w:w="5460" w:type="dxa"/>
            <w:vAlign w:val="bottom"/>
            <w:tcBorders>
              <w:bottom w:val="single" w:sz="8" w:color="CCEEFF"/>
            </w:tcBorders>
          </w:tcPr>
          <w:p>
            <w:pPr>
              <w:spacing w:after="0"/>
              <w:rPr>
                <w:sz w:val="16"/>
                <w:szCs w:val="16"/>
                <w:color w:val="auto"/>
              </w:rPr>
            </w:pPr>
          </w:p>
        </w:tc>
        <w:tc>
          <w:tcPr>
            <w:tcW w:w="13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2013</w:t>
            </w: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dividends</w:t>
            </w: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1440" w:type="dxa"/>
            <w:vAlign w:val="bottom"/>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54.3%</w:t>
            </w:r>
          </w:p>
        </w:tc>
      </w:tr>
      <w:tr>
        <w:trPr>
          <w:trHeight w:val="27"/>
        </w:trPr>
        <w:tc>
          <w:tcPr>
            <w:tcW w:w="5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440" w:type="dxa"/>
            <w:vAlign w:val="bottom"/>
            <w:tcBorders>
              <w:bottom w:val="single" w:sz="8" w:color="CCEEFF"/>
            </w:tcBorders>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Expected term (years)</w:t>
            </w:r>
          </w:p>
        </w:tc>
        <w:tc>
          <w:tcPr>
            <w:tcW w:w="1440" w:type="dxa"/>
            <w:vAlign w:val="bottom"/>
            <w:gridSpan w:val="2"/>
          </w:tcPr>
          <w:p>
            <w:pPr>
              <w:ind w:left="1000"/>
              <w:spacing w:after="0"/>
              <w:rPr>
                <w:sz w:val="20"/>
                <w:szCs w:val="20"/>
                <w:color w:val="auto"/>
              </w:rPr>
            </w:pPr>
            <w:r>
              <w:rPr>
                <w:rFonts w:ascii="Arial" w:cs="Arial" w:eastAsia="Arial" w:hAnsi="Arial"/>
                <w:sz w:val="18"/>
                <w:szCs w:val="18"/>
                <w:color w:val="auto"/>
              </w:rPr>
              <w:t>N/A</w:t>
            </w: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4.50</w:t>
            </w:r>
          </w:p>
        </w:tc>
        <w:tc>
          <w:tcPr>
            <w:tcW w:w="100" w:type="dxa"/>
            <w:vAlign w:val="bottom"/>
          </w:tcPr>
          <w:p>
            <w:pPr>
              <w:spacing w:after="0"/>
              <w:rPr>
                <w:sz w:val="21"/>
                <w:szCs w:val="21"/>
                <w:color w:val="auto"/>
              </w:rPr>
            </w:pPr>
          </w:p>
        </w:tc>
        <w:tc>
          <w:tcPr>
            <w:tcW w:w="1440" w:type="dxa"/>
            <w:vAlign w:val="bottom"/>
          </w:tcPr>
          <w:p>
            <w:pPr>
              <w:jc w:val="right"/>
              <w:ind w:right="97"/>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21"/>
                <w:szCs w:val="21"/>
                <w:color w:val="auto"/>
              </w:rPr>
            </w:pPr>
          </w:p>
        </w:tc>
        <w:tc>
          <w:tcPr>
            <w:tcW w:w="1440" w:type="dxa"/>
            <w:vAlign w:val="bottom"/>
          </w:tcPr>
          <w:p>
            <w:pPr>
              <w:jc w:val="right"/>
              <w:ind w:right="95"/>
              <w:spacing w:after="0"/>
              <w:rPr>
                <w:sz w:val="20"/>
                <w:szCs w:val="20"/>
                <w:color w:val="auto"/>
              </w:rPr>
            </w:pPr>
            <w:r>
              <w:rPr>
                <w:rFonts w:ascii="Arial" w:cs="Arial" w:eastAsia="Arial" w:hAnsi="Arial"/>
                <w:sz w:val="18"/>
                <w:szCs w:val="18"/>
                <w:color w:val="auto"/>
              </w:rPr>
              <w:t>4.50</w:t>
            </w:r>
          </w:p>
        </w:tc>
      </w:tr>
      <w:tr>
        <w:trPr>
          <w:trHeight w:val="27"/>
        </w:trPr>
        <w:tc>
          <w:tcPr>
            <w:tcW w:w="5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43"/>
        </w:trPr>
        <w:tc>
          <w:tcPr>
            <w:tcW w:w="54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grant date fair value per share granted</w:t>
            </w:r>
          </w:p>
        </w:tc>
        <w:tc>
          <w:tcPr>
            <w:tcW w:w="144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N/A</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$0.97</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$0.51</w:t>
            </w:r>
          </w:p>
        </w:tc>
        <w:tc>
          <w:tcPr>
            <w:tcW w:w="100" w:type="dxa"/>
            <w:vAlign w:val="bottom"/>
            <w:shd w:val="clear" w:color="auto" w:fill="CCEEFF"/>
          </w:tcPr>
          <w:p>
            <w:pPr>
              <w:spacing w:after="0"/>
              <w:rPr>
                <w:sz w:val="21"/>
                <w:szCs w:val="21"/>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7"/>
        </w:trPr>
        <w:tc>
          <w:tcPr>
            <w:tcW w:w="5460" w:type="dxa"/>
            <w:vAlign w:val="bottom"/>
            <w:shd w:val="clear" w:color="auto" w:fill="CCEEFF"/>
          </w:tcPr>
          <w:p>
            <w:pPr>
              <w:spacing w:after="0"/>
              <w:rPr>
                <w:sz w:val="2"/>
                <w:szCs w:val="2"/>
                <w:color w:val="auto"/>
              </w:rPr>
            </w:pPr>
          </w:p>
        </w:tc>
        <w:tc>
          <w:tcPr>
            <w:tcW w:w="1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Segment and Geographic Information</w:t>
      </w:r>
    </w:p>
    <w:p>
      <w:pPr>
        <w:spacing w:after="0" w:line="175" w:lineRule="exact"/>
        <w:rPr>
          <w:sz w:val="20"/>
          <w:szCs w:val="20"/>
          <w:color w:val="auto"/>
        </w:rPr>
      </w:pPr>
    </w:p>
    <w:p>
      <w:pPr>
        <w:ind w:right="200" w:firstLine="405"/>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 (the “CODM”).</w:t>
      </w:r>
    </w:p>
    <w:p>
      <w:pPr>
        <w:spacing w:after="0" w:line="127" w:lineRule="exact"/>
        <w:rPr>
          <w:sz w:val="20"/>
          <w:szCs w:val="20"/>
          <w:color w:val="auto"/>
        </w:rPr>
      </w:pPr>
    </w:p>
    <w:p>
      <w:pPr>
        <w:ind w:right="20" w:firstLine="405"/>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second quarter and first two quarters of fiscal 2015 and 2014 were as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96"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color w:val="auto"/>
        </w:rPr>
        <w:t>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3"/>
          </w:tcPr>
          <w:p>
            <w:pPr>
              <w:ind w:left="860"/>
              <w:spacing w:after="0"/>
              <w:rPr>
                <w:sz w:val="20"/>
                <w:szCs w:val="20"/>
                <w:color w:val="auto"/>
              </w:rPr>
            </w:pPr>
            <w:r>
              <w:rPr>
                <w:rFonts w:ascii="Arial" w:cs="Arial" w:eastAsia="Arial" w:hAnsi="Arial"/>
                <w:sz w:val="14"/>
                <w:szCs w:val="14"/>
                <w:b w:val="1"/>
                <w:bCs w:val="1"/>
                <w:color w:val="auto"/>
              </w:rPr>
              <w:t>Quarter Ended</w:t>
            </w:r>
          </w:p>
        </w:tc>
        <w:tc>
          <w:tcPr>
            <w:tcW w:w="6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Two Quarters Ended</w:t>
            </w:r>
          </w:p>
        </w:tc>
        <w:tc>
          <w:tcPr>
            <w:tcW w:w="64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ind w:left="40"/>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22"/>
                <w:szCs w:val="22"/>
                <w:color w:val="auto"/>
              </w:rPr>
            </w:pPr>
          </w:p>
        </w:tc>
        <w:tc>
          <w:tcPr>
            <w:tcW w:w="1400" w:type="dxa"/>
            <w:vAlign w:val="bottom"/>
            <w:gridSpan w:val="2"/>
          </w:tcPr>
          <w:p>
            <w:pPr>
              <w:spacing w:after="0"/>
              <w:rPr>
                <w:sz w:val="20"/>
                <w:szCs w:val="20"/>
                <w:color w:val="auto"/>
              </w:rPr>
            </w:pPr>
            <w:r>
              <w:rPr>
                <w:rFonts w:ascii="Arial" w:cs="Arial" w:eastAsia="Arial" w:hAnsi="Arial"/>
                <w:sz w:val="14"/>
                <w:szCs w:val="14"/>
                <w:b w:val="1"/>
                <w:bCs w:val="1"/>
                <w:color w:val="auto"/>
              </w:rPr>
              <w:t>December 26, 2014</w:t>
            </w:r>
          </w:p>
        </w:tc>
        <w:tc>
          <w:tcPr>
            <w:tcW w:w="14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8"/>
              </w:rPr>
              <w:t>December 27, 2013</w:t>
            </w: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26, 2014</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27, 2013</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44.2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80" w:type="dxa"/>
            <w:vAlign w:val="bottom"/>
            <w:tcBorders>
              <w:top w:val="single" w:sz="8" w:color="auto"/>
              <w:bottom w:val="single" w:sz="8" w:color="CCEEFF"/>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82.8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67.5</w:t>
            </w: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Africa and Middle East</w:t>
            </w:r>
          </w:p>
        </w:tc>
        <w:tc>
          <w:tcPr>
            <w:tcW w:w="100" w:type="dxa"/>
            <w:vAlign w:val="bottom"/>
          </w:tcPr>
          <w:p>
            <w:pPr>
              <w:spacing w:after="0"/>
              <w:rPr>
                <w:sz w:val="21"/>
                <w:szCs w:val="21"/>
                <w:color w:val="auto"/>
              </w:rPr>
            </w:pPr>
          </w:p>
        </w:tc>
        <w:tc>
          <w:tcPr>
            <w:tcW w:w="1280" w:type="dxa"/>
            <w:vAlign w:val="bottom"/>
          </w:tcPr>
          <w:p>
            <w:pPr>
              <w:ind w:left="860"/>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47.8</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63.0</w:t>
            </w:r>
          </w:p>
        </w:tc>
      </w:tr>
      <w:tr>
        <w:trPr>
          <w:trHeight w:val="27"/>
        </w:trPr>
        <w:tc>
          <w:tcPr>
            <w:tcW w:w="5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Europe and Russia</w:t>
            </w:r>
          </w:p>
        </w:tc>
        <w:tc>
          <w:tcPr>
            <w:tcW w:w="1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r>
      <w:tr>
        <w:trPr>
          <w:trHeight w:val="243"/>
        </w:trPr>
        <w:tc>
          <w:tcPr>
            <w:tcW w:w="5620" w:type="dxa"/>
            <w:vAlign w:val="bottom"/>
          </w:tcPr>
          <w:p>
            <w:pPr>
              <w:ind w:left="720"/>
              <w:spacing w:after="0"/>
              <w:rPr>
                <w:sz w:val="20"/>
                <w:szCs w:val="20"/>
                <w:color w:val="auto"/>
              </w:rPr>
            </w:pPr>
            <w:r>
              <w:rPr>
                <w:rFonts w:ascii="Arial" w:cs="Arial" w:eastAsia="Arial" w:hAnsi="Arial"/>
                <w:sz w:val="18"/>
                <w:szCs w:val="18"/>
                <w:color w:val="auto"/>
              </w:rPr>
              <w:t>Latin America and Asia Pacific</w:t>
            </w:r>
          </w:p>
        </w:tc>
        <w:tc>
          <w:tcPr>
            <w:tcW w:w="100" w:type="dxa"/>
            <w:vAlign w:val="bottom"/>
          </w:tcPr>
          <w:p>
            <w:pPr>
              <w:spacing w:after="0"/>
              <w:rPr>
                <w:sz w:val="21"/>
                <w:szCs w:val="21"/>
                <w:color w:val="auto"/>
              </w:rPr>
            </w:pPr>
          </w:p>
        </w:tc>
        <w:tc>
          <w:tcPr>
            <w:tcW w:w="1280" w:type="dxa"/>
            <w:vAlign w:val="bottom"/>
          </w:tcPr>
          <w:p>
            <w:pPr>
              <w:ind w:left="860"/>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jc w:val="right"/>
              <w:ind w:right="30"/>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tcPr>
          <w:p>
            <w:pPr>
              <w:jc w:val="right"/>
              <w:ind w:right="13"/>
              <w:spacing w:after="0"/>
              <w:rPr>
                <w:sz w:val="20"/>
                <w:szCs w:val="20"/>
                <w:color w:val="auto"/>
              </w:rPr>
            </w:pPr>
            <w:r>
              <w:rPr>
                <w:rFonts w:ascii="Arial" w:cs="Arial" w:eastAsia="Arial" w:hAnsi="Arial"/>
                <w:sz w:val="18"/>
                <w:szCs w:val="18"/>
                <w:color w:val="auto"/>
              </w:rPr>
              <w:t>24.4</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30.1</w:t>
            </w:r>
          </w:p>
        </w:tc>
      </w:tr>
      <w:tr>
        <w:trPr>
          <w:trHeight w:val="27"/>
        </w:trPr>
        <w:tc>
          <w:tcPr>
            <w:tcW w:w="56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57"/>
        </w:trPr>
        <w:tc>
          <w:tcPr>
            <w:tcW w:w="56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auto"/>
            </w:tcBorders>
            <w:shd w:val="clear" w:color="auto" w:fill="CCEEFF"/>
          </w:tcPr>
          <w:p>
            <w:pPr>
              <w:ind w:left="860"/>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6"/>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auto"/>
            </w:tcBorders>
            <w:shd w:val="clear" w:color="auto" w:fill="CCEEFF"/>
          </w:tcPr>
          <w:p>
            <w:pPr>
              <w:jc w:val="right"/>
              <w:ind w:right="516"/>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179.2</w:t>
            </w:r>
          </w:p>
        </w:tc>
      </w:tr>
      <w:tr>
        <w:trPr>
          <w:trHeight w:val="20"/>
        </w:trPr>
        <w:tc>
          <w:tcPr>
            <w:tcW w:w="56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During the second quarter and first two quarters of fiscal 2015 and 2014, we had one international customer in Africa (Mobile Telephone Networks Group or “MTN Group”) that accounted for more than 10% of our total revenue. MTN Group also accounted for more than 10% of our accounts receivable at December 26, 2014 and June 27, 2014.</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Income Taxes</w:t>
      </w:r>
    </w:p>
    <w:p>
      <w:pPr>
        <w:spacing w:after="0" w:line="175" w:lineRule="exact"/>
        <w:rPr>
          <w:sz w:val="20"/>
          <w:szCs w:val="20"/>
          <w:color w:val="auto"/>
        </w:rPr>
      </w:pPr>
    </w:p>
    <w:p>
      <w:pPr>
        <w:jc w:val="both"/>
        <w:ind w:right="140" w:firstLine="432"/>
        <w:spacing w:after="0" w:line="264" w:lineRule="auto"/>
        <w:rPr>
          <w:sz w:val="20"/>
          <w:szCs w:val="20"/>
          <w:color w:val="auto"/>
        </w:rPr>
      </w:pPr>
      <w:r>
        <w:rPr>
          <w:rFonts w:ascii="Arial" w:cs="Arial" w:eastAsia="Arial" w:hAnsi="Arial"/>
          <w:sz w:val="18"/>
          <w:szCs w:val="18"/>
          <w:color w:val="auto"/>
        </w:rPr>
        <w:t>Our effective tax rate varies from the U.S. federal statutory rate of 35% due to results of foreign operations that are subject to income taxes at different statutory rates and certain jurisdictions where we cannot recognize tax benefits on current losses. During interim periods, we accrue tax expenses for foreign jurisdictions that are anticipated to be profitable for fiscal 2015.</w:t>
      </w:r>
    </w:p>
    <w:p>
      <w:pPr>
        <w:spacing w:after="0" w:line="12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The determination of our provision for the first two quarters of fiscal 2015 and 2014 was based on our estimated annual effective tax rate adjusted for losses in certain jurisdictions for which no tax benefit can be recognized. The tax expense for the first two quarters of fiscal 2015 was primarily attributable to tax expense related to profitable foreign subsidiaries.</w:t>
      </w:r>
    </w:p>
    <w:p>
      <w:pPr>
        <w:spacing w:after="0" w:line="127" w:lineRule="exact"/>
        <w:rPr>
          <w:sz w:val="20"/>
          <w:szCs w:val="20"/>
          <w:color w:val="auto"/>
        </w:rPr>
      </w:pPr>
    </w:p>
    <w:p>
      <w:pPr>
        <w:ind w:right="300" w:firstLine="432"/>
        <w:spacing w:after="0" w:line="264" w:lineRule="auto"/>
        <w:rPr>
          <w:sz w:val="20"/>
          <w:szCs w:val="20"/>
          <w:color w:val="auto"/>
        </w:rPr>
      </w:pPr>
      <w:r>
        <w:rPr>
          <w:rFonts w:ascii="Arial" w:cs="Arial" w:eastAsia="Arial" w:hAnsi="Arial"/>
          <w:sz w:val="18"/>
          <w:szCs w:val="18"/>
          <w:color w:val="auto"/>
        </w:rPr>
        <w:t>We have a number of years with open tax audits which vary from jurisdiction to jurisdiction. Our major tax jurisdictions include the U.S., Singapore and Nigeria. The earliest years that are open and subject to potential audits for these jurisdictions are as follows: U.S. — 2003; Singapore — 2006; and Nigeria — 2011.</w:t>
      </w:r>
    </w:p>
    <w:p>
      <w:pPr>
        <w:spacing w:after="0" w:line="127" w:lineRule="exact"/>
        <w:rPr>
          <w:sz w:val="20"/>
          <w:szCs w:val="20"/>
          <w:color w:val="auto"/>
        </w:rPr>
      </w:pPr>
    </w:p>
    <w:p>
      <w:pPr>
        <w:ind w:right="440" w:firstLine="405"/>
        <w:spacing w:after="0" w:line="308" w:lineRule="auto"/>
        <w:rPr>
          <w:sz w:val="20"/>
          <w:szCs w:val="20"/>
          <w:color w:val="auto"/>
        </w:rPr>
      </w:pPr>
      <w:r>
        <w:rPr>
          <w:rFonts w:ascii="Arial" w:cs="Arial" w:eastAsia="Arial" w:hAnsi="Arial"/>
          <w:sz w:val="17"/>
          <w:szCs w:val="17"/>
          <w:color w:val="auto"/>
        </w:rPr>
        <w:t>We account for interest and penalties related to unrecognized tax benefits as part of our provision for federal, foreign, and state income taxes. Such interest expense we accrued for was not material for the second quarter and first two quarters of fiscal 2015 and fiscal 2014.</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ind w:right="500" w:firstLine="432"/>
        <w:spacing w:after="0" w:line="259"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April 2020. We lease approximately 129,000 square feet of office space in Santa Clara, California as our corporate headquarters. Beginning in the first quarter of fiscal 2015, approximately three-fourths of our Santa Clara headquarters building was vacated and made available for sublease. As of December 26, 2014, future minimum lease payments for our headquarters totaled $13.9 million.</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746" w:right="239" w:bottom="1440" w:gutter="0" w:footer="0" w:header="0"/>
        </w:sectPr>
      </w:pPr>
    </w:p>
    <w:bookmarkStart w:id="16" w:name="page17"/>
    <w:bookmarkEnd w:id="16"/>
    <w:p>
      <w:pPr>
        <w:ind w:right="40" w:firstLine="432"/>
        <w:spacing w:after="0" w:line="277" w:lineRule="auto"/>
        <w:rPr>
          <w:sz w:val="20"/>
          <w:szCs w:val="20"/>
          <w:color w:val="auto"/>
        </w:rPr>
      </w:pPr>
      <w:r>
        <w:rPr>
          <w:rFonts w:ascii="Arial" w:cs="Arial" w:eastAsia="Arial" w:hAnsi="Arial"/>
          <w:sz w:val="18"/>
          <w:szCs w:val="18"/>
          <w:color w:val="auto"/>
        </w:rPr>
        <w:t>As of December 26, 2014, our future minimum lease payments under all non-cancelable operating leases with an initial lease term in excess of one year were as follows: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Pr>
          <w:p>
            <w:pPr>
              <w:ind w:left="40"/>
              <w:spacing w:after="0"/>
              <w:rPr>
                <w:sz w:val="20"/>
                <w:szCs w:val="20"/>
                <w:color w:val="auto"/>
              </w:rPr>
            </w:pPr>
            <w:r>
              <w:rPr>
                <w:rFonts w:ascii="Arial" w:cs="Arial" w:eastAsia="Arial" w:hAnsi="Arial"/>
                <w:sz w:val="14"/>
                <w:szCs w:val="14"/>
                <w:b w:val="1"/>
                <w:bCs w:val="1"/>
                <w:color w:val="auto"/>
              </w:rPr>
              <w:t>Fiscal Years Ending in June</w:t>
            </w: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97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0" w:type="dxa"/>
            <w:vAlign w:val="bottom"/>
          </w:tcPr>
          <w:p>
            <w:pPr>
              <w:jc w:val="right"/>
              <w:ind w:right="394"/>
              <w:spacing w:after="0"/>
              <w:rPr>
                <w:sz w:val="20"/>
                <w:szCs w:val="20"/>
                <w:color w:val="auto"/>
              </w:rPr>
            </w:pPr>
            <w:r>
              <w:rPr>
                <w:rFonts w:ascii="Arial" w:cs="Arial" w:eastAsia="Arial" w:hAnsi="Arial"/>
                <w:sz w:val="14"/>
                <w:szCs w:val="14"/>
                <w:b w:val="1"/>
                <w:bCs w:val="1"/>
                <w:color w:val="auto"/>
              </w:rPr>
              <w:t>(In millions)</w:t>
            </w:r>
          </w:p>
        </w:tc>
      </w:tr>
      <w:tr>
        <w:trPr>
          <w:trHeight w:val="256"/>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 (two quarters remaining)</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2016</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4.0</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2.8</w:t>
            </w:r>
          </w:p>
        </w:tc>
      </w:tr>
      <w:tr>
        <w:trPr>
          <w:trHeight w:val="27"/>
        </w:trPr>
        <w:tc>
          <w:tcPr>
            <w:tcW w:w="97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9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3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w:t>
            </w:r>
          </w:p>
        </w:tc>
      </w:tr>
      <w:tr>
        <w:trPr>
          <w:trHeight w:val="243"/>
        </w:trPr>
        <w:tc>
          <w:tcPr>
            <w:tcW w:w="9720" w:type="dxa"/>
            <w:vAlign w:val="bottom"/>
          </w:tcPr>
          <w:p>
            <w:pPr>
              <w:ind w:left="40"/>
              <w:spacing w:after="0"/>
              <w:rPr>
                <w:sz w:val="20"/>
                <w:szCs w:val="20"/>
                <w:color w:val="auto"/>
              </w:rPr>
            </w:pPr>
            <w:r>
              <w:rPr>
                <w:rFonts w:ascii="Arial" w:cs="Arial" w:eastAsia="Arial" w:hAnsi="Arial"/>
                <w:sz w:val="18"/>
                <w:szCs w:val="18"/>
                <w:color w:val="auto"/>
              </w:rPr>
              <w:t>Thereafter (through April 2020)</w:t>
            </w:r>
          </w:p>
        </w:tc>
        <w:tc>
          <w:tcPr>
            <w:tcW w:w="300" w:type="dxa"/>
            <w:vAlign w:val="bottom"/>
          </w:tcPr>
          <w:p>
            <w:pPr>
              <w:spacing w:after="0"/>
              <w:rPr>
                <w:sz w:val="21"/>
                <w:szCs w:val="21"/>
                <w:color w:val="auto"/>
              </w:rPr>
            </w:pPr>
          </w:p>
        </w:tc>
        <w:tc>
          <w:tcPr>
            <w:tcW w:w="1400" w:type="dxa"/>
            <w:vAlign w:val="bottom"/>
          </w:tcPr>
          <w:p>
            <w:pPr>
              <w:jc w:val="right"/>
              <w:ind w:right="14"/>
              <w:spacing w:after="0"/>
              <w:rPr>
                <w:sz w:val="20"/>
                <w:szCs w:val="20"/>
                <w:color w:val="auto"/>
              </w:rPr>
            </w:pPr>
            <w:r>
              <w:rPr>
                <w:rFonts w:ascii="Arial" w:cs="Arial" w:eastAsia="Arial" w:hAnsi="Arial"/>
                <w:sz w:val="18"/>
                <w:szCs w:val="18"/>
                <w:color w:val="auto"/>
              </w:rPr>
              <w:t>2.3</w:t>
            </w:r>
          </w:p>
        </w:tc>
      </w:tr>
      <w:tr>
        <w:trPr>
          <w:trHeight w:val="27"/>
        </w:trPr>
        <w:tc>
          <w:tcPr>
            <w:tcW w:w="97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7"/>
        </w:trPr>
        <w:tc>
          <w:tcPr>
            <w:tcW w:w="97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17.0</w:t>
            </w:r>
          </w:p>
        </w:tc>
      </w:tr>
      <w:tr>
        <w:trPr>
          <w:trHeight w:val="20"/>
        </w:trPr>
        <w:tc>
          <w:tcPr>
            <w:tcW w:w="97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120" w:firstLine="432"/>
        <w:spacing w:after="0" w:line="264" w:lineRule="auto"/>
        <w:rPr>
          <w:sz w:val="20"/>
          <w:szCs w:val="20"/>
          <w:color w:val="auto"/>
        </w:rPr>
      </w:pPr>
      <w:r>
        <w:rPr>
          <w:rFonts w:ascii="Arial" w:cs="Arial" w:eastAsia="Arial" w:hAnsi="Arial"/>
          <w:sz w:val="18"/>
          <w:szCs w:val="18"/>
          <w:color w:val="auto"/>
        </w:rPr>
        <w:t>These commitments do not contain any material rent escalations, rent holidays, contingent rent, rent concessions, leasehold improvement incentives or unusual provisions or conditions. We sublease a portion of our facilities to third parties and total minimum rentals to be received in the future under our non-cancelable subleases was $0.1 million as of December 26, 2014.</w:t>
      </w:r>
    </w:p>
    <w:p>
      <w:pPr>
        <w:spacing w:after="0" w:line="12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Rental expense for operating leases, including rentals on a month-to-month basis, was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ind w:left="780"/>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3"/>
          </w:tcPr>
          <w:p>
            <w:pPr>
              <w:jc w:val="right"/>
              <w:ind w:right="682"/>
              <w:spacing w:after="0"/>
              <w:rPr>
                <w:sz w:val="20"/>
                <w:szCs w:val="20"/>
                <w:color w:val="auto"/>
              </w:rPr>
            </w:pPr>
            <w:r>
              <w:rPr>
                <w:rFonts w:ascii="Arial" w:cs="Arial" w:eastAsia="Arial" w:hAnsi="Arial"/>
                <w:sz w:val="14"/>
                <w:szCs w:val="14"/>
                <w:b w:val="1"/>
                <w:bCs w:val="1"/>
                <w:color w:val="auto"/>
              </w:rPr>
              <w:t>Two Quarters Ended</w:t>
            </w:r>
          </w:p>
        </w:tc>
      </w:tr>
      <w:tr>
        <w:trPr>
          <w:trHeight w:val="152"/>
        </w:trPr>
        <w:tc>
          <w:tcPr>
            <w:tcW w:w="5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20" w:type="dxa"/>
            <w:vAlign w:val="bottom"/>
          </w:tcPr>
          <w:p>
            <w:pPr>
              <w:jc w:val="center"/>
              <w:ind w:right="164"/>
              <w:spacing w:after="0" w:line="153" w:lineRule="exact"/>
              <w:rPr>
                <w:sz w:val="20"/>
                <w:szCs w:val="20"/>
                <w:color w:val="auto"/>
              </w:rPr>
            </w:pPr>
            <w:r>
              <w:rPr>
                <w:rFonts w:ascii="Arial" w:cs="Arial" w:eastAsia="Arial" w:hAnsi="Arial"/>
                <w:sz w:val="14"/>
                <w:szCs w:val="14"/>
                <w:b w:val="1"/>
                <w:bCs w:val="1"/>
                <w:color w:val="auto"/>
                <w:w w:val="90"/>
              </w:rPr>
              <w:t>December 26,</w:t>
            </w:r>
          </w:p>
        </w:tc>
        <w:tc>
          <w:tcPr>
            <w:tcW w:w="28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80" w:type="dxa"/>
            <w:vAlign w:val="bottom"/>
          </w:tcPr>
          <w:p>
            <w:pPr>
              <w:spacing w:after="0"/>
              <w:rPr>
                <w:sz w:val="13"/>
                <w:szCs w:val="13"/>
                <w:color w:val="auto"/>
              </w:rPr>
            </w:pPr>
          </w:p>
        </w:tc>
        <w:tc>
          <w:tcPr>
            <w:tcW w:w="1200" w:type="dxa"/>
            <w:vAlign w:val="bottom"/>
          </w:tcPr>
          <w:p>
            <w:pPr>
              <w:jc w:val="center"/>
              <w:ind w:right="164"/>
              <w:spacing w:after="0" w:line="153" w:lineRule="exact"/>
              <w:rPr>
                <w:sz w:val="20"/>
                <w:szCs w:val="20"/>
                <w:color w:val="auto"/>
              </w:rPr>
            </w:pPr>
            <w:r>
              <w:rPr>
                <w:rFonts w:ascii="Arial" w:cs="Arial" w:eastAsia="Arial" w:hAnsi="Arial"/>
                <w:sz w:val="14"/>
                <w:szCs w:val="14"/>
                <w:b w:val="1"/>
                <w:bCs w:val="1"/>
                <w:color w:val="auto"/>
                <w:w w:val="92"/>
              </w:rPr>
              <w:t>December 26,</w:t>
            </w:r>
          </w:p>
        </w:tc>
        <w:tc>
          <w:tcPr>
            <w:tcW w:w="280" w:type="dxa"/>
            <w:vAlign w:val="bottom"/>
          </w:tcPr>
          <w:p>
            <w:pPr>
              <w:spacing w:after="0"/>
              <w:rPr>
                <w:sz w:val="13"/>
                <w:szCs w:val="13"/>
                <w:color w:val="auto"/>
              </w:rPr>
            </w:pPr>
          </w:p>
        </w:tc>
        <w:tc>
          <w:tcPr>
            <w:tcW w:w="118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2"/>
              </w:rPr>
              <w:t>December 27,</w:t>
            </w:r>
          </w:p>
        </w:tc>
      </w:t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2014</w:t>
            </w:r>
          </w:p>
        </w:tc>
        <w:tc>
          <w:tcPr>
            <w:tcW w:w="2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r>
      <w:tr>
        <w:trPr>
          <w:trHeight w:val="196"/>
        </w:trPr>
        <w:tc>
          <w:tcPr>
            <w:tcW w:w="5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60" w:type="dxa"/>
            <w:vAlign w:val="bottom"/>
            <w:gridSpan w:val="4"/>
          </w:tcPr>
          <w:p>
            <w:pPr>
              <w:ind w:left="860"/>
              <w:spacing w:after="0"/>
              <w:rPr>
                <w:sz w:val="20"/>
                <w:szCs w:val="20"/>
                <w:color w:val="auto"/>
              </w:rPr>
            </w:pPr>
            <w:r>
              <w:rPr>
                <w:rFonts w:ascii="Arial" w:cs="Arial" w:eastAsia="Arial" w:hAnsi="Arial"/>
                <w:sz w:val="14"/>
                <w:szCs w:val="14"/>
                <w:b w:val="1"/>
                <w:bCs w:val="1"/>
                <w:color w:val="auto"/>
              </w:rPr>
              <w:t>(In millions)</w:t>
            </w:r>
          </w:p>
        </w:tc>
        <w:tc>
          <w:tcPr>
            <w:tcW w:w="280" w:type="dxa"/>
            <w:vAlign w:val="bottom"/>
          </w:tcPr>
          <w:p>
            <w:pPr>
              <w:spacing w:after="0"/>
              <w:rPr>
                <w:sz w:val="17"/>
                <w:szCs w:val="17"/>
                <w:color w:val="auto"/>
              </w:rPr>
            </w:pPr>
          </w:p>
        </w:tc>
        <w:tc>
          <w:tcPr>
            <w:tcW w:w="1180" w:type="dxa"/>
            <w:vAlign w:val="bottom"/>
          </w:tcPr>
          <w:p>
            <w:pPr>
              <w:spacing w:after="0"/>
              <w:rPr>
                <w:sz w:val="17"/>
                <w:szCs w:val="17"/>
                <w:color w:val="auto"/>
              </w:rPr>
            </w:pPr>
          </w:p>
        </w:tc>
      </w:tr>
      <w:tr>
        <w:trPr>
          <w:trHeight w:val="249"/>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ind w:left="840"/>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3.8</w:t>
            </w: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r>
    </w:tbl>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ind w:firstLine="405"/>
        <w:spacing w:after="0" w:line="273"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December 26, 2014, we had outstanding purchase obligations with our suppliers or contract manufacturers of $31.6 million.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right="40" w:firstLine="432"/>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December 26, 2014, we had no guarantees applicable to our debt arrangements.</w:t>
      </w:r>
    </w:p>
    <w:p>
      <w:pPr>
        <w:spacing w:after="0" w:line="117" w:lineRule="exact"/>
        <w:rPr>
          <w:sz w:val="20"/>
          <w:szCs w:val="20"/>
          <w:color w:val="auto"/>
        </w:rPr>
      </w:pPr>
    </w:p>
    <w:p>
      <w:pPr>
        <w:ind w:right="120" w:firstLine="432"/>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December 26, 2014, we had commercial commitments of $49.3 million outstanding that were not recorded in our condensed consolidated balance sheets. We do not believe, based on historical experience and information currently available, that it is probable that any amounts will be required to be paid on the performance guarantees.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74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ind w:right="20" w:firstLine="432"/>
        <w:spacing w:after="0" w:line="291"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software products infringe the intellectual property rights of a third party. As of December 26, 2014, we have not received any notice that any customer is subject to an infringement claim arising from the use of our software products; we have not received any request to defend any customers from infringement claims arising from the use of our software products; and we have not paid any final judgment on behalf of any customer related to an infringement claim arising from the use of our software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December 26, 2014, we had not recorded any liabilities related to these indemnifications.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120" w:firstLine="486"/>
        <w:spacing w:after="0" w:line="279" w:lineRule="auto"/>
        <w:rPr>
          <w:sz w:val="20"/>
          <w:szCs w:val="20"/>
          <w:color w:val="auto"/>
        </w:rPr>
      </w:pPr>
      <w:r>
        <w:rPr>
          <w:rFonts w:ascii="Arial" w:cs="Arial" w:eastAsia="Arial" w:hAnsi="Arial"/>
          <w:sz w:val="17"/>
          <w:szCs w:val="17"/>
          <w:color w:val="auto"/>
        </w:rPr>
        <w:t>From time to time, we may be involved in various legal claims and litigation that arise in the normal course of our operations. 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w:t>
      </w:r>
    </w:p>
    <w:p>
      <w:pPr>
        <w:spacing w:after="0" w:line="117" w:lineRule="exact"/>
        <w:rPr>
          <w:sz w:val="20"/>
          <w:szCs w:val="20"/>
          <w:color w:val="auto"/>
        </w:rPr>
      </w:pPr>
    </w:p>
    <w:p>
      <w:pPr>
        <w:jc w:val="both"/>
        <w:ind w:right="60" w:firstLine="486"/>
        <w:spacing w:after="0" w:line="286" w:lineRule="auto"/>
        <w:rPr>
          <w:sz w:val="20"/>
          <w:szCs w:val="20"/>
          <w:color w:val="auto"/>
        </w:rPr>
      </w:pPr>
      <w:r>
        <w:rPr>
          <w:rFonts w:ascii="Arial" w:cs="Arial" w:eastAsia="Arial" w:hAnsi="Arial"/>
          <w:sz w:val="17"/>
          <w:szCs w:val="17"/>
          <w:color w:val="auto"/>
        </w:rPr>
        <w:t>While the results of such claims and litigation cannot be predicted with certainty, we currently believe that we are not a party to any litigation the final outcome of which is likely to have a material adverse effect on our financial position, results of operations or cash flows. However, should we not prevail in any such litigation; it could have a material adverse impact on our operating results, cash flows or financial position.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60" w:firstLine="432"/>
        <w:spacing w:after="0" w:line="279"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financial statements; and (ii) the amount of the loss can be reasonably estimated. Disclosure in the notes to the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17"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Our Singapore subsidiary is in the process of evaluating its historical compliance with certain export regulations in Singapore. Depending on the results of this evaluation, we may take additional actions to ensure our compliance with these regulations in the future. As part of these additional actions, we could elect to make certain voluntary disclosures, which may, in certain circumstances, result in the imposition of various fines and penalties. Any fines and penalties will be based on the specific facts and findings of our evaluation, as well as negotiation with Singapore authorities. At this time, we cannot estimate the amount or range of any fines and penalties, if any should be imposed.</w:t>
      </w:r>
    </w:p>
    <w:p>
      <w:pPr>
        <w:spacing w:after="0" w:line="119" w:lineRule="exact"/>
        <w:rPr>
          <w:sz w:val="20"/>
          <w:szCs w:val="20"/>
          <w:color w:val="auto"/>
        </w:rPr>
      </w:pPr>
    </w:p>
    <w:p>
      <w:pPr>
        <w:ind w:firstLine="432"/>
        <w:spacing w:after="0" w:line="293" w:lineRule="auto"/>
        <w:rPr>
          <w:sz w:val="20"/>
          <w:szCs w:val="20"/>
          <w:color w:val="auto"/>
        </w:rPr>
      </w:pPr>
      <w:r>
        <w:rPr>
          <w:rFonts w:ascii="Arial" w:cs="Arial" w:eastAsia="Arial" w:hAnsi="Arial"/>
          <w:sz w:val="16"/>
          <w:szCs w:val="16"/>
          <w:color w:val="auto"/>
        </w:rPr>
        <w:t>Periodically, we review the status of each significant matter to assess the potential financial exposure. If a potential loss is considered probable and the amount can be reasonably estimated, we reflect the estimated loss in our results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ind w:right="40" w:firstLine="432"/>
        <w:spacing w:after="0" w:line="276"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forward-looking statements, including statements of, about, concerning or regarding: our plans, strategies and objectives for future operations, including with respect to growing our business and sustaining</w:t>
      </w:r>
    </w:p>
    <w:p>
      <w:pPr>
        <w:spacing w:after="0" w:line="2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800" w:right="279" w:bottom="1440" w:gutter="0" w:footer="0" w:header="0"/>
        </w:sectPr>
      </w:pPr>
    </w:p>
    <w:bookmarkStart w:id="18" w:name="page19"/>
    <w:bookmarkEnd w:id="18"/>
    <w:p>
      <w:pPr>
        <w:spacing w:after="0" w:line="271" w:lineRule="auto"/>
        <w:rPr>
          <w:sz w:val="20"/>
          <w:szCs w:val="20"/>
          <w:color w:val="auto"/>
        </w:rPr>
      </w:pPr>
      <w:r>
        <w:rPr>
          <w:rFonts w:ascii="Arial" w:cs="Arial" w:eastAsia="Arial" w:hAnsi="Arial"/>
          <w:sz w:val="17"/>
          <w:szCs w:val="17"/>
          <w:color w:val="auto"/>
        </w:rPr>
        <w:t>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25" w:lineRule="exact"/>
        <w:rPr>
          <w:sz w:val="20"/>
          <w:szCs w:val="20"/>
          <w:color w:val="auto"/>
        </w:rPr>
      </w:pPr>
    </w:p>
    <w:p>
      <w:pPr>
        <w:ind w:right="20" w:firstLine="432"/>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134" w:lineRule="exact"/>
        <w:rPr>
          <w:sz w:val="20"/>
          <w:szCs w:val="20"/>
          <w:color w:val="auto"/>
        </w:rPr>
      </w:pPr>
    </w:p>
    <w:p>
      <w:pPr>
        <w:ind w:left="900" w:right="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material weaknesses identified in our system of internal control and associated remediation efforts and investments and actions needed to remedy those material weaknesses;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our liquidity;</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00" w:right="620" w:hanging="325"/>
        <w:spacing w:after="0" w:line="277"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 and</w:t>
      </w:r>
    </w:p>
    <w:p>
      <w:pPr>
        <w:spacing w:after="0" w:line="63" w:lineRule="exact"/>
        <w:rPr>
          <w:rFonts w:ascii="Arial" w:cs="Arial" w:eastAsia="Arial" w:hAnsi="Arial"/>
          <w:sz w:val="18"/>
          <w:szCs w:val="18"/>
          <w:i w:val="1"/>
          <w:iCs w:val="1"/>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ind w:right="180" w:firstLine="432"/>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2014 Annual Report on Form 10-K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ind w:right="20" w:firstLine="432"/>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Overview of Business; Operating Environment and Key Factors Impacting Fiscal 2014 and 2015 Results</w:t>
      </w:r>
    </w:p>
    <w:p>
      <w:pPr>
        <w:spacing w:after="0" w:line="171" w:lineRule="exact"/>
        <w:rPr>
          <w:sz w:val="20"/>
          <w:szCs w:val="20"/>
          <w:color w:val="auto"/>
        </w:rPr>
      </w:pPr>
    </w:p>
    <w:p>
      <w:pPr>
        <w:ind w:right="60" w:firstLine="432"/>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consolidated financial statements and the accompanying notes. In the discussion below, our fiscal year ending July 3, 2015 is referred to as “fiscal 2015” or “2015” and fiscal year ended June 27, 2014 as “fiscal 2014” or “2014”.</w:t>
      </w:r>
    </w:p>
    <w:p>
      <w:pPr>
        <w:spacing w:after="0" w:line="133" w:lineRule="exact"/>
        <w:rPr>
          <w:sz w:val="20"/>
          <w:szCs w:val="20"/>
          <w:color w:val="auto"/>
        </w:rPr>
      </w:pPr>
    </w:p>
    <w:p>
      <w:pPr>
        <w:ind w:right="300" w:firstLine="432"/>
        <w:spacing w:after="0" w:line="273"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and utility companies, public safety agencies and broadcast system operators across the globe. Our products include point-to-point (PTP) digital microwave transmission systems designed for first/last mile access, middle mile/backhaul, and long distance trunking applications. We also provide network management software solutions to enable operators to deploy, monitor and manage our systems, third party equipment such as antennas, routers, and multiplexers, necessary to build and deploy a wireless transmission network, and a full suite of turnkey support services.</w:t>
      </w:r>
    </w:p>
    <w:p>
      <w:pPr>
        <w:spacing w:after="0" w:line="124" w:lineRule="exact"/>
        <w:rPr>
          <w:sz w:val="20"/>
          <w:szCs w:val="20"/>
          <w:color w:val="auto"/>
        </w:rPr>
      </w:pPr>
    </w:p>
    <w:p>
      <w:pPr>
        <w:ind w:right="160" w:firstLine="432"/>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ind w:right="440" w:firstLine="432"/>
        <w:spacing w:after="0" w:line="302" w:lineRule="auto"/>
        <w:rPr>
          <w:sz w:val="20"/>
          <w:szCs w:val="20"/>
          <w:color w:val="auto"/>
        </w:rPr>
      </w:pPr>
      <w:r>
        <w:rPr>
          <w:rFonts w:ascii="Arial" w:cs="Arial" w:eastAsia="Arial" w:hAnsi="Arial"/>
          <w:sz w:val="16"/>
          <w:szCs w:val="16"/>
          <w:color w:val="auto"/>
        </w:rPr>
        <w:t>Our strategic focus in fiscal 2015 will be to continue to accelerate innovation and optimize our product portfolio, improve costs and operational efficiencies, grow our revenue and create a sustainable, profitable business model. To do this, we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00" w:lineRule="exact"/>
        <w:rPr>
          <w:sz w:val="20"/>
          <w:szCs w:val="20"/>
          <w:color w:val="auto"/>
        </w:rPr>
      </w:pPr>
    </w:p>
    <w:p>
      <w:pPr>
        <w:ind w:firstLine="405"/>
        <w:spacing w:after="0" w:line="272" w:lineRule="auto"/>
        <w:rPr>
          <w:sz w:val="20"/>
          <w:szCs w:val="20"/>
          <w:color w:val="auto"/>
        </w:rPr>
      </w:pPr>
      <w:r>
        <w:rPr>
          <w:rFonts w:ascii="Arial" w:cs="Arial" w:eastAsia="Arial" w:hAnsi="Arial"/>
          <w:sz w:val="17"/>
          <w:szCs w:val="17"/>
          <w:color w:val="auto"/>
        </w:rPr>
        <w:t>Although the general trend of increasing demand for bandwidth to support mobile networks applies in all markets, we expect to see quarter-to-quarter fluctuations within markets and with individual customers based on customers’ past purchasing patterns. Seasonality is also a factor that impacts our business. Our fiscal third quarter revenue and orders have historically been lower than the revenue and orders in our second fiscal quarter because many of our customers utilize a significant portion of their capital budgets at the end of their fiscal years, which is typically the calendar year end and coincides with our second fiscal quarter. The majority of our customers begin a new fiscal year on January 1, and capital expenditures tend to be lower in an organization’s first quarter than in its fourth quarter. We anticipate that this seasonality will continue. The seasonality between the second quarter and third quarter may be affected by a variety of additional factors, including changes in the global economy.</w:t>
      </w:r>
    </w:p>
    <w:p>
      <w:pPr>
        <w:spacing w:after="0" w:line="124" w:lineRule="exact"/>
        <w:rPr>
          <w:sz w:val="20"/>
          <w:szCs w:val="20"/>
          <w:color w:val="auto"/>
        </w:rPr>
      </w:pPr>
    </w:p>
    <w:p>
      <w:pPr>
        <w:ind w:right="300" w:firstLine="405"/>
        <w:spacing w:after="0" w:line="259" w:lineRule="auto"/>
        <w:rPr>
          <w:sz w:val="20"/>
          <w:szCs w:val="20"/>
          <w:color w:val="auto"/>
        </w:rPr>
      </w:pPr>
      <w:r>
        <w:rPr>
          <w:rFonts w:ascii="Arial" w:cs="Arial" w:eastAsia="Arial" w:hAnsi="Arial"/>
          <w:sz w:val="18"/>
          <w:szCs w:val="18"/>
          <w:color w:val="auto"/>
        </w:rPr>
        <w:t>During fiscal 2015, we expect to provide increased managed services, including network design, inventory management, final configuration and warehousing services, to certain customers in certain geographies. Our operating results may be impacted by providing these services to the extent that we may need to postpone the recognition of revenue and incur upfront and ongoing expenses that are not offset with additional revenue from product sales associated with these services until a future period.</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283" w:lineRule="exact"/>
        <w:rPr>
          <w:sz w:val="20"/>
          <w:szCs w:val="20"/>
          <w:color w:val="auto"/>
        </w:rPr>
      </w:pPr>
    </w:p>
    <w:p>
      <w:pPr>
        <w:ind w:right="160" w:firstLine="405"/>
        <w:spacing w:after="0" w:line="271" w:lineRule="auto"/>
        <w:rPr>
          <w:sz w:val="20"/>
          <w:szCs w:val="20"/>
          <w:color w:val="auto"/>
        </w:rPr>
      </w:pPr>
      <w:r>
        <w:rPr>
          <w:rFonts w:ascii="Arial" w:cs="Arial" w:eastAsia="Arial" w:hAnsi="Arial"/>
          <w:sz w:val="17"/>
          <w:szCs w:val="17"/>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Internationally, our business continued to rely on a combination of customers increasing their capacity to handle subscriber growth, the ongoing build-out of some large 3G deployments, and the emergence of early stage LTE deployments.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070" w:right="239" w:bottom="1440" w:gutter="0" w:footer="0" w:header="0"/>
        </w:sectPr>
      </w:pPr>
    </w:p>
    <w:bookmarkStart w:id="20" w:name="page21"/>
    <w:bookmarkEnd w:id="20"/>
    <w:p>
      <w:pPr>
        <w:ind w:right="220"/>
        <w:spacing w:after="0" w:line="277" w:lineRule="auto"/>
        <w:rPr>
          <w:sz w:val="20"/>
          <w:szCs w:val="20"/>
          <w:color w:val="auto"/>
        </w:rPr>
      </w:pPr>
      <w:r>
        <w:rPr>
          <w:rFonts w:ascii="Arial" w:cs="Arial" w:eastAsia="Arial" w:hAnsi="Arial"/>
          <w:sz w:val="18"/>
          <w:szCs w:val="18"/>
          <w:color w:val="auto"/>
        </w:rPr>
        <w:t>2014 Annual Report on Form 10-K, a number of factors could prevent us from achieving our objectives, including ongoing pricing pressures attributable to competition and macroeconomic conditions in the geographic markets that we service.</w:t>
      </w:r>
    </w:p>
    <w:p>
      <w:pPr>
        <w:spacing w:after="0" w:line="116" w:lineRule="exact"/>
        <w:rPr>
          <w:sz w:val="20"/>
          <w:szCs w:val="20"/>
          <w:color w:val="auto"/>
        </w:rPr>
      </w:pPr>
    </w:p>
    <w:p>
      <w:pPr>
        <w:ind w:right="160" w:firstLine="432"/>
        <w:spacing w:after="0" w:line="259" w:lineRule="auto"/>
        <w:rPr>
          <w:sz w:val="20"/>
          <w:szCs w:val="20"/>
          <w:color w:val="auto"/>
        </w:rPr>
      </w:pPr>
      <w:r>
        <w:rPr>
          <w:rFonts w:ascii="Arial" w:cs="Arial" w:eastAsia="Arial" w:hAnsi="Arial"/>
          <w:sz w:val="18"/>
          <w:szCs w:val="18"/>
          <w:color w:val="auto"/>
        </w:rPr>
        <w:t>During the third quarter of fiscal 2014, in line with the decrease in revenue that we experienced and our reduced forecast for the immediate future, we announced a new restructuring plan (the “Fiscal 2014-2015 Plan”). Our restructuring expenses incurred during the first two quarters of fiscal 2015 primarily related to this plan. We intend to substantially complete the remaining restructuring activities under this plan in fiscal 2015. See “Restructuring Charges” below.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We manage our sales activities primarily on a geographic basis in North America and three international geographic regions: (1) Africa and Middle East,</w:t>
      </w:r>
    </w:p>
    <w:p>
      <w:pPr>
        <w:spacing w:after="0" w:line="46" w:lineRule="exact"/>
        <w:rPr>
          <w:sz w:val="20"/>
          <w:szCs w:val="20"/>
          <w:color w:val="auto"/>
        </w:rPr>
      </w:pPr>
    </w:p>
    <w:p>
      <w:pPr>
        <w:ind w:right="200" w:firstLine="8"/>
        <w:spacing w:after="0" w:line="261"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Europe and Russia, and (3) Latin America and Asia Pacific. Revenue by region for the second quarter and first two quarters of fiscal 2015 and 2014 and the related changes are shown in the table below:</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4"/>
          </w:tcPr>
          <w:p>
            <w:pPr>
              <w:jc w:val="right"/>
              <w:ind w:right="315"/>
              <w:spacing w:after="0"/>
              <w:rPr>
                <w:sz w:val="20"/>
                <w:szCs w:val="20"/>
                <w:color w:val="auto"/>
              </w:rPr>
            </w:pPr>
            <w:r>
              <w:rPr>
                <w:rFonts w:ascii="Arial" w:cs="Arial" w:eastAsia="Arial" w:hAnsi="Arial"/>
                <w:sz w:val="14"/>
                <w:szCs w:val="14"/>
                <w:b w:val="1"/>
                <w:bCs w:val="1"/>
                <w:color w:val="auto"/>
              </w:rPr>
              <w:t>Two Quarters Ended</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26,</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Pr>
          <w:p>
            <w:pPr>
              <w:spacing w:after="0"/>
              <w:rPr>
                <w:sz w:val="13"/>
                <w:szCs w:val="13"/>
                <w:color w:val="auto"/>
              </w:rPr>
            </w:pPr>
          </w:p>
        </w:tc>
        <w:tc>
          <w:tcPr>
            <w:tcW w:w="1040" w:type="dxa"/>
            <w:vAlign w:val="bottom"/>
            <w:vMerge w:val="restart"/>
          </w:tcPr>
          <w:p>
            <w:pPr>
              <w:jc w:val="right"/>
              <w:ind w:right="128"/>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26,</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40" w:type="dxa"/>
            <w:vAlign w:val="bottom"/>
          </w:tcPr>
          <w:p>
            <w:pPr>
              <w:spacing w:after="0"/>
              <w:rPr>
                <w:sz w:val="13"/>
                <w:szCs w:val="13"/>
                <w:color w:val="auto"/>
              </w:rPr>
            </w:pPr>
          </w:p>
        </w:tc>
        <w:tc>
          <w:tcPr>
            <w:tcW w:w="660" w:type="dxa"/>
            <w:vAlign w:val="bottom"/>
          </w:tcPr>
          <w:p>
            <w:pPr>
              <w:jc w:val="right"/>
              <w:ind w:right="275"/>
              <w:spacing w:after="0" w:line="153"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36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5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75"/>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44.2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30.8 %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67.5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22.7 %</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Africa and Middle East</w:t>
            </w: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26.0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47.8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(15.2)</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7"/>
        </w:trPr>
        <w:tc>
          <w:tcPr>
            <w:tcW w:w="2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 and Russia</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17.0 %</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7.0 %</w:t>
            </w:r>
          </w:p>
        </w:tc>
        <w:tc>
          <w:tcPr>
            <w:tcW w:w="0" w:type="dxa"/>
            <w:vAlign w:val="bottom"/>
          </w:tcPr>
          <w:p>
            <w:pPr>
              <w:spacing w:after="0"/>
              <w:rPr>
                <w:sz w:val="1"/>
                <w:szCs w:val="1"/>
                <w:color w:val="auto"/>
              </w:rPr>
            </w:pPr>
          </w:p>
        </w:tc>
      </w:tr>
      <w:tr>
        <w:trPr>
          <w:trHeight w:val="243"/>
        </w:trPr>
        <w:tc>
          <w:tcPr>
            <w:tcW w:w="2500" w:type="dxa"/>
            <w:vAlign w:val="bottom"/>
          </w:tcPr>
          <w:p>
            <w:pPr>
              <w:ind w:left="40"/>
              <w:spacing w:after="0"/>
              <w:rPr>
                <w:sz w:val="20"/>
                <w:szCs w:val="20"/>
                <w:color w:val="auto"/>
              </w:rPr>
            </w:pPr>
            <w:r>
              <w:rPr>
                <w:rFonts w:ascii="Arial" w:cs="Arial" w:eastAsia="Arial" w:hAnsi="Arial"/>
                <w:sz w:val="18"/>
                <w:szCs w:val="18"/>
                <w:color w:val="auto"/>
              </w:rPr>
              <w:t>Latin America and Asia Pacific</w:t>
            </w:r>
          </w:p>
        </w:tc>
        <w:tc>
          <w:tcPr>
            <w:tcW w:w="14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13.4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24.4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30.1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7"/>
        </w:trPr>
        <w:tc>
          <w:tcPr>
            <w:tcW w:w="2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85.8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7.8 %</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firstLine="432"/>
        <w:spacing w:after="0" w:line="257" w:lineRule="auto"/>
        <w:rPr>
          <w:sz w:val="20"/>
          <w:szCs w:val="20"/>
          <w:color w:val="auto"/>
        </w:rPr>
      </w:pPr>
      <w:r>
        <w:rPr>
          <w:rFonts w:ascii="Arial" w:cs="Arial" w:eastAsia="Arial" w:hAnsi="Arial"/>
          <w:sz w:val="18"/>
          <w:szCs w:val="18"/>
          <w:color w:val="auto"/>
        </w:rPr>
        <w:t>Our revenue in North America increased $10.4 million, or 30.8%, during the second quarter of fiscal 2015 compared with the same quarter of fiscal 2014. While revenue from wireless operator customers decreased slightly, the majority of the increase in the second quarter of fiscal 2015 came from government and utility markets. On a year-to-date basis, North America revenue increased $15.3 million, or 22.7%, compared to the same period in fiscal 2014. The increase in North America comes from the government and utility markets, while revenue from network operator customers was about the same compared with the same period in fiscal 2014.</w:t>
      </w:r>
    </w:p>
    <w:p>
      <w:pPr>
        <w:spacing w:after="0" w:line="134" w:lineRule="exact"/>
        <w:rPr>
          <w:sz w:val="20"/>
          <w:szCs w:val="20"/>
          <w:color w:val="auto"/>
        </w:rPr>
      </w:pPr>
    </w:p>
    <w:p>
      <w:pPr>
        <w:ind w:right="80" w:firstLine="405"/>
        <w:spacing w:after="0" w:line="259" w:lineRule="auto"/>
        <w:rPr>
          <w:sz w:val="20"/>
          <w:szCs w:val="20"/>
          <w:color w:val="auto"/>
        </w:rPr>
      </w:pPr>
      <w:r>
        <w:rPr>
          <w:rFonts w:ascii="Arial" w:cs="Arial" w:eastAsia="Arial" w:hAnsi="Arial"/>
          <w:sz w:val="18"/>
          <w:szCs w:val="18"/>
          <w:color w:val="auto"/>
        </w:rPr>
        <w:t>Our revenue in Africa and Middle East was down $2.8 million, or 10.8%, for the second quarter of fiscal 2015 compared with the same quarter of fiscal 2014. The majority of this decrease was from our business in Africa, where our customers continued to closely manage their capital spending. On a year-to-date basis, Africa and Middle East revenue was down $15.2 million, or 24.1%, from the same period in fiscal 2014. Our major customers in the region reduced their capital spending during this period compared with the same period in fiscal 2014.</w:t>
      </w:r>
    </w:p>
    <w:p>
      <w:pPr>
        <w:spacing w:after="0" w:line="133" w:lineRule="exact"/>
        <w:rPr>
          <w:sz w:val="20"/>
          <w:szCs w:val="20"/>
          <w:color w:val="auto"/>
        </w:rPr>
      </w:pPr>
    </w:p>
    <w:p>
      <w:pPr>
        <w:ind w:right="260" w:firstLine="405"/>
        <w:spacing w:after="0" w:line="259" w:lineRule="auto"/>
        <w:rPr>
          <w:sz w:val="20"/>
          <w:szCs w:val="20"/>
          <w:color w:val="auto"/>
        </w:rPr>
      </w:pPr>
      <w:r>
        <w:rPr>
          <w:rFonts w:ascii="Arial" w:cs="Arial" w:eastAsia="Arial" w:hAnsi="Arial"/>
          <w:sz w:val="18"/>
          <w:szCs w:val="18"/>
          <w:color w:val="auto"/>
        </w:rPr>
        <w:t>Revenue in Europe and Russia increased $1.7 million, or 17.0%, for the second quarter of fiscal 2015 compared with the same quarter of fiscal 2014, due to increase in customer orders. On a year-to-date basis, revenue in Europe and Russia increased $1.3 million, or 7.0%, from the same period in fiscal 2014. The increases came from higher sales to our larger customers in the region during the second quarter and first two quarters of fiscal 2015 compared with the same periods in fiscal 2014.</w:t>
      </w:r>
    </w:p>
    <w:p>
      <w:pPr>
        <w:spacing w:after="0" w:line="133" w:lineRule="exact"/>
        <w:rPr>
          <w:sz w:val="20"/>
          <w:szCs w:val="20"/>
          <w:color w:val="auto"/>
        </w:rPr>
      </w:pPr>
    </w:p>
    <w:p>
      <w:pPr>
        <w:ind w:right="60" w:firstLine="405"/>
        <w:spacing w:after="0" w:line="279" w:lineRule="auto"/>
        <w:rPr>
          <w:sz w:val="20"/>
          <w:szCs w:val="20"/>
          <w:color w:val="auto"/>
        </w:rPr>
      </w:pPr>
      <w:r>
        <w:rPr>
          <w:rFonts w:ascii="Arial" w:cs="Arial" w:eastAsia="Arial" w:hAnsi="Arial"/>
          <w:sz w:val="17"/>
          <w:szCs w:val="17"/>
          <w:color w:val="auto"/>
        </w:rPr>
        <w:t>Revenue in Latin America and Asia Pacific decreased $2.6 million, or 16.3%, during the second quarter of fiscal 2015 compared with the same quarter in fiscal 2014. The decrease was primarily due to fewer deliveries to customers in Latin America in the second quarter of fiscal 2015, while our business in Asia Pacific was also slightly down due to lower customer orders. On a year-to-date basis, revenue in Latin America and Asia Pacific decreased $5.7 million, or 18.9%, from the same period in fiscal 2014, mostly due to lower product sales to our larger customers in Latin America.</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1" w:name="page22"/>
    <w:bookmarkEnd w:id="21"/>
    <w:tbl>
      <w:tblPr>
        <w:tblLayout w:type="fixed"/>
        <w:tblInd w:w="0" w:type="dxa"/>
        <w:tblCellMar>
          <w:top w:w="0" w:type="dxa"/>
          <w:left w:w="0" w:type="dxa"/>
          <w:bottom w:w="0" w:type="dxa"/>
          <w:right w:w="0" w:type="dxa"/>
        </w:tblCellMar>
      </w:tblPr>
      <w:tr>
        <w:trPr>
          <w:trHeight w:val="192"/>
        </w:trPr>
        <w:tc>
          <w:tcPr>
            <w:tcW w:w="25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Quarter Ended</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337"/>
              <w:spacing w:after="0"/>
              <w:rPr>
                <w:sz w:val="20"/>
                <w:szCs w:val="20"/>
                <w:color w:val="auto"/>
              </w:rPr>
            </w:pPr>
            <w:r>
              <w:rPr>
                <w:rFonts w:ascii="Arial" w:cs="Arial" w:eastAsia="Arial" w:hAnsi="Arial"/>
                <w:sz w:val="14"/>
                <w:szCs w:val="14"/>
                <w:b w:val="1"/>
                <w:bCs w:val="1"/>
                <w:color w:val="auto"/>
              </w:rPr>
              <w:t>Two Quarters Ended</w:t>
            </w:r>
          </w:p>
        </w:tc>
        <w:tc>
          <w:tcPr>
            <w:tcW w:w="1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26,</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3"/>
                <w:szCs w:val="13"/>
                <w:color w:val="auto"/>
              </w:rPr>
            </w:pPr>
          </w:p>
        </w:tc>
        <w:tc>
          <w:tcPr>
            <w:tcW w:w="98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26,</w:t>
            </w:r>
          </w:p>
        </w:tc>
        <w:tc>
          <w:tcPr>
            <w:tcW w:w="120" w:type="dxa"/>
            <w:vAlign w:val="bottom"/>
          </w:tcPr>
          <w:p>
            <w:pPr>
              <w:spacing w:after="0"/>
              <w:rPr>
                <w:sz w:val="13"/>
                <w:szCs w:val="13"/>
                <w:color w:val="auto"/>
              </w:rPr>
            </w:pPr>
          </w:p>
        </w:tc>
        <w:tc>
          <w:tcPr>
            <w:tcW w:w="11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140" w:type="dxa"/>
            <w:vAlign w:val="bottom"/>
          </w:tcPr>
          <w:p>
            <w:pPr>
              <w:spacing w:after="0"/>
              <w:rPr>
                <w:sz w:val="13"/>
                <w:szCs w:val="13"/>
                <w:color w:val="auto"/>
              </w:rPr>
            </w:pPr>
          </w:p>
        </w:tc>
        <w:tc>
          <w:tcPr>
            <w:tcW w:w="660" w:type="dxa"/>
            <w:vAlign w:val="bottom"/>
          </w:tcPr>
          <w:p>
            <w:pPr>
              <w:jc w:val="right"/>
              <w:ind w:right="297"/>
              <w:spacing w:after="0" w:line="153" w:lineRule="exact"/>
              <w:rPr>
                <w:sz w:val="20"/>
                <w:szCs w:val="20"/>
                <w:color w:val="auto"/>
              </w:rPr>
            </w:pPr>
            <w:r>
              <w:rPr>
                <w:rFonts w:ascii="Arial" w:cs="Arial" w:eastAsia="Arial" w:hAnsi="Arial"/>
                <w:sz w:val="14"/>
                <w:szCs w:val="14"/>
                <w:b w:val="1"/>
                <w:bCs w:val="1"/>
                <w:color w:val="auto"/>
              </w:rPr>
              <w:t>$</w:t>
            </w:r>
          </w:p>
        </w:tc>
        <w:tc>
          <w:tcPr>
            <w:tcW w:w="1140" w:type="dxa"/>
            <w:vAlign w:val="bottom"/>
            <w:gridSpan w:val="2"/>
          </w:tcPr>
          <w:p>
            <w:pPr>
              <w:jc w:val="right"/>
              <w:ind w:right="368"/>
              <w:spacing w:after="0" w:line="153"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2"/>
        </w:trPr>
        <w:tc>
          <w:tcPr>
            <w:tcW w:w="254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97"/>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50"/>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51.9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6.1</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113.9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115.4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2540" w:type="dxa"/>
            <w:vAlign w:val="bottom"/>
          </w:tcPr>
          <w:p>
            <w:pPr>
              <w:ind w:left="40"/>
              <w:spacing w:after="0"/>
              <w:rPr>
                <w:sz w:val="20"/>
                <w:szCs w:val="20"/>
                <w:color w:val="auto"/>
              </w:rPr>
            </w:pPr>
            <w:r>
              <w:rPr>
                <w:rFonts w:ascii="Arial" w:cs="Arial" w:eastAsia="Arial" w:hAnsi="Arial"/>
                <w:sz w:val="18"/>
                <w:szCs w:val="18"/>
                <w:color w:val="auto"/>
              </w:rPr>
              <w:t>Services</w:t>
            </w:r>
          </w:p>
        </w:tc>
        <w:tc>
          <w:tcPr>
            <w:tcW w:w="14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34.5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33.9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0.6</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61.0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63.8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92.5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85.8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174.9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179.2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0"/>
        </w:trPr>
        <w:tc>
          <w:tcPr>
            <w:tcW w:w="25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ind w:right="140" w:firstLine="405"/>
        <w:spacing w:after="0" w:line="259" w:lineRule="auto"/>
        <w:rPr>
          <w:sz w:val="20"/>
          <w:szCs w:val="20"/>
          <w:color w:val="auto"/>
        </w:rPr>
      </w:pPr>
      <w:r>
        <w:rPr>
          <w:rFonts w:ascii="Arial" w:cs="Arial" w:eastAsia="Arial" w:hAnsi="Arial"/>
          <w:sz w:val="18"/>
          <w:szCs w:val="18"/>
          <w:color w:val="auto"/>
        </w:rPr>
        <w:t>Our revenue from product sales increased $6.1 million, or 11.8%, for the second quarter of fiscal 2015 compared with the same quarter in fiscal 2014. The increase came primarily from stronger sales in North America and Europe, offset in part by weaker sales in Africa and Latin America. Our services revenue increased by $0.6 million, or 1.8%, during the second quarter of fiscal 2015 compared with the same quarter of fiscal 2014, due to increased service activities in North America and Africa.</w:t>
      </w:r>
    </w:p>
    <w:p>
      <w:pPr>
        <w:spacing w:after="0" w:line="133"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revenue from product sales was down by $1.5 million, or 1.3%, for the first two quarters of fiscal 2015 compared with the same period in fiscal</w:t>
      </w:r>
    </w:p>
    <w:p>
      <w:pPr>
        <w:spacing w:after="0" w:line="35"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2014. The decrease came primarily from weaker product sales in Africa and Latin America, offset in part by stronger product sales in North America, Europe and Asia. Our services revenue was down by $2.8 million, or 4.4%, during the first two quarters of fiscal 2015 compared with the same period of fiscal 2014, due to reduced service activities in North America, partially offset by increased service activities in Africa.</w:t>
      </w:r>
    </w:p>
    <w:p>
      <w:pPr>
        <w:spacing w:after="0" w:line="136" w:lineRule="exact"/>
        <w:rPr>
          <w:sz w:val="20"/>
          <w:szCs w:val="20"/>
          <w:color w:val="auto"/>
        </w:rPr>
      </w:pPr>
    </w:p>
    <w:p>
      <w:pPr>
        <w:ind w:right="80" w:firstLine="405"/>
        <w:spacing w:after="0" w:line="286" w:lineRule="auto"/>
        <w:rPr>
          <w:sz w:val="20"/>
          <w:szCs w:val="20"/>
          <w:color w:val="auto"/>
        </w:rPr>
      </w:pPr>
      <w:r>
        <w:rPr>
          <w:rFonts w:ascii="Arial" w:cs="Arial" w:eastAsia="Arial" w:hAnsi="Arial"/>
          <w:sz w:val="17"/>
          <w:szCs w:val="17"/>
          <w:color w:val="auto"/>
        </w:rPr>
        <w:t>During the second quarter and first two quarters of fiscal 2015 and 2014, the MTN Group in Africa accounted for more than 10% of our total revenue. We have entered into separate and distinct contracts with MTN Group as well as separate arrangements with various MTN Group subsidiaries. The loss of all business from the MTN Group could adversely affect our results of operations, cash flows and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rPr>
              <w:t>Quarter Ended</w:t>
            </w: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Two Quarters Ended</w:t>
            </w: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60" w:type="dxa"/>
            <w:vAlign w:val="bottom"/>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26,</w:t>
            </w:r>
          </w:p>
        </w:tc>
        <w:tc>
          <w:tcPr>
            <w:tcW w:w="140" w:type="dxa"/>
            <w:vAlign w:val="bottom"/>
          </w:tcPr>
          <w:p>
            <w:pPr>
              <w:spacing w:after="0"/>
              <w:rPr>
                <w:sz w:val="13"/>
                <w:szCs w:val="13"/>
                <w:color w:val="auto"/>
              </w:rPr>
            </w:pPr>
          </w:p>
        </w:tc>
        <w:tc>
          <w:tcPr>
            <w:tcW w:w="104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120" w:type="dxa"/>
            <w:vAlign w:val="bottom"/>
            <w:vMerge w:val="restart"/>
          </w:tcPr>
          <w:p>
            <w:pPr>
              <w:spacing w:after="0"/>
              <w:rPr>
                <w:sz w:val="13"/>
                <w:szCs w:val="13"/>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vMerge w:val="restart"/>
          </w:tcPr>
          <w:p>
            <w:pPr>
              <w:spacing w:after="0"/>
              <w:rPr>
                <w:sz w:val="13"/>
                <w:szCs w:val="13"/>
                <w:color w:val="auto"/>
              </w:rPr>
            </w:pPr>
          </w:p>
        </w:tc>
        <w:tc>
          <w:tcPr>
            <w:tcW w:w="940" w:type="dxa"/>
            <w:vAlign w:val="bottom"/>
            <w:vMerge w:val="restart"/>
          </w:tcPr>
          <w:p>
            <w:pPr>
              <w:jc w:val="right"/>
              <w:ind w:right="54"/>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26,</w:t>
            </w:r>
          </w:p>
        </w:tc>
        <w:tc>
          <w:tcPr>
            <w:tcW w:w="140" w:type="dxa"/>
            <w:vAlign w:val="bottom"/>
          </w:tcPr>
          <w:p>
            <w:pPr>
              <w:spacing w:after="0"/>
              <w:rPr>
                <w:sz w:val="13"/>
                <w:szCs w:val="13"/>
                <w:color w:val="auto"/>
              </w:rPr>
            </w:pPr>
          </w:p>
        </w:tc>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3"/>
                <w:szCs w:val="13"/>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92.5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85.8</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174.9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179.2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21"/>
                <w:szCs w:val="21"/>
                <w:color w:val="auto"/>
              </w:rPr>
            </w:pPr>
          </w:p>
        </w:tc>
        <w:tc>
          <w:tcPr>
            <w:tcW w:w="1040" w:type="dxa"/>
            <w:vAlign w:val="bottom"/>
          </w:tcPr>
          <w:p>
            <w:pPr>
              <w:ind w:left="52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540"/>
              <w:spacing w:after="0"/>
              <w:rPr>
                <w:sz w:val="20"/>
                <w:szCs w:val="20"/>
                <w:color w:val="auto"/>
              </w:rPr>
            </w:pPr>
            <w:r>
              <w:rPr>
                <w:rFonts w:ascii="Arial" w:cs="Arial" w:eastAsia="Arial" w:hAnsi="Arial"/>
                <w:sz w:val="18"/>
                <w:szCs w:val="18"/>
                <w:color w:val="auto"/>
              </w:rPr>
              <w:t>64.5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ind w:right="116"/>
              <w:spacing w:after="0"/>
              <w:rPr>
                <w:sz w:val="20"/>
                <w:szCs w:val="20"/>
                <w:color w:val="auto"/>
              </w:rPr>
            </w:pPr>
            <w:r>
              <w:rPr>
                <w:rFonts w:ascii="Arial" w:cs="Arial" w:eastAsia="Arial" w:hAnsi="Arial"/>
                <w:sz w:val="18"/>
                <w:szCs w:val="18"/>
                <w:color w:val="auto"/>
              </w:rPr>
              <w:t>127.9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ind w:right="98"/>
              <w:spacing w:after="0"/>
              <w:rPr>
                <w:sz w:val="20"/>
                <w:szCs w:val="20"/>
                <w:color w:val="auto"/>
              </w:rPr>
            </w:pPr>
            <w:r>
              <w:rPr>
                <w:rFonts w:ascii="Arial" w:cs="Arial" w:eastAsia="Arial" w:hAnsi="Arial"/>
                <w:sz w:val="18"/>
                <w:szCs w:val="18"/>
                <w:color w:val="auto"/>
              </w:rPr>
              <w:t>134.8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(6.9)</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23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21.3</w:t>
            </w:r>
          </w:p>
        </w:tc>
        <w:tc>
          <w:tcPr>
            <w:tcW w:w="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rPr>
              <w:t>47.0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98"/>
              <w:spacing w:after="0"/>
              <w:rPr>
                <w:sz w:val="20"/>
                <w:szCs w:val="20"/>
                <w:color w:val="auto"/>
              </w:rPr>
            </w:pPr>
            <w:r>
              <w:rPr>
                <w:rFonts w:ascii="Arial" w:cs="Arial" w:eastAsia="Arial" w:hAnsi="Arial"/>
                <w:sz w:val="18"/>
                <w:szCs w:val="18"/>
                <w:color w:val="auto"/>
              </w:rPr>
              <w:t>44.4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2.6</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5.9 %</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60" w:type="dxa"/>
            <w:vAlign w:val="bottom"/>
          </w:tcPr>
          <w:p>
            <w:pPr>
              <w:spacing w:after="0"/>
              <w:rPr>
                <w:sz w:val="21"/>
                <w:szCs w:val="21"/>
                <w:color w:val="auto"/>
              </w:rPr>
            </w:pPr>
          </w:p>
        </w:tc>
        <w:tc>
          <w:tcPr>
            <w:tcW w:w="1040" w:type="dxa"/>
            <w:vAlign w:val="bottom"/>
          </w:tcPr>
          <w:p>
            <w:pPr>
              <w:ind w:left="520"/>
              <w:spacing w:after="0"/>
              <w:rPr>
                <w:sz w:val="20"/>
                <w:szCs w:val="20"/>
                <w:color w:val="auto"/>
              </w:rPr>
            </w:pPr>
            <w:r>
              <w:rPr>
                <w:rFonts w:ascii="Arial" w:cs="Arial" w:eastAsia="Arial" w:hAnsi="Arial"/>
                <w:sz w:val="18"/>
                <w:szCs w:val="18"/>
                <w:color w:val="auto"/>
                <w:w w:val="97"/>
              </w:rPr>
              <w:t>27.2%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540"/>
              <w:spacing w:after="0"/>
              <w:rPr>
                <w:sz w:val="20"/>
                <w:szCs w:val="20"/>
                <w:color w:val="auto"/>
              </w:rPr>
            </w:pPr>
            <w:r>
              <w:rPr>
                <w:rFonts w:ascii="Arial" w:cs="Arial" w:eastAsia="Arial" w:hAnsi="Arial"/>
                <w:sz w:val="18"/>
                <w:szCs w:val="18"/>
                <w:color w:val="auto"/>
                <w:w w:val="93"/>
              </w:rPr>
              <w:t>24.8%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firstLine="432"/>
        <w:spacing w:after="0" w:line="273" w:lineRule="auto"/>
        <w:rPr>
          <w:sz w:val="20"/>
          <w:szCs w:val="20"/>
          <w:color w:val="auto"/>
        </w:rPr>
      </w:pPr>
      <w:r>
        <w:rPr>
          <w:rFonts w:ascii="Arial" w:cs="Arial" w:eastAsia="Arial" w:hAnsi="Arial"/>
          <w:sz w:val="17"/>
          <w:szCs w:val="17"/>
          <w:color w:val="auto"/>
        </w:rPr>
        <w:t>Gross margin for the second quarter of fiscal 2015 increased by $3.9 million, or 18.3%, compared with the same quarter of fiscal 2014. The increase in gross margin came from both higher sales volume in the quarter, primarily in North America and Europe, and increased profitability in North America and Asia. These increases were offset in part by decrease in gross margin in Africa. Gross margin as a percentage of revenue increased in the second quarter of fiscal 2015 compared with the same quarter of fiscal 2014, primarily due to higher product and service gross margin rates in North America, Europe and Asia, offset in part by lower profitability in other regions. The company also experienced bigger foreign exchange losses on contracts denominated in currencies other than the U.S. dollar that partly offset the improved margins. We may see similar affects going forward.</w:t>
      </w:r>
    </w:p>
    <w:p>
      <w:pPr>
        <w:spacing w:after="0" w:line="124" w:lineRule="exact"/>
        <w:rPr>
          <w:sz w:val="20"/>
          <w:szCs w:val="20"/>
          <w:color w:val="auto"/>
        </w:rPr>
      </w:pPr>
    </w:p>
    <w:p>
      <w:pPr>
        <w:ind w:right="80" w:firstLine="432"/>
        <w:spacing w:after="0" w:line="277" w:lineRule="auto"/>
        <w:rPr>
          <w:sz w:val="20"/>
          <w:szCs w:val="20"/>
          <w:color w:val="auto"/>
        </w:rPr>
      </w:pPr>
      <w:r>
        <w:rPr>
          <w:rFonts w:ascii="Arial" w:cs="Arial" w:eastAsia="Arial" w:hAnsi="Arial"/>
          <w:sz w:val="18"/>
          <w:szCs w:val="18"/>
          <w:color w:val="auto"/>
        </w:rPr>
        <w:t>On a year-to-date basis, gross margin was $2.6 million higher than the same period in fiscal 2014. Overall improved profitability in North America and Asia drove the improvement which was partially offset by decreased profitability in Africa, Middle East and Latin America.</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3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jc w:val="right"/>
              <w:ind w:right="760"/>
              <w:spacing w:after="0"/>
              <w:rPr>
                <w:sz w:val="20"/>
                <w:szCs w:val="20"/>
                <w:color w:val="auto"/>
              </w:rPr>
            </w:pPr>
            <w:r>
              <w:rPr>
                <w:rFonts w:ascii="Arial" w:cs="Arial" w:eastAsia="Arial" w:hAnsi="Arial"/>
                <w:sz w:val="14"/>
                <w:szCs w:val="14"/>
                <w:b w:val="1"/>
                <w:bCs w:val="1"/>
                <w:color w:val="auto"/>
              </w:rPr>
              <w:t>Quarter Ended</w:t>
            </w: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Two Quarters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3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26,</w:t>
            </w:r>
          </w:p>
        </w:tc>
        <w:tc>
          <w:tcPr>
            <w:tcW w:w="140" w:type="dxa"/>
            <w:vAlign w:val="bottom"/>
          </w:tcPr>
          <w:p>
            <w:pPr>
              <w:spacing w:after="0"/>
              <w:rPr>
                <w:sz w:val="13"/>
                <w:szCs w:val="13"/>
                <w:color w:val="auto"/>
              </w:rPr>
            </w:pPr>
          </w:p>
        </w:tc>
        <w:tc>
          <w:tcPr>
            <w:tcW w:w="11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December 27,</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vMerge w:val="restart"/>
          </w:tcPr>
          <w:p>
            <w:pPr>
              <w:spacing w:after="0"/>
              <w:rPr>
                <w:sz w:val="13"/>
                <w:szCs w:val="13"/>
                <w:color w:val="auto"/>
              </w:rPr>
            </w:pPr>
          </w:p>
        </w:tc>
        <w:tc>
          <w:tcPr>
            <w:tcW w:w="9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60" w:type="dxa"/>
            <w:vAlign w:val="bottom"/>
            <w:vMerge w:val="restart"/>
          </w:tcPr>
          <w:p>
            <w:pPr>
              <w:spacing w:after="0"/>
              <w:rPr>
                <w:sz w:val="13"/>
                <w:szCs w:val="13"/>
                <w:color w:val="auto"/>
              </w:rPr>
            </w:pPr>
          </w:p>
        </w:tc>
        <w:tc>
          <w:tcPr>
            <w:tcW w:w="114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26,</w:t>
            </w:r>
          </w:p>
        </w:tc>
        <w:tc>
          <w:tcPr>
            <w:tcW w:w="160" w:type="dxa"/>
            <w:vAlign w:val="bottom"/>
          </w:tcPr>
          <w:p>
            <w:pPr>
              <w:spacing w:after="0"/>
              <w:rPr>
                <w:sz w:val="13"/>
                <w:szCs w:val="13"/>
                <w:color w:val="auto"/>
              </w:rPr>
            </w:pPr>
          </w:p>
        </w:tc>
        <w:tc>
          <w:tcPr>
            <w:tcW w:w="114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3"/>
                <w:szCs w:val="13"/>
                <w:color w:val="auto"/>
              </w:rPr>
            </w:pPr>
          </w:p>
        </w:tc>
        <w:tc>
          <w:tcPr>
            <w:tcW w:w="100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3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vMerge w:val="continue"/>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620"/>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1"/>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(3.0)</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(31.9)%  $</w:t>
            </w:r>
          </w:p>
        </w:tc>
        <w:tc>
          <w:tcPr>
            <w:tcW w:w="104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(6.1)</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43"/>
        </w:trPr>
        <w:tc>
          <w:tcPr>
            <w:tcW w:w="238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60" w:type="dxa"/>
            <w:vAlign w:val="bottom"/>
          </w:tcPr>
          <w:p>
            <w:pPr>
              <w:spacing w:after="0"/>
              <w:rPr>
                <w:sz w:val="21"/>
                <w:szCs w:val="21"/>
                <w:color w:val="auto"/>
              </w:rPr>
            </w:pPr>
          </w:p>
        </w:tc>
        <w:tc>
          <w:tcPr>
            <w:tcW w:w="1040" w:type="dxa"/>
            <w:vAlign w:val="bottom"/>
          </w:tcPr>
          <w:p>
            <w:pPr>
              <w:ind w:left="620"/>
              <w:spacing w:after="0"/>
              <w:rPr>
                <w:sz w:val="20"/>
                <w:szCs w:val="20"/>
                <w:color w:val="auto"/>
              </w:rPr>
            </w:pPr>
            <w:r>
              <w:rPr>
                <w:rFonts w:ascii="Arial" w:cs="Arial" w:eastAsia="Arial" w:hAnsi="Arial"/>
                <w:sz w:val="18"/>
                <w:szCs w:val="18"/>
                <w:color w:val="auto"/>
                <w:w w:val="97"/>
              </w:rPr>
              <w:t>6.9%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ind w:left="540"/>
              <w:spacing w:after="0"/>
              <w:rPr>
                <w:sz w:val="20"/>
                <w:szCs w:val="20"/>
                <w:color w:val="auto"/>
              </w:rPr>
            </w:pPr>
            <w:r>
              <w:rPr>
                <w:rFonts w:ascii="Arial" w:cs="Arial" w:eastAsia="Arial" w:hAnsi="Arial"/>
                <w:sz w:val="18"/>
                <w:szCs w:val="18"/>
                <w:color w:val="auto"/>
                <w:w w:val="93"/>
              </w:rPr>
              <w:t>10.7%</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6"/>
        </w:trPr>
        <w:tc>
          <w:tcPr>
            <w:tcW w:w="2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22" w:right="239" w:bottom="1440" w:gutter="0" w:footer="0" w:header="0"/>
        </w:sectPr>
      </w:pPr>
    </w:p>
    <w:bookmarkStart w:id="22" w:name="page23"/>
    <w:bookmarkEnd w:id="22"/>
    <w:p>
      <w:pPr>
        <w:ind w:right="60" w:firstLine="432"/>
        <w:spacing w:after="0" w:line="272" w:lineRule="auto"/>
        <w:rPr>
          <w:sz w:val="20"/>
          <w:szCs w:val="20"/>
          <w:color w:val="auto"/>
        </w:rPr>
      </w:pPr>
      <w:r>
        <w:rPr>
          <w:rFonts w:ascii="Arial" w:cs="Arial" w:eastAsia="Arial" w:hAnsi="Arial"/>
          <w:sz w:val="17"/>
          <w:szCs w:val="17"/>
          <w:color w:val="auto"/>
        </w:rPr>
        <w:t>Our research and development (“R&amp;D”) expenses decreased $3.0 million, or 31.9%, and $6.1 million, or 31.9%, respectively, in the second quarter and first two quarters of fiscal 2015 compared with the same periods in fiscal 2014. The decrease for the second quarter of fiscal 2015 compared with the same quarter in fiscal 2014 was primarily due to a $1.4 million reduction in personnel and related expenses, a $1.0 million decrease in new product development costs and a $0.3 million decrease in facility expense primarily due to restructuring of R&amp;D in Santa Clara, California. The decrease for the first two quarters of fiscal 2015 compared with the same period in fiscal 2014 was primarily due to a $3.2 million reduction in personnel and related expenses, a $1.6 million decrease in new product development costs, a $0.7 million decrease in facility expense and a $0.2 million decrease in share-based compensation expenses primarily due to restructuring of R&amp;D in Santa Clara, California.</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ind w:left="340"/>
              <w:spacing w:after="0"/>
              <w:rPr>
                <w:sz w:val="20"/>
                <w:szCs w:val="20"/>
                <w:color w:val="auto"/>
              </w:rPr>
            </w:pPr>
            <w:r>
              <w:rPr>
                <w:rFonts w:ascii="Arial" w:cs="Arial" w:eastAsia="Arial" w:hAnsi="Arial"/>
                <w:sz w:val="14"/>
                <w:szCs w:val="14"/>
                <w:b w:val="1"/>
                <w:bCs w:val="1"/>
                <w:color w:val="auto"/>
              </w:rPr>
              <w:t>Quarter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Two Quarters Ended</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December 26,</w:t>
            </w:r>
          </w:p>
        </w:tc>
        <w:tc>
          <w:tcPr>
            <w:tcW w:w="140" w:type="dxa"/>
            <w:vAlign w:val="bottom"/>
          </w:tcPr>
          <w:p>
            <w:pPr>
              <w:spacing w:after="0"/>
              <w:rPr>
                <w:sz w:val="13"/>
                <w:szCs w:val="13"/>
                <w:color w:val="auto"/>
              </w:rPr>
            </w:pPr>
          </w:p>
        </w:tc>
        <w:tc>
          <w:tcPr>
            <w:tcW w:w="116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December 27,</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3"/>
                <w:szCs w:val="13"/>
                <w:color w:val="auto"/>
              </w:rPr>
            </w:pP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3"/>
                <w:szCs w:val="13"/>
                <w:color w:val="auto"/>
              </w:rPr>
            </w:pPr>
          </w:p>
        </w:tc>
        <w:tc>
          <w:tcPr>
            <w:tcW w:w="140" w:type="dxa"/>
            <w:vAlign w:val="bottom"/>
            <w:vMerge w:val="restart"/>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December 26,</w:t>
            </w:r>
          </w:p>
        </w:tc>
        <w:tc>
          <w:tcPr>
            <w:tcW w:w="140" w:type="dxa"/>
            <w:vAlign w:val="bottom"/>
          </w:tcPr>
          <w:p>
            <w:pPr>
              <w:spacing w:after="0"/>
              <w:rPr>
                <w:sz w:val="13"/>
                <w:szCs w:val="13"/>
                <w:color w:val="auto"/>
              </w:rPr>
            </w:pPr>
          </w:p>
        </w:tc>
        <w:tc>
          <w:tcPr>
            <w:tcW w:w="116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20" w:type="dxa"/>
            <w:vAlign w:val="bottom"/>
            <w:vMerge w:val="restart"/>
          </w:tcPr>
          <w:p>
            <w:pPr>
              <w:spacing w:after="0"/>
              <w:rPr>
                <w:sz w:val="13"/>
                <w:szCs w:val="13"/>
                <w:color w:val="auto"/>
              </w:rPr>
            </w:pPr>
          </w:p>
        </w:tc>
        <w:tc>
          <w:tcPr>
            <w:tcW w:w="980" w:type="dxa"/>
            <w:vAlign w:val="bottom"/>
            <w:vMerge w:val="restart"/>
          </w:tcPr>
          <w:p>
            <w:pPr>
              <w:jc w:val="right"/>
              <w:ind w:right="7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06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22.2</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(1.0)</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(4.5)%  $</w:t>
            </w:r>
          </w:p>
        </w:tc>
        <w:tc>
          <w:tcPr>
            <w:tcW w:w="106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44.4</w:t>
            </w:r>
          </w:p>
        </w:tc>
        <w:tc>
          <w:tcPr>
            <w:tcW w:w="1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(4.0)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 of revenue</w:t>
            </w:r>
          </w:p>
        </w:tc>
        <w:tc>
          <w:tcPr>
            <w:tcW w:w="140" w:type="dxa"/>
            <w:vAlign w:val="bottom"/>
          </w:tcPr>
          <w:p>
            <w:pPr>
              <w:spacing w:after="0"/>
              <w:rPr>
                <w:sz w:val="21"/>
                <w:szCs w:val="21"/>
                <w:color w:val="auto"/>
              </w:rPr>
            </w:pPr>
          </w:p>
        </w:tc>
        <w:tc>
          <w:tcPr>
            <w:tcW w:w="1040" w:type="dxa"/>
            <w:vAlign w:val="bottom"/>
          </w:tcPr>
          <w:p>
            <w:pPr>
              <w:ind w:left="540"/>
              <w:spacing w:after="0"/>
              <w:rPr>
                <w:sz w:val="20"/>
                <w:szCs w:val="20"/>
                <w:color w:val="auto"/>
              </w:rPr>
            </w:pPr>
            <w:r>
              <w:rPr>
                <w:rFonts w:ascii="Arial" w:cs="Arial" w:eastAsia="Arial" w:hAnsi="Arial"/>
                <w:sz w:val="18"/>
                <w:szCs w:val="18"/>
                <w:color w:val="auto"/>
                <w:w w:val="93"/>
              </w:rPr>
              <w:t>22.9%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540"/>
              <w:spacing w:after="0"/>
              <w:rPr>
                <w:sz w:val="20"/>
                <w:szCs w:val="20"/>
                <w:color w:val="auto"/>
              </w:rPr>
            </w:pPr>
            <w:r>
              <w:rPr>
                <w:rFonts w:ascii="Arial" w:cs="Arial" w:eastAsia="Arial" w:hAnsi="Arial"/>
                <w:sz w:val="18"/>
                <w:szCs w:val="18"/>
                <w:color w:val="auto"/>
                <w:w w:val="93"/>
              </w:rPr>
              <w:t>25.9%</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tcPr>
          <w:p>
            <w:pPr>
              <w:ind w:left="540"/>
              <w:spacing w:after="0"/>
              <w:rPr>
                <w:sz w:val="20"/>
                <w:szCs w:val="20"/>
                <w:color w:val="auto"/>
              </w:rPr>
            </w:pPr>
            <w:r>
              <w:rPr>
                <w:rFonts w:ascii="Arial" w:cs="Arial" w:eastAsia="Arial" w:hAnsi="Arial"/>
                <w:sz w:val="18"/>
                <w:szCs w:val="18"/>
                <w:color w:val="auto"/>
                <w:w w:val="97"/>
              </w:rPr>
              <w:t>23.1%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tcPr>
          <w:p>
            <w:pPr>
              <w:ind w:left="540"/>
              <w:spacing w:after="0"/>
              <w:rPr>
                <w:sz w:val="20"/>
                <w:szCs w:val="20"/>
                <w:color w:val="auto"/>
              </w:rPr>
            </w:pPr>
            <w:r>
              <w:rPr>
                <w:rFonts w:ascii="Arial" w:cs="Arial" w:eastAsia="Arial" w:hAnsi="Arial"/>
                <w:sz w:val="18"/>
                <w:szCs w:val="18"/>
                <w:color w:val="auto"/>
                <w:w w:val="93"/>
              </w:rPr>
              <w:t>24.8%</w:t>
            </w: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60" w:firstLine="432"/>
        <w:spacing w:after="0" w:line="269" w:lineRule="auto"/>
        <w:rPr>
          <w:sz w:val="20"/>
          <w:szCs w:val="20"/>
          <w:color w:val="auto"/>
        </w:rPr>
      </w:pPr>
      <w:r>
        <w:rPr>
          <w:rFonts w:ascii="Arial" w:cs="Arial" w:eastAsia="Arial" w:hAnsi="Arial"/>
          <w:sz w:val="17"/>
          <w:szCs w:val="17"/>
          <w:color w:val="auto"/>
        </w:rPr>
        <w:t>Our selling and administrative expenses declined $1.0 million, or 4.5%, and $4.0 million, or 9.0%, respectively, in the second quarter and first two quarters of fiscal 2015 compared with the same periods in fiscal 2014. The decrease for the second quarter of fiscal 2015 compared with the same quarter in fiscal 2014 was primarily due to a $1.5 million decrease in personnel and related expenses, a $0.6 million decrease in IT consulting expenses as result of the completion of the ERP system implementation, a $0.6 million lower travel expense, a $0.6 million decrease in sales incentive compensation and a $0.2 million decrease in share-based compensation expenses resulting from employee terminations and full vesting of prior stock awards. The decreases were partially offset by a $2.7 million increase in professional fees primarily associated with the annual audit and quarterly review of our financial statements. The decrease for the first two quarters of fiscal 2015 compared with the same period in fiscal 2014 was primarily due to a $3.7 million decrease in personnel and related expenses, a $1.2 million decrease in IT consulting expenses as result of the completion of the ERP system implementation, a $1.0 million lower travel expense, a $1.1 million decrease in sales incentive compensation and a $1.0 million decrease in share-based compensation expenses resulting from employee terminations and full vesting of prior stock awards. The decreases were partially offset by a $3.5 million increase in professional fees associated with the annual audit and quarterly review of our financial statements.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171" w:lineRule="exact"/>
        <w:rPr>
          <w:sz w:val="20"/>
          <w:szCs w:val="20"/>
          <w:color w:val="auto"/>
        </w:rPr>
      </w:pPr>
    </w:p>
    <w:p>
      <w:pPr>
        <w:jc w:val="both"/>
        <w:ind w:right="220" w:firstLine="405"/>
        <w:spacing w:after="0" w:line="286" w:lineRule="auto"/>
        <w:rPr>
          <w:sz w:val="20"/>
          <w:szCs w:val="20"/>
          <w:color w:val="auto"/>
        </w:rPr>
      </w:pPr>
      <w:r>
        <w:rPr>
          <w:rFonts w:ascii="Arial" w:cs="Arial" w:eastAsia="Arial" w:hAnsi="Arial"/>
          <w:sz w:val="17"/>
          <w:szCs w:val="17"/>
          <w:color w:val="auto"/>
        </w:rPr>
        <w:t>During the third quarter of fiscal 2014, in line with the decrease in revenue that we experienced and our reduced forecast for the immediate future, we initiated the Fiscal 2014-2015 Plan to reduce our operating costs, primarily in North America, Europe and Asia. Activities under the Fiscal 2014-2015 Plan primarily include reductions in force and additional facility downsizing of our Santa Clara, California headquarters.</w:t>
      </w:r>
    </w:p>
    <w:p>
      <w:pPr>
        <w:spacing w:after="0" w:line="111" w:lineRule="exact"/>
        <w:rPr>
          <w:sz w:val="20"/>
          <w:szCs w:val="20"/>
          <w:color w:val="auto"/>
        </w:rPr>
      </w:pPr>
    </w:p>
    <w:p>
      <w:pPr>
        <w:ind w:right="100" w:firstLine="432"/>
        <w:spacing w:after="0" w:line="259" w:lineRule="auto"/>
        <w:rPr>
          <w:sz w:val="20"/>
          <w:szCs w:val="20"/>
          <w:color w:val="auto"/>
        </w:rPr>
      </w:pPr>
      <w:r>
        <w:rPr>
          <w:rFonts w:ascii="Arial" w:cs="Arial" w:eastAsia="Arial" w:hAnsi="Arial"/>
          <w:sz w:val="18"/>
          <w:szCs w:val="18"/>
          <w:color w:val="auto"/>
        </w:rPr>
        <w:t>During the fourth quarter of fiscal 2013, we initiated the Fiscal 2013-2014 Plan that was intended to bring our cost structure in line with the changing business environment of the worldwide microwave radio and telecommunication markets, primarily in North America, Europe and Asia. Activities under the Fiscal 2013-2014 Plan included reductions in force and the downsizing of our Santa Clara, California headquarters and certain international field offices to reduce our operating expenses.</w:t>
      </w:r>
    </w:p>
    <w:p>
      <w:pPr>
        <w:spacing w:after="0" w:line="13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restructuring charges by plan for the second quarter and first two quarters of fiscal 2015 and 2014 are summarized in the table below:</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46"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2"/>
        </w:trPr>
        <w:tc>
          <w:tcPr>
            <w:tcW w:w="24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Quarter Ended</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Two Quarters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40" w:type="dxa"/>
            <w:vAlign w:val="bottom"/>
          </w:tcPr>
          <w:p>
            <w:pPr>
              <w:spacing w:after="0"/>
              <w:rPr>
                <w:sz w:val="13"/>
                <w:szCs w:val="13"/>
                <w:color w:val="auto"/>
              </w:rPr>
            </w:pPr>
          </w:p>
        </w:tc>
        <w:tc>
          <w:tcPr>
            <w:tcW w:w="11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December 26,</w:t>
            </w:r>
          </w:p>
        </w:tc>
        <w:tc>
          <w:tcPr>
            <w:tcW w:w="14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vMerge w:val="restart"/>
          </w:tcPr>
          <w:p>
            <w:pPr>
              <w:spacing w:after="0"/>
              <w:rPr>
                <w:sz w:val="13"/>
                <w:szCs w:val="13"/>
                <w:color w:val="auto"/>
              </w:rPr>
            </w:pPr>
          </w:p>
        </w:tc>
        <w:tc>
          <w:tcPr>
            <w:tcW w:w="114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3"/>
                <w:szCs w:val="13"/>
                <w:color w:val="auto"/>
              </w:rPr>
            </w:pPr>
          </w:p>
        </w:tc>
        <w:tc>
          <w:tcPr>
            <w:tcW w:w="120" w:type="dxa"/>
            <w:vAlign w:val="bottom"/>
            <w:vMerge w:val="restart"/>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26,</w:t>
            </w:r>
          </w:p>
        </w:tc>
        <w:tc>
          <w:tcPr>
            <w:tcW w:w="120" w:type="dxa"/>
            <w:vAlign w:val="bottom"/>
          </w:tcPr>
          <w:p>
            <w:pPr>
              <w:spacing w:after="0"/>
              <w:rPr>
                <w:sz w:val="13"/>
                <w:szCs w:val="13"/>
                <w:color w:val="auto"/>
              </w:rPr>
            </w:pPr>
          </w:p>
        </w:tc>
        <w:tc>
          <w:tcPr>
            <w:tcW w:w="110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December 27,</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14"/>
              <w:spacing w:after="0"/>
              <w:rPr>
                <w:sz w:val="20"/>
                <w:szCs w:val="20"/>
                <w:color w:val="auto"/>
              </w:rPr>
            </w:pPr>
            <w:r>
              <w:rPr>
                <w:rFonts w:ascii="Arial" w:cs="Arial" w:eastAsia="Arial" w:hAnsi="Arial"/>
                <w:sz w:val="14"/>
                <w:szCs w:val="14"/>
                <w:b w:val="1"/>
                <w:bCs w:val="1"/>
                <w:color w:val="auto"/>
                <w:w w:val="93"/>
              </w:rPr>
              <w:t>Change</w:t>
            </w:r>
          </w:p>
        </w:tc>
        <w:tc>
          <w:tcPr>
            <w:tcW w:w="120" w:type="dxa"/>
            <w:vAlign w:val="bottom"/>
            <w:vMerge w:val="restart"/>
          </w:tcPr>
          <w:p>
            <w:pPr>
              <w:spacing w:after="0"/>
              <w:rPr>
                <w:sz w:val="13"/>
                <w:szCs w:val="13"/>
                <w:color w:val="auto"/>
              </w:rPr>
            </w:pPr>
          </w:p>
        </w:tc>
        <w:tc>
          <w:tcPr>
            <w:tcW w:w="10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4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vMerge w:val="continue"/>
          </w:tcPr>
          <w:p>
            <w:pPr>
              <w:spacing w:after="0"/>
              <w:rPr>
                <w:sz w:val="16"/>
                <w:szCs w:val="16"/>
                <w:color w:val="auto"/>
              </w:rPr>
            </w:pPr>
          </w:p>
        </w:tc>
        <w:tc>
          <w:tcPr>
            <w:tcW w:w="100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2014</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(100.0)%  $</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2400" w:type="dxa"/>
            <w:vAlign w:val="bottom"/>
          </w:tcPr>
          <w:p>
            <w:pPr>
              <w:ind w:left="40"/>
              <w:spacing w:after="0"/>
              <w:rPr>
                <w:sz w:val="20"/>
                <w:szCs w:val="20"/>
                <w:color w:val="auto"/>
              </w:rPr>
            </w:pPr>
            <w:r>
              <w:rPr>
                <w:rFonts w:ascii="Arial" w:cs="Arial" w:eastAsia="Arial" w:hAnsi="Arial"/>
                <w:sz w:val="18"/>
                <w:szCs w:val="18"/>
                <w:color w:val="auto"/>
              </w:rPr>
              <w:t>By Plan:</w:t>
            </w: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Fiscal 2014-2015 Plan</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400" w:type="dxa"/>
            <w:vAlign w:val="bottom"/>
          </w:tcPr>
          <w:p>
            <w:pPr>
              <w:ind w:left="220"/>
              <w:spacing w:after="0"/>
              <w:rPr>
                <w:sz w:val="20"/>
                <w:szCs w:val="20"/>
                <w:color w:val="auto"/>
              </w:rPr>
            </w:pPr>
            <w:r>
              <w:rPr>
                <w:rFonts w:ascii="Arial" w:cs="Arial" w:eastAsia="Arial" w:hAnsi="Arial"/>
                <w:sz w:val="18"/>
                <w:szCs w:val="18"/>
                <w:color w:val="auto"/>
              </w:rPr>
              <w:t>Fiscal 2013-2014 Plan</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9"/>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38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9"/>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Our restructuring expenses consisted primarily of severance and related benefit charges and facilities costs related to obligations under non-cancelable leases for facilities that we ceased to use. Restructuring charges for the second quarter of fiscal 2015 included a $0.2 million facilities charge related to ceasing to use a portion of our Santa Clara headquarters building, offset by a $0.2 million credit to severance and benefit charge primarily due to changes in the number of employee terminations. Restructuring charges for the first two quarters of fiscal 2015 included a $1.5 million facilities charge related to ceasing to use a portion of our Santa Clara headquarters building. As of December 26, 2014, we have substantially completed our activities under the Fiscal 2013-2014 Plan and intend to substantially complete the remaining restructuring activities under the Fiscal 2014-2015 Plan in fiscal 2015.</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and Interest Expense</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79"/>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56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132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28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27,</w:t>
            </w:r>
          </w:p>
        </w:tc>
        <w:tc>
          <w:tcPr>
            <w:tcW w:w="180" w:type="dxa"/>
            <w:vAlign w:val="bottom"/>
          </w:tcPr>
          <w:p>
            <w:pPr>
              <w:spacing w:after="0"/>
              <w:rPr>
                <w:sz w:val="13"/>
                <w:szCs w:val="13"/>
                <w:color w:val="auto"/>
              </w:rPr>
            </w:pPr>
          </w:p>
        </w:tc>
        <w:tc>
          <w:tcPr>
            <w:tcW w:w="1300" w:type="dxa"/>
            <w:vAlign w:val="bottom"/>
            <w:gridSpan w:val="2"/>
          </w:tcPr>
          <w:p>
            <w:pPr>
              <w:ind w:left="60"/>
              <w:spacing w:after="0" w:line="153" w:lineRule="exact"/>
              <w:rPr>
                <w:sz w:val="20"/>
                <w:szCs w:val="20"/>
                <w:color w:val="auto"/>
              </w:rPr>
            </w:pPr>
            <w:r>
              <w:rPr>
                <w:rFonts w:ascii="Arial" w:cs="Arial" w:eastAsia="Arial" w:hAnsi="Arial"/>
                <w:sz w:val="14"/>
                <w:szCs w:val="14"/>
                <w:b w:val="1"/>
                <w:bCs w:val="1"/>
                <w:color w:val="auto"/>
              </w:rPr>
              <w:t>December 26,</w:t>
            </w:r>
          </w:p>
        </w:tc>
        <w:tc>
          <w:tcPr>
            <w:tcW w:w="180" w:type="dxa"/>
            <w:vAlign w:val="bottom"/>
          </w:tcPr>
          <w:p>
            <w:pPr>
              <w:spacing w:after="0"/>
              <w:rPr>
                <w:sz w:val="13"/>
                <w:szCs w:val="13"/>
                <w:color w:val="auto"/>
              </w:rPr>
            </w:pPr>
          </w:p>
        </w:tc>
        <w:tc>
          <w:tcPr>
            <w:tcW w:w="1180" w:type="dxa"/>
            <w:vAlign w:val="bottom"/>
          </w:tcPr>
          <w:p>
            <w:pPr>
              <w:jc w:val="right"/>
              <w:ind w:right="199"/>
              <w:spacing w:after="0" w:line="153" w:lineRule="exact"/>
              <w:rPr>
                <w:sz w:val="20"/>
                <w:szCs w:val="20"/>
                <w:color w:val="auto"/>
              </w:rPr>
            </w:pPr>
            <w:r>
              <w:rPr>
                <w:rFonts w:ascii="Arial" w:cs="Arial" w:eastAsia="Arial" w:hAnsi="Arial"/>
                <w:sz w:val="14"/>
                <w:szCs w:val="14"/>
                <w:b w:val="1"/>
                <w:bCs w:val="1"/>
                <w:color w:val="auto"/>
                <w:w w:val="96"/>
              </w:rPr>
              <w:t>December 27,</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certificates of deposit.</w:t>
      </w:r>
    </w:p>
    <w:p>
      <w:pPr>
        <w:spacing w:after="0" w:line="183"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Interest expense was primarily related to interest associated with borrowings and term loan under the SVB Credit Facility and discounts on customer letters of credit.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ind w:left="60"/>
              <w:spacing w:after="0"/>
              <w:rPr>
                <w:sz w:val="20"/>
                <w:szCs w:val="20"/>
                <w:color w:val="auto"/>
              </w:rPr>
            </w:pPr>
            <w:r>
              <w:rPr>
                <w:rFonts w:ascii="Arial" w:cs="Arial" w:eastAsia="Arial" w:hAnsi="Arial"/>
                <w:sz w:val="14"/>
                <w:szCs w:val="14"/>
                <w:b w:val="1"/>
                <w:bCs w:val="1"/>
                <w:color w:val="auto"/>
              </w:rPr>
              <w:t>Quarter Ended</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5"/>
          </w:tcPr>
          <w:p>
            <w:pPr>
              <w:ind w:left="820"/>
              <w:spacing w:after="0"/>
              <w:rPr>
                <w:sz w:val="20"/>
                <w:szCs w:val="20"/>
                <w:color w:val="auto"/>
              </w:rPr>
            </w:pPr>
            <w:r>
              <w:rPr>
                <w:rFonts w:ascii="Arial" w:cs="Arial" w:eastAsia="Arial" w:hAnsi="Arial"/>
                <w:sz w:val="14"/>
                <w:szCs w:val="14"/>
                <w:b w:val="1"/>
                <w:bCs w:val="1"/>
                <w:color w:val="auto"/>
              </w:rPr>
              <w:t>Two Quarters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64"/>
        </w:trPr>
        <w:tc>
          <w:tcPr>
            <w:tcW w:w="3700" w:type="dxa"/>
            <w:vAlign w:val="bottom"/>
          </w:tcPr>
          <w:p>
            <w:pPr>
              <w:ind w:left="40"/>
              <w:spacing w:after="0"/>
              <w:rPr>
                <w:sz w:val="20"/>
                <w:szCs w:val="20"/>
                <w:color w:val="auto"/>
              </w:rPr>
            </w:pPr>
            <w:r>
              <w:rPr>
                <w:rFonts w:ascii="Arial" w:cs="Arial" w:eastAsia="Arial" w:hAnsi="Arial"/>
                <w:sz w:val="14"/>
                <w:szCs w:val="14"/>
                <w:b w:val="1"/>
                <w:bCs w:val="1"/>
                <w:color w:val="auto"/>
              </w:rPr>
              <w:t>(In millions, except percentages)</w:t>
            </w:r>
          </w:p>
        </w:tc>
        <w:tc>
          <w:tcPr>
            <w:tcW w:w="138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9"/>
              </w:rPr>
              <w:t>December 26, 2014</w:t>
            </w:r>
          </w:p>
        </w:tc>
        <w:tc>
          <w:tcPr>
            <w:tcW w:w="100" w:type="dxa"/>
            <w:vAlign w:val="bottom"/>
          </w:tcPr>
          <w:p>
            <w:pPr>
              <w:spacing w:after="0"/>
              <w:rPr>
                <w:sz w:val="22"/>
                <w:szCs w:val="22"/>
                <w:color w:val="auto"/>
              </w:rPr>
            </w:pPr>
          </w:p>
        </w:tc>
        <w:tc>
          <w:tcPr>
            <w:tcW w:w="144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27, 2013</w:t>
            </w:r>
          </w:p>
        </w:tc>
        <w:tc>
          <w:tcPr>
            <w:tcW w:w="120" w:type="dxa"/>
            <w:vAlign w:val="bottom"/>
          </w:tcPr>
          <w:p>
            <w:pPr>
              <w:spacing w:after="0"/>
              <w:rPr>
                <w:sz w:val="22"/>
                <w:szCs w:val="22"/>
                <w:color w:val="auto"/>
              </w:rPr>
            </w:pP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26, 2014</w:t>
            </w:r>
          </w:p>
        </w:tc>
        <w:tc>
          <w:tcPr>
            <w:tcW w:w="1420" w:type="dxa"/>
            <w:vAlign w:val="bottom"/>
            <w:gridSpan w:val="3"/>
          </w:tcPr>
          <w:p>
            <w:pPr>
              <w:ind w:left="80"/>
              <w:spacing w:after="0"/>
              <w:rPr>
                <w:sz w:val="20"/>
                <w:szCs w:val="20"/>
                <w:color w:val="auto"/>
              </w:rPr>
            </w:pPr>
            <w:r>
              <w:rPr>
                <w:rFonts w:ascii="Arial" w:cs="Arial" w:eastAsia="Arial" w:hAnsi="Arial"/>
                <w:sz w:val="14"/>
                <w:szCs w:val="14"/>
                <w:b w:val="1"/>
                <w:bCs w:val="1"/>
                <w:color w:val="auto"/>
              </w:rPr>
              <w:t>December 27, 2013</w:t>
            </w:r>
          </w:p>
        </w:tc>
        <w:tc>
          <w:tcPr>
            <w:tcW w:w="140" w:type="dxa"/>
            <w:vAlign w:val="bottom"/>
          </w:tcPr>
          <w:p>
            <w:pPr>
              <w:spacing w:after="0"/>
              <w:rPr>
                <w:sz w:val="22"/>
                <w:szCs w:val="22"/>
                <w:color w:val="auto"/>
              </w:rPr>
            </w:pPr>
          </w:p>
        </w:tc>
        <w:tc>
          <w:tcPr>
            <w:tcW w:w="760" w:type="dxa"/>
            <w:vAlign w:val="bottom"/>
          </w:tcPr>
          <w:p>
            <w:pPr>
              <w:jc w:val="right"/>
              <w:ind w:right="76"/>
              <w:spacing w:after="0"/>
              <w:rPr>
                <w:sz w:val="20"/>
                <w:szCs w:val="20"/>
                <w:color w:val="auto"/>
              </w:rPr>
            </w:pPr>
            <w:r>
              <w:rPr>
                <w:rFonts w:ascii="Arial" w:cs="Arial" w:eastAsia="Arial" w:hAnsi="Arial"/>
                <w:sz w:val="14"/>
                <w:szCs w:val="14"/>
                <w:b w:val="1"/>
                <w:bCs w:val="1"/>
                <w:color w:val="auto"/>
                <w:w w:val="91"/>
              </w:rPr>
              <w:t>$ Change</w:t>
            </w:r>
          </w:p>
        </w:tc>
      </w:tr>
      <w:tr>
        <w:trPr>
          <w:trHeight w:val="215"/>
        </w:trPr>
        <w:tc>
          <w:tcPr>
            <w:tcW w:w="370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Loss from continuing operations before income</w:t>
            </w:r>
          </w:p>
        </w:tc>
        <w:tc>
          <w:tcPr>
            <w:tcW w:w="4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r>
      <w:tr>
        <w:trPr>
          <w:trHeight w:val="237"/>
        </w:trPr>
        <w:tc>
          <w:tcPr>
            <w:tcW w:w="370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taxes</w:t>
            </w: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(2.6)</w:t>
            </w:r>
          </w:p>
        </w:tc>
        <w:tc>
          <w:tcPr>
            <w:tcW w:w="540" w:type="dxa"/>
            <w:vAlign w:val="bottom"/>
            <w:tcBorders>
              <w:bottom w:val="single" w:sz="8" w:color="CCEEFF"/>
            </w:tcBorders>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(24.2)</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16.0</w:t>
            </w:r>
          </w:p>
        </w:tc>
      </w:tr>
      <w:tr>
        <w:trPr>
          <w:trHeight w:val="243"/>
        </w:trPr>
        <w:tc>
          <w:tcPr>
            <w:tcW w:w="3700" w:type="dxa"/>
            <w:vAlign w:val="bottom"/>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70"/>
              <w:spacing w:after="0"/>
              <w:rPr>
                <w:sz w:val="20"/>
                <w:szCs w:val="20"/>
                <w:color w:val="auto"/>
              </w:rPr>
            </w:pPr>
            <w:r>
              <w:rPr>
                <w:rFonts w:ascii="Arial" w:cs="Arial" w:eastAsia="Arial" w:hAnsi="Arial"/>
                <w:sz w:val="18"/>
                <w:szCs w:val="18"/>
                <w:color w:val="auto"/>
              </w:rPr>
              <w:t>0.6</w:t>
            </w:r>
          </w:p>
        </w:tc>
        <w:tc>
          <w:tcPr>
            <w:tcW w:w="540" w:type="dxa"/>
            <w:vAlign w:val="bottom"/>
            <w:gridSpan w:val="2"/>
          </w:tcPr>
          <w:p>
            <w:pPr>
              <w:jc w:val="right"/>
              <w:ind w:right="248"/>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440" w:type="dxa"/>
            <w:vAlign w:val="bottom"/>
          </w:tcPr>
          <w:p>
            <w:pPr>
              <w:jc w:val="right"/>
              <w:ind w:right="256"/>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54"/>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1"/>
                <w:szCs w:val="21"/>
                <w:color w:val="auto"/>
              </w:rPr>
            </w:pPr>
          </w:p>
        </w:tc>
        <w:tc>
          <w:tcPr>
            <w:tcW w:w="440" w:type="dxa"/>
            <w:vAlign w:val="bottom"/>
          </w:tcPr>
          <w:p>
            <w:pPr>
              <w:jc w:val="right"/>
              <w:ind w:right="23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6"/>
              <w:spacing w:after="0"/>
              <w:rPr>
                <w:sz w:val="20"/>
                <w:szCs w:val="20"/>
                <w:color w:val="auto"/>
              </w:rPr>
            </w:pPr>
            <w:r>
              <w:rPr>
                <w:rFonts w:ascii="Arial" w:cs="Arial" w:eastAsia="Arial" w:hAnsi="Arial"/>
                <w:sz w:val="18"/>
                <w:szCs w:val="18"/>
                <w:color w:val="auto"/>
              </w:rPr>
              <w:t>1.2</w:t>
            </w:r>
          </w:p>
        </w:tc>
      </w:tr>
      <w:tr>
        <w:trPr>
          <w:trHeight w:val="27"/>
        </w:trPr>
        <w:tc>
          <w:tcPr>
            <w:tcW w:w="3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29"/>
        </w:trPr>
        <w:tc>
          <w:tcPr>
            <w:tcW w:w="3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loss from continuing operations before</w:t>
            </w:r>
          </w:p>
        </w:tc>
        <w:tc>
          <w:tcPr>
            <w:tcW w:w="4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r>
      <w:tr>
        <w:trPr>
          <w:trHeight w:val="230"/>
        </w:trPr>
        <w:tc>
          <w:tcPr>
            <w:tcW w:w="37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income taxes</w:t>
            </w:r>
          </w:p>
        </w:tc>
        <w:tc>
          <w:tcPr>
            <w:tcW w:w="4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r>
      <w:tr>
        <w:trPr>
          <w:trHeight w:val="27"/>
        </w:trPr>
        <w:tc>
          <w:tcPr>
            <w:tcW w:w="37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right="180" w:firstLine="405"/>
        <w:spacing w:after="0" w:line="259" w:lineRule="auto"/>
        <w:rPr>
          <w:sz w:val="20"/>
          <w:szCs w:val="20"/>
          <w:color w:val="auto"/>
        </w:rPr>
      </w:pPr>
      <w:r>
        <w:rPr>
          <w:rFonts w:ascii="Arial" w:cs="Arial" w:eastAsia="Arial" w:hAnsi="Arial"/>
          <w:sz w:val="18"/>
          <w:szCs w:val="18"/>
          <w:color w:val="auto"/>
        </w:rPr>
        <w:t>We estimate our annual effective rate at the end of each quarterly period, and we record the tax effect of certain discrete items in the interim period in which they occur, including changes in judgment about uncertain tax positions and deferred tax valuation allowances. The determination of the effective tax rate reflects tax expense and benefit generated in certain foreign jurisdictions. However, jurisdictions with a year-to-date loss where no tax benefit can be recognized are excluded from the annual effective tax rate.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(Loss) from Discontinued Operations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0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Quarter Ended</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Two Quarters Ended</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r>
      <w:tr>
        <w:trPr>
          <w:trHeight w:val="264"/>
        </w:trPr>
        <w:tc>
          <w:tcPr>
            <w:tcW w:w="40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millions)</w:t>
            </w: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December 26, 2014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27, 2013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w w:val="93"/>
              </w:rPr>
              <w:t>December 26, 2014</w:t>
            </w:r>
          </w:p>
        </w:tc>
        <w:tc>
          <w:tcPr>
            <w:tcW w:w="120" w:type="dxa"/>
            <w:vAlign w:val="bottom"/>
            <w:tcBorders>
              <w:bottom w:val="single" w:sz="8" w:color="CCEEFF"/>
            </w:tcBorders>
          </w:tcPr>
          <w:p>
            <w:pPr>
              <w:spacing w:after="0"/>
              <w:rPr>
                <w:sz w:val="22"/>
                <w:szCs w:val="22"/>
                <w:color w:val="auto"/>
              </w:rPr>
            </w:pPr>
          </w:p>
        </w:tc>
        <w:tc>
          <w:tcPr>
            <w:tcW w:w="12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w w:val="93"/>
              </w:rPr>
              <w:t>December 27, 2013</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w w:val="91"/>
              </w:rPr>
              <w:t>$ Change</w:t>
            </w: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2"/>
              </w:rPr>
              <w:t>Income (loss) from discontinued operations, net of tax</w:t>
            </w:r>
          </w:p>
        </w:tc>
        <w:tc>
          <w:tcPr>
            <w:tcW w:w="500" w:type="dxa"/>
            <w:vAlign w:val="bottom"/>
            <w:tcBorders>
              <w:bottom w:val="single" w:sz="8" w:color="CCEEFF"/>
            </w:tcBorders>
            <w:shd w:val="clear" w:color="auto" w:fill="CCEEFF"/>
          </w:tcPr>
          <w:p>
            <w:pPr>
              <w:jc w:val="right"/>
              <w:ind w:right="299"/>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2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7"/>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459"/>
        </w:trPr>
        <w:tc>
          <w:tcPr>
            <w:tcW w:w="40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20" w:type="dxa"/>
            <w:vAlign w:val="bottom"/>
            <w:gridSpan w:val="2"/>
          </w:tcPr>
          <w:p>
            <w:pPr>
              <w:jc w:val="right"/>
              <w:ind w:right="448"/>
              <w:spacing w:after="0"/>
              <w:rPr>
                <w:sz w:val="20"/>
                <w:szCs w:val="20"/>
                <w:color w:val="auto"/>
              </w:rPr>
            </w:pPr>
            <w:r>
              <w:rPr>
                <w:rFonts w:ascii="Arial" w:cs="Arial" w:eastAsia="Arial" w:hAnsi="Arial"/>
                <w:sz w:val="18"/>
                <w:szCs w:val="18"/>
                <w:color w:val="auto"/>
              </w:rPr>
              <w:t>24</w:t>
            </w: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r>
    </w:tbl>
    <w:p>
      <w:pPr>
        <w:sectPr>
          <w:pgSz w:w="11900" w:h="16838" w:orient="portrait"/>
          <w:cols w:equalWidth="0" w:num="1">
            <w:col w:w="11420"/>
          </w:cols>
          <w:pgMar w:left="240" w:top="968" w:right="239" w:bottom="1440" w:gutter="0" w:footer="0" w:header="0"/>
        </w:sectPr>
      </w:pPr>
    </w:p>
    <w:bookmarkStart w:id="24" w:name="page25"/>
    <w:bookmarkEnd w:id="24"/>
    <w:p>
      <w:pPr>
        <w:ind w:right="120" w:firstLine="432"/>
        <w:spacing w:after="0" w:line="259" w:lineRule="auto"/>
        <w:rPr>
          <w:sz w:val="20"/>
          <w:szCs w:val="20"/>
          <w:color w:val="auto"/>
        </w:rPr>
      </w:pPr>
      <w:r>
        <w:rPr>
          <w:rFonts w:ascii="Arial" w:cs="Arial" w:eastAsia="Arial" w:hAnsi="Arial"/>
          <w:sz w:val="18"/>
          <w:szCs w:val="18"/>
          <w:color w:val="auto"/>
        </w:rPr>
        <w:t>Our discontinued operations consist of the WiMAX business, which was sold to EION on September 2, 2011. We completed the business transition with EION in fiscal 2012. The income recognized in the first two quarters of fiscal 2015 was primarily due to a $0.1 million write-off of accrued liabilities due to EION. The income recognized in the first two quarters of fiscal 2014 was primarily due to recovery of certain WiMAX deferred cost of sales that was previously written down.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ind w:right="140" w:firstLine="432"/>
        <w:spacing w:after="0" w:line="257" w:lineRule="auto"/>
        <w:rPr>
          <w:sz w:val="20"/>
          <w:szCs w:val="20"/>
          <w:color w:val="auto"/>
        </w:rPr>
      </w:pPr>
      <w:r>
        <w:rPr>
          <w:rFonts w:ascii="Arial" w:cs="Arial" w:eastAsia="Arial" w:hAnsi="Arial"/>
          <w:sz w:val="18"/>
          <w:szCs w:val="18"/>
          <w:color w:val="auto"/>
        </w:rPr>
        <w:t>As of December 26, 2014, our total cash and cash equivalents were $38.7 million. Approximately $5.5 million, or 14%, of our total cash and cash equivalents, was held by entities domiciled in the United States. The remaining balance of $33.2 million, or 86%, was held by entities outside the United States. Of the amount of cash and cash equivalents held by our foreign subsidiaries at December 26, 2014, $22.7 million was held in jurisdictions where our undistributed earnings are indefinitely reinvested and would be subject to U.S. taxes if repatriated. Currently we do not expect significant U.S. taxes due to the U.S. net operating loss carryforward with a full valuation allowance.</w:t>
      </w:r>
    </w:p>
    <w:p>
      <w:pPr>
        <w:spacing w:after="0" w:line="134" w:lineRule="exact"/>
        <w:rPr>
          <w:sz w:val="20"/>
          <w:szCs w:val="20"/>
          <w:color w:val="auto"/>
        </w:rPr>
      </w:pPr>
    </w:p>
    <w:p>
      <w:pPr>
        <w:ind w:right="120" w:firstLine="432"/>
        <w:spacing w:after="0" w:line="254" w:lineRule="auto"/>
        <w:rPr>
          <w:sz w:val="20"/>
          <w:szCs w:val="20"/>
          <w:color w:val="auto"/>
        </w:rPr>
      </w:pPr>
      <w:r>
        <w:rPr>
          <w:rFonts w:ascii="Arial" w:cs="Arial" w:eastAsia="Arial" w:hAnsi="Arial"/>
          <w:sz w:val="18"/>
          <w:szCs w:val="18"/>
          <w:color w:val="auto"/>
        </w:rPr>
        <w:t>As of December 26, 2014, our principal sources of liquidity consisted of the $38.7 million in cash and cash equivalents, $13.2 million of available credit under our $40.0 million SVB Credit Facility and future collections of receivables from customers. As of December 26, 2014, we were in compliance with the financial covenants contained in the SVB Credit Facility.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credit facilities and cash proceeds from sale of our equity securities. During the first two quarters of fiscal 2015, our total cash and cash equivalents decreased by $10.1 million primarily due to $9.1 million of cash used in operating activities and $2.4 million of cash used for capital expenditures, partially offset by the $3.0 million net proceeds from the SVB Credit Facility borrowings.</w:t>
      </w:r>
    </w:p>
    <w:p>
      <w:pPr>
        <w:spacing w:after="0" w:line="138" w:lineRule="exact"/>
        <w:rPr>
          <w:sz w:val="20"/>
          <w:szCs w:val="20"/>
          <w:color w:val="auto"/>
        </w:rPr>
      </w:pPr>
    </w:p>
    <w:p>
      <w:pPr>
        <w:ind w:right="60" w:firstLine="432"/>
        <w:spacing w:after="0" w:line="270" w:lineRule="auto"/>
        <w:rPr>
          <w:sz w:val="20"/>
          <w:szCs w:val="20"/>
          <w:color w:val="auto"/>
        </w:rPr>
      </w:pPr>
      <w:r>
        <w:rPr>
          <w:rFonts w:ascii="Arial" w:cs="Arial" w:eastAsia="Arial" w:hAnsi="Arial"/>
          <w:sz w:val="17"/>
          <w:szCs w:val="17"/>
          <w:color w:val="auto"/>
        </w:rPr>
        <w:t>Cash used in operating activities was $9.1 million in the first two quarters of fiscal 2015, primarily due to our net loss of $9.0 million, adjusted by non-cash expense items of $8.5 million, increases in accounts receivables of $5.7 million and in unbilled costs of $2.6 million and decrease in customer advance payments and unearned income of $1.7 million, partially offset by decrease in customer service inventories of $1.6 million and increase in accounts payable and accrued expenses of $3.3 million. The increase in accounts receivable was due to the billings during the first two quarters of fiscal 2015 exceeding collections. The increase in unbilled costs was due to the timing of billing of projects. The decrease in customer advance payments and unearned income was due to the timing of revenue recognition on several large contracts. The decrease in customer service inventories was primarily due to usage of parts to fulfill warranty obligations. The increases in accounts payable and accrued expenses were primarily due to the accrued professional fees associated with the annual audit and quarterly review of our financial statements. We used $2.2 million in cash during the first two quarters of fiscal 2015 on expenses related to restructuring liabilities.</w:t>
      </w:r>
    </w:p>
    <w:p>
      <w:pPr>
        <w:spacing w:after="0" w:line="128" w:lineRule="exact"/>
        <w:rPr>
          <w:sz w:val="20"/>
          <w:szCs w:val="20"/>
          <w:color w:val="auto"/>
        </w:rPr>
      </w:pPr>
    </w:p>
    <w:p>
      <w:pPr>
        <w:ind w:right="760" w:firstLine="432"/>
        <w:spacing w:after="0" w:line="277" w:lineRule="auto"/>
        <w:rPr>
          <w:sz w:val="20"/>
          <w:szCs w:val="20"/>
          <w:color w:val="auto"/>
        </w:rPr>
      </w:pPr>
      <w:r>
        <w:rPr>
          <w:rFonts w:ascii="Arial" w:cs="Arial" w:eastAsia="Arial" w:hAnsi="Arial"/>
          <w:sz w:val="18"/>
          <w:szCs w:val="18"/>
          <w:color w:val="auto"/>
        </w:rPr>
        <w:t>During the remainder of fiscal year 2015, we expect to spend approximately $3.3 million for capital expenditures, primarily on equipment for development of new products and to support customer managed services.</w:t>
      </w:r>
    </w:p>
    <w:p>
      <w:pPr>
        <w:spacing w:after="0" w:line="116" w:lineRule="exact"/>
        <w:rPr>
          <w:sz w:val="20"/>
          <w:szCs w:val="20"/>
          <w:color w:val="auto"/>
        </w:rPr>
      </w:pPr>
    </w:p>
    <w:p>
      <w:pPr>
        <w:ind w:firstLine="432"/>
        <w:spacing w:after="0" w:line="270"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the next 12 months and the foreseeable future. There can be no assurance, however, that our business will generate cash flow, we will be in compliance with the quarterly financial covenants contained in the SVB Credit Facility, or that anticipated operational improvements will be achieved. If we are not in compliance with the financial covenants, the availability of our credit facility is not certain or may be diminished.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746" w:right="25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Available Credit Facility, Borrowings and Repayment of Debt</w:t>
      </w:r>
    </w:p>
    <w:p>
      <w:pPr>
        <w:spacing w:after="0" w:line="171" w:lineRule="exact"/>
        <w:rPr>
          <w:sz w:val="20"/>
          <w:szCs w:val="20"/>
          <w:color w:val="auto"/>
        </w:rPr>
      </w:pPr>
    </w:p>
    <w:p>
      <w:pPr>
        <w:ind w:right="40" w:firstLine="405"/>
        <w:spacing w:after="0" w:line="257" w:lineRule="auto"/>
        <w:rPr>
          <w:sz w:val="20"/>
          <w:szCs w:val="20"/>
          <w:color w:val="auto"/>
        </w:rPr>
      </w:pPr>
      <w:r>
        <w:rPr>
          <w:rFonts w:ascii="Arial" w:cs="Arial" w:eastAsia="Arial" w:hAnsi="Arial"/>
          <w:sz w:val="18"/>
          <w:szCs w:val="18"/>
          <w:color w:val="auto"/>
        </w:rPr>
        <w:t>On March 28, 2014, we entered into the SVB Credit Facility which was amended subsequently providing for the extensions of deadline for preparing and filing our fiscal 2014 financial statements with the SEC. This agreement amends and restates our existing First Amended and Restated Loan and Security Agreement, which was entered into on September 27, 2013 and amended providing for certain amendments to the maximum borrowing limit and financial covenants. During the second quarter of fiscal 2015, we made additional net borrowings of $3.0 million and our outstanding debt under the SVB Credit Facility was $9.0 million as of December 26, 2014.</w:t>
      </w:r>
    </w:p>
    <w:p>
      <w:pPr>
        <w:spacing w:after="0" w:line="134" w:lineRule="exact"/>
        <w:rPr>
          <w:sz w:val="20"/>
          <w:szCs w:val="20"/>
          <w:color w:val="auto"/>
        </w:rPr>
      </w:pPr>
    </w:p>
    <w:p>
      <w:pPr>
        <w:ind w:right="60" w:firstLine="432"/>
        <w:spacing w:after="0" w:line="255" w:lineRule="auto"/>
        <w:rPr>
          <w:sz w:val="20"/>
          <w:szCs w:val="20"/>
          <w:color w:val="auto"/>
        </w:rPr>
      </w:pPr>
      <w:r>
        <w:rPr>
          <w:rFonts w:ascii="Arial" w:cs="Arial" w:eastAsia="Arial" w:hAnsi="Arial"/>
          <w:sz w:val="18"/>
          <w:szCs w:val="18"/>
          <w:color w:val="auto"/>
        </w:rPr>
        <w:t>The SVB Credit Facility provides for a committed amount of up to $40.0 million, with a $30.0 million sublimit that can be borrowed by our Singapore subsidiary. Borrowings that may be advanced under the SVB Credit Facility at the lesser of $40.0 million or a borrowing base equal to a specified percentage of the value of eligible accounts receivable and U.S. unbilled accounts of the Company, subject to certain reserves and eligibility criteria. The SVB Credit Facility can also be utilized to issue letters of credit. Principal, together with all accrued and unpaid interest, is due and payable on September 26, 2016. We may prepay loans under the SVB Credit Facility in whole or in part at any time without premium or penalty. As of December 26, 2014, available credit under the SVB Credit Facility was $13.2 million reflecting the calculated borrowing base of $28.1 million less existing borrowings of $9.0 million and outstanding letters of credit of $5.9 million.</w:t>
      </w:r>
    </w:p>
    <w:p>
      <w:pPr>
        <w:spacing w:after="0" w:line="135" w:lineRule="exact"/>
        <w:rPr>
          <w:sz w:val="20"/>
          <w:szCs w:val="20"/>
          <w:color w:val="auto"/>
        </w:rPr>
      </w:pPr>
    </w:p>
    <w:p>
      <w:pPr>
        <w:ind w:firstLine="432"/>
        <w:spacing w:after="0" w:line="257" w:lineRule="auto"/>
        <w:rPr>
          <w:sz w:val="20"/>
          <w:szCs w:val="20"/>
          <w:color w:val="auto"/>
        </w:rPr>
      </w:pPr>
      <w:r>
        <w:rPr>
          <w:rFonts w:ascii="Arial" w:cs="Arial" w:eastAsia="Arial" w:hAnsi="Arial"/>
          <w:sz w:val="18"/>
          <w:szCs w:val="18"/>
          <w:color w:val="auto"/>
        </w:rPr>
        <w:t xml:space="preserve">Borrowings under the SVB Credit Facility carry an interest rate computed at the daily prime rate as published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plus a spread of 0.50% to 1.50%, with such spread determined based on our adjusted quick ratio. If a minimum adjusted quick ratio requirement is satisfied, LIBOR advances are offered at LIBOR plus a spread of 2.75%. Interest is due and payable in arrears monthly for prime rate loans and, for LIBOR rate loans, at the end of an interest period or at each three-month interval if the interest period is greater than three months. During the first two quarters of fiscal 2015, the weighted average interest rate on our outstanding loan was 3.8%.</w:t>
      </w:r>
    </w:p>
    <w:p>
      <w:pPr>
        <w:spacing w:after="0" w:line="134" w:lineRule="exact"/>
        <w:rPr>
          <w:sz w:val="20"/>
          <w:szCs w:val="20"/>
          <w:color w:val="auto"/>
        </w:rPr>
      </w:pPr>
    </w:p>
    <w:p>
      <w:pPr>
        <w:ind w:firstLine="432"/>
        <w:spacing w:after="0" w:line="254" w:lineRule="auto"/>
        <w:rPr>
          <w:sz w:val="20"/>
          <w:szCs w:val="20"/>
          <w:color w:val="auto"/>
        </w:rPr>
      </w:pPr>
      <w:r>
        <w:rPr>
          <w:rFonts w:ascii="Arial" w:cs="Arial" w:eastAsia="Arial" w:hAnsi="Arial"/>
          <w:sz w:val="18"/>
          <w:szCs w:val="18"/>
          <w:color w:val="auto"/>
        </w:rPr>
        <w:t>The SVB Credit Facility contains quarterly financial covenants including minimum adjusted quick ratio and minimum profitability (EBITDA) requirements. In the event our adjusted quick ratio falls below a certain level, cash received in our accounts with SVB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2.00% above the applicable interest rate.</w:t>
      </w:r>
    </w:p>
    <w:p>
      <w:pPr>
        <w:spacing w:after="0" w:line="138" w:lineRule="exact"/>
        <w:rPr>
          <w:sz w:val="20"/>
          <w:szCs w:val="20"/>
          <w:color w:val="auto"/>
        </w:rPr>
      </w:pPr>
    </w:p>
    <w:p>
      <w:pPr>
        <w:ind w:right="180" w:firstLine="432"/>
        <w:spacing w:after="0" w:line="286" w:lineRule="auto"/>
        <w:rPr>
          <w:sz w:val="20"/>
          <w:szCs w:val="20"/>
          <w:color w:val="auto"/>
        </w:rPr>
      </w:pPr>
      <w:r>
        <w:rPr>
          <w:rFonts w:ascii="Arial" w:cs="Arial" w:eastAsia="Arial" w:hAnsi="Arial"/>
          <w:sz w:val="17"/>
          <w:szCs w:val="17"/>
          <w:color w:val="auto"/>
        </w:rPr>
        <w:t>As of December 26, 2014, we were in compliance with the quarterly financial covenants contained in the SVB Credit Facility. However, as a result of uncertainty on our ability to meet the financial covenants and the fact that the SVB Credit Facility contains subjective acceleration clauses that could be triggered by the lender, the $9.0 million borrowing was classified as a current liability as of December 26, 2014.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ind w:right="140" w:firstLine="432"/>
        <w:spacing w:after="0" w:line="342" w:lineRule="auto"/>
        <w:rPr>
          <w:sz w:val="20"/>
          <w:szCs w:val="20"/>
          <w:color w:val="auto"/>
        </w:rPr>
      </w:pPr>
      <w:r>
        <w:rPr>
          <w:rFonts w:ascii="Arial" w:cs="Arial" w:eastAsia="Arial" w:hAnsi="Arial"/>
          <w:sz w:val="16"/>
          <w:szCs w:val="16"/>
          <w:color w:val="auto"/>
        </w:rPr>
        <w:t>We have liabilities for restructuring activities totaling $4.5 million as of December 26, 2014, $2.3 million of which is classified as current liability and expected to be paid out in cash over the next 12 months. We expect to fund these future payments with available cash and cash provided by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ind w:right="180" w:firstLine="432"/>
        <w:spacing w:after="0" w:line="276" w:lineRule="auto"/>
        <w:rPr>
          <w:sz w:val="20"/>
          <w:szCs w:val="20"/>
          <w:color w:val="auto"/>
        </w:rPr>
      </w:pPr>
      <w:r>
        <w:rPr>
          <w:rFonts w:ascii="Arial" w:cs="Arial" w:eastAsia="Arial" w:hAnsi="Arial"/>
          <w:sz w:val="17"/>
          <w:szCs w:val="17"/>
          <w:color w:val="auto"/>
        </w:rPr>
        <w:t>The amounts disclosed in our fiscal 2014 Annual Report on Form 10-K include our commercial commitments and contractual obligations. During the first two quarters of fiscal 2015, other than the additional $3.0 million net borrowings under the SVB Credit Facility, no material changes occurred in our contractual obligations to purchase goods and services and to make payments under operating leases or our commercial commitments and contingent liabilities on outstanding letters of credit, guarantees and other arrangements as disclosed in our fiscal 2014 Annual Report on Form 10-K. Please refer to Note 12, “Commitments and Contingencies” in this Quarterly Report on Form 10-Q.</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800"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Our Singapore subsidiary is in the process of evaluating its historical compliance with certain export regulations in Singapore. Depending on the results of this evaluation, we may take additional actions to ensure our compliance with these regulations in the future. As part of these additional actions, we could elect to make certain voluntary disclosures, which may, in certain circumstances, result in the imposition of various fines and penalties. Any fines and penalties will be based on the specific facts and findings of our evaluation, as well as negotiation with Singapore authorities. At this time, we cannot estimate the amount or range of any fines and penalties, if any should be imposed. Please refer to Note 12, “Commitments and Contingencies” in this Quarterly Report on Form 10-Q.</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ind w:right="420" w:firstLine="432"/>
        <w:spacing w:after="0" w:line="277" w:lineRule="auto"/>
        <w:rPr>
          <w:sz w:val="20"/>
          <w:szCs w:val="20"/>
          <w:color w:val="auto"/>
        </w:rPr>
      </w:pPr>
      <w:r>
        <w:rPr>
          <w:rFonts w:ascii="Arial" w:cs="Arial" w:eastAsia="Arial" w:hAnsi="Arial"/>
          <w:sz w:val="18"/>
          <w:szCs w:val="18"/>
          <w:color w:val="auto"/>
        </w:rPr>
        <w:t>For information about our critical accounting estimates, see the “Critical Accounting Estimates” section of “Item 7. Management’s Discussion and Analysis of Financial Condition and Results of Operations” in our fiscal 2014 Annual Report on Form 10-K.</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ind w:right="260" w:firstLine="432"/>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180" w:firstLine="432"/>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ind w:right="20" w:firstLine="432"/>
        <w:spacing w:after="0" w:line="293" w:lineRule="auto"/>
        <w:rPr>
          <w:sz w:val="20"/>
          <w:szCs w:val="20"/>
          <w:color w:val="auto"/>
        </w:rPr>
      </w:pPr>
      <w:r>
        <w:rPr>
          <w:rFonts w:ascii="Arial" w:cs="Arial" w:eastAsia="Arial" w:hAnsi="Arial"/>
          <w:sz w:val="16"/>
          <w:szCs w:val="16"/>
          <w:color w:val="auto"/>
        </w:rPr>
        <w:t>We use foreign exchange forward contracts to hedge forecasted foreign currency transactions relating to forecasted sales and purchase transactions. These derivatives are designated as cash flow hedges and are carried at fair value. The effective portion of the gain or loss is initially reported as a component of accumulated other comprehensive income (loss), and upon occurrence of the forecasted transaction, is subsequently reclassified into the income or expense line item to which the hedged transaction relates.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1" w:lineRule="exact"/>
        <w:rPr>
          <w:sz w:val="20"/>
          <w:szCs w:val="20"/>
          <w:color w:val="auto"/>
        </w:rPr>
      </w:pPr>
    </w:p>
    <w:p>
      <w:pPr>
        <w:ind w:right="140" w:firstLine="432"/>
        <w:spacing w:after="0" w:line="264" w:lineRule="auto"/>
        <w:rPr>
          <w:sz w:val="20"/>
          <w:szCs w:val="20"/>
          <w:color w:val="auto"/>
        </w:rPr>
      </w:pPr>
      <w:r>
        <w:rPr>
          <w:rFonts w:ascii="Arial" w:cs="Arial" w:eastAsia="Arial" w:hAnsi="Arial"/>
          <w:sz w:val="18"/>
          <w:szCs w:val="18"/>
          <w:color w:val="auto"/>
        </w:rPr>
        <w:t>As of December 26, 2014, we had foreign currency forward contracts outstanding with a total notional amount of $21.8 million consisting of 12 different currencies. The following is a summary of the gross notional amount of our outstanding contracts grouped by the underlying foreign currency as of December 26, 2014: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vMerge w:val="restart"/>
          </w:tcPr>
          <w:p>
            <w:pPr>
              <w:jc w:val="center"/>
              <w:ind w:right="24"/>
              <w:spacing w:after="0"/>
              <w:rPr>
                <w:sz w:val="20"/>
                <w:szCs w:val="20"/>
                <w:color w:val="auto"/>
              </w:rPr>
            </w:pPr>
            <w:r>
              <w:rPr>
                <w:rFonts w:ascii="Arial" w:cs="Arial" w:eastAsia="Arial" w:hAnsi="Arial"/>
                <w:sz w:val="14"/>
                <w:szCs w:val="14"/>
                <w:b w:val="1"/>
                <w:bCs w:val="1"/>
                <w:color w:val="auto"/>
                <w:w w:val="95"/>
              </w:rPr>
              <w:t>Notional Contract</w:t>
            </w:r>
          </w:p>
        </w:tc>
        <w:tc>
          <w:tcPr>
            <w:tcW w:w="440" w:type="dxa"/>
            <w:vAlign w:val="bottom"/>
          </w:tcPr>
          <w:p>
            <w:pPr>
              <w:spacing w:after="0"/>
              <w:rPr>
                <w:sz w:val="14"/>
                <w:szCs w:val="14"/>
                <w:color w:val="auto"/>
              </w:rPr>
            </w:pPr>
          </w:p>
        </w:tc>
        <w:tc>
          <w:tcPr>
            <w:tcW w:w="1160" w:type="dxa"/>
            <w:vAlign w:val="bottom"/>
          </w:tcPr>
          <w:p>
            <w:pPr>
              <w:jc w:val="center"/>
              <w:ind w:right="356"/>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4400" w:type="dxa"/>
            <w:vAlign w:val="bottom"/>
          </w:tcPr>
          <w:p>
            <w:pPr>
              <w:spacing w:after="0"/>
              <w:rPr>
                <w:sz w:val="12"/>
                <w:szCs w:val="12"/>
                <w:color w:val="auto"/>
              </w:rPr>
            </w:pP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tcPr>
          <w:p>
            <w:pPr>
              <w:jc w:val="center"/>
              <w:ind w:right="356"/>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44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3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jc w:val="center"/>
              <w:ind w:right="24"/>
              <w:spacing w:after="0" w:line="149" w:lineRule="exact"/>
              <w:rPr>
                <w:sz w:val="20"/>
                <w:szCs w:val="20"/>
                <w:color w:val="auto"/>
              </w:rPr>
            </w:pPr>
            <w:r>
              <w:rPr>
                <w:rFonts w:ascii="Arial" w:cs="Arial" w:eastAsia="Arial" w:hAnsi="Arial"/>
                <w:sz w:val="14"/>
                <w:szCs w:val="14"/>
                <w:b w:val="1"/>
                <w:bCs w:val="1"/>
                <w:color w:val="auto"/>
                <w:w w:val="98"/>
              </w:rPr>
              <w:t>Amount</w:t>
            </w:r>
          </w:p>
        </w:tc>
        <w:tc>
          <w:tcPr>
            <w:tcW w:w="440" w:type="dxa"/>
            <w:vAlign w:val="bottom"/>
          </w:tcPr>
          <w:p>
            <w:pPr>
              <w:spacing w:after="0"/>
              <w:rPr>
                <w:sz w:val="12"/>
                <w:szCs w:val="12"/>
                <w:color w:val="auto"/>
              </w:rPr>
            </w:pPr>
          </w:p>
        </w:tc>
        <w:tc>
          <w:tcPr>
            <w:tcW w:w="1160" w:type="dxa"/>
            <w:vAlign w:val="bottom"/>
          </w:tcPr>
          <w:p>
            <w:pPr>
              <w:jc w:val="center"/>
              <w:ind w:right="336"/>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4400" w:type="dxa"/>
            <w:vAlign w:val="bottom"/>
            <w:tcBorders>
              <w:bottom w:val="single" w:sz="8" w:color="auto"/>
            </w:tcBorders>
            <w:vMerge w:val="continue"/>
          </w:tcPr>
          <w:p>
            <w:pPr>
              <w:spacing w:after="0"/>
              <w:rPr>
                <w:sz w:val="16"/>
                <w:szCs w:val="16"/>
                <w:color w:val="auto"/>
              </w:rPr>
            </w:pPr>
          </w:p>
        </w:tc>
        <w:tc>
          <w:tcPr>
            <w:tcW w:w="36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7"/>
              </w:rPr>
              <w:t>(Local Currency)</w:t>
            </w:r>
          </w:p>
        </w:tc>
        <w:tc>
          <w:tcPr>
            <w:tcW w:w="4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336"/>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250"/>
        </w:trPr>
        <w:tc>
          <w:tcPr>
            <w:tcW w:w="4400" w:type="dxa"/>
            <w:vAlign w:val="bottom"/>
          </w:tcPr>
          <w:p>
            <w:pPr>
              <w:spacing w:after="0"/>
              <w:rPr>
                <w:sz w:val="21"/>
                <w:szCs w:val="21"/>
                <w:color w:val="auto"/>
              </w:rPr>
            </w:pPr>
          </w:p>
        </w:tc>
        <w:tc>
          <w:tcPr>
            <w:tcW w:w="3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1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(In millions)</w:t>
            </w: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Australian dollar</w:t>
            </w:r>
          </w:p>
        </w:tc>
        <w:tc>
          <w:tcPr>
            <w:tcW w:w="542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3.1</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Euro</w:t>
            </w:r>
          </w:p>
        </w:tc>
        <w:tc>
          <w:tcPr>
            <w:tcW w:w="5420" w:type="dxa"/>
            <w:vAlign w:val="bottom"/>
            <w:gridSpan w:val="3"/>
          </w:tcPr>
          <w:p>
            <w:pPr>
              <w:jc w:val="right"/>
              <w:ind w:right="124"/>
              <w:spacing w:after="0"/>
              <w:rPr>
                <w:sz w:val="20"/>
                <w:szCs w:val="20"/>
                <w:color w:val="auto"/>
              </w:rPr>
            </w:pPr>
            <w:r>
              <w:rPr>
                <w:rFonts w:ascii="Arial" w:cs="Arial" w:eastAsia="Arial" w:hAnsi="Arial"/>
                <w:sz w:val="18"/>
                <w:szCs w:val="18"/>
                <w:color w:val="auto"/>
              </w:rPr>
              <w:t>3.8</w:t>
            </w:r>
          </w:p>
        </w:tc>
        <w:tc>
          <w:tcPr>
            <w:tcW w:w="4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Indian rupee</w:t>
            </w:r>
          </w:p>
        </w:tc>
        <w:tc>
          <w:tcPr>
            <w:tcW w:w="542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178.7</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Philippine peso</w:t>
            </w:r>
          </w:p>
        </w:tc>
        <w:tc>
          <w:tcPr>
            <w:tcW w:w="5420" w:type="dxa"/>
            <w:vAlign w:val="bottom"/>
            <w:gridSpan w:val="3"/>
          </w:tcPr>
          <w:p>
            <w:pPr>
              <w:jc w:val="right"/>
              <w:ind w:right="124"/>
              <w:spacing w:after="0"/>
              <w:rPr>
                <w:sz w:val="20"/>
                <w:szCs w:val="20"/>
                <w:color w:val="auto"/>
              </w:rPr>
            </w:pPr>
            <w:r>
              <w:rPr>
                <w:rFonts w:ascii="Arial" w:cs="Arial" w:eastAsia="Arial" w:hAnsi="Arial"/>
                <w:sz w:val="18"/>
                <w:szCs w:val="18"/>
                <w:color w:val="auto"/>
              </w:rPr>
              <w:t>165.9</w:t>
            </w:r>
          </w:p>
        </w:tc>
        <w:tc>
          <w:tcPr>
            <w:tcW w:w="4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Singapore dollar</w:t>
            </w:r>
          </w:p>
        </w:tc>
        <w:tc>
          <w:tcPr>
            <w:tcW w:w="542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1.6</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Republic of South Africa rand</w:t>
            </w:r>
          </w:p>
        </w:tc>
        <w:tc>
          <w:tcPr>
            <w:tcW w:w="5420" w:type="dxa"/>
            <w:vAlign w:val="bottom"/>
            <w:gridSpan w:val="3"/>
          </w:tcPr>
          <w:p>
            <w:pPr>
              <w:jc w:val="right"/>
              <w:ind w:right="124"/>
              <w:spacing w:after="0"/>
              <w:rPr>
                <w:sz w:val="20"/>
                <w:szCs w:val="20"/>
                <w:color w:val="auto"/>
              </w:rPr>
            </w:pPr>
            <w:r>
              <w:rPr>
                <w:rFonts w:ascii="Arial" w:cs="Arial" w:eastAsia="Arial" w:hAnsi="Arial"/>
                <w:sz w:val="18"/>
                <w:szCs w:val="18"/>
                <w:color w:val="auto"/>
              </w:rPr>
              <w:t>39.1</w:t>
            </w:r>
          </w:p>
        </w:tc>
        <w:tc>
          <w:tcPr>
            <w:tcW w:w="4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3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4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Thailand baht</w:t>
            </w:r>
          </w:p>
        </w:tc>
        <w:tc>
          <w:tcPr>
            <w:tcW w:w="5420" w:type="dxa"/>
            <w:vAlign w:val="bottom"/>
            <w:tcBorders>
              <w:bottom w:val="single" w:sz="8" w:color="CCEEFF"/>
            </w:tcBorders>
            <w:gridSpan w:val="3"/>
            <w:shd w:val="clear" w:color="auto" w:fill="CCEEFF"/>
          </w:tcPr>
          <w:p>
            <w:pPr>
              <w:jc w:val="right"/>
              <w:ind w:right="124"/>
              <w:spacing w:after="0"/>
              <w:rPr>
                <w:sz w:val="20"/>
                <w:szCs w:val="20"/>
                <w:color w:val="auto"/>
              </w:rPr>
            </w:pPr>
            <w:r>
              <w:rPr>
                <w:rFonts w:ascii="Arial" w:cs="Arial" w:eastAsia="Arial" w:hAnsi="Arial"/>
                <w:sz w:val="18"/>
                <w:szCs w:val="18"/>
                <w:color w:val="auto"/>
              </w:rPr>
              <w:t>33.3</w:t>
            </w:r>
          </w:p>
        </w:tc>
        <w:tc>
          <w:tcPr>
            <w:tcW w:w="4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43"/>
        </w:trPr>
        <w:tc>
          <w:tcPr>
            <w:tcW w:w="4400" w:type="dxa"/>
            <w:vAlign w:val="bottom"/>
          </w:tcPr>
          <w:p>
            <w:pPr>
              <w:ind w:left="40"/>
              <w:spacing w:after="0"/>
              <w:rPr>
                <w:sz w:val="20"/>
                <w:szCs w:val="20"/>
                <w:color w:val="auto"/>
              </w:rPr>
            </w:pPr>
            <w:r>
              <w:rPr>
                <w:rFonts w:ascii="Arial" w:cs="Arial" w:eastAsia="Arial" w:hAnsi="Arial"/>
                <w:sz w:val="18"/>
                <w:szCs w:val="18"/>
                <w:color w:val="auto"/>
              </w:rPr>
              <w:t>Other currencies</w:t>
            </w:r>
          </w:p>
        </w:tc>
        <w:tc>
          <w:tcPr>
            <w:tcW w:w="3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700" w:type="dxa"/>
            <w:vAlign w:val="bottom"/>
          </w:tcPr>
          <w:p>
            <w:pPr>
              <w:jc w:val="right"/>
              <w:ind w:right="124"/>
              <w:spacing w:after="0"/>
              <w:rPr>
                <w:sz w:val="20"/>
                <w:szCs w:val="20"/>
                <w:color w:val="auto"/>
              </w:rPr>
            </w:pPr>
            <w:r>
              <w:rPr>
                <w:rFonts w:ascii="Arial" w:cs="Arial" w:eastAsia="Arial" w:hAnsi="Arial"/>
                <w:sz w:val="18"/>
                <w:szCs w:val="18"/>
                <w:color w:val="auto"/>
              </w:rPr>
              <w:t>N/A</w:t>
            </w:r>
          </w:p>
        </w:tc>
        <w:tc>
          <w:tcPr>
            <w:tcW w:w="44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400" w:type="dxa"/>
            <w:vAlign w:val="bottom"/>
            <w:tcBorders>
              <w:bottom w:val="single" w:sz="8" w:color="CCEEFF"/>
            </w:tcBorders>
          </w:tcPr>
          <w:p>
            <w:pPr>
              <w:spacing w:after="0"/>
              <w:rPr>
                <w:sz w:val="2"/>
                <w:szCs w:val="2"/>
                <w:color w:val="auto"/>
              </w:rPr>
            </w:pPr>
          </w:p>
        </w:tc>
        <w:tc>
          <w:tcPr>
            <w:tcW w:w="36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4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36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0" w:type="dxa"/>
            <w:vAlign w:val="bottom"/>
            <w:vMerge w:val="restart"/>
          </w:tcPr>
          <w:p>
            <w:pPr>
              <w:jc w:val="right"/>
              <w:ind w:right="2110"/>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400" w:type="dxa"/>
            <w:vAlign w:val="bottom"/>
          </w:tcPr>
          <w:p>
            <w:pPr>
              <w:spacing w:after="0"/>
              <w:rPr>
                <w:sz w:val="24"/>
                <w:szCs w:val="24"/>
                <w:color w:val="auto"/>
              </w:rPr>
            </w:pPr>
          </w:p>
        </w:tc>
        <w:tc>
          <w:tcPr>
            <w:tcW w:w="36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0" w:right="239" w:bottom="1440" w:gutter="0" w:footer="0" w:header="0"/>
        </w:sectPr>
      </w:pPr>
    </w:p>
    <w:bookmarkStart w:id="27" w:name="page28"/>
    <w:bookmarkEnd w:id="27"/>
    <w:p>
      <w:pPr>
        <w:ind w:right="40" w:firstLine="405"/>
        <w:spacing w:after="0" w:line="277" w:lineRule="auto"/>
        <w:rPr>
          <w:sz w:val="20"/>
          <w:szCs w:val="20"/>
          <w:color w:val="auto"/>
        </w:rPr>
      </w:pPr>
      <w:r>
        <w:rPr>
          <w:rFonts w:ascii="Arial" w:cs="Arial" w:eastAsia="Arial" w:hAnsi="Arial"/>
          <w:sz w:val="18"/>
          <w:szCs w:val="18"/>
          <w:color w:val="auto"/>
        </w:rPr>
        <w:t>Net foreign exchange loss recorded in our consolidated statements of operations during the second quarter and first two quarters of fiscal 2015 and 2014 was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4"/>
          </w:tcPr>
          <w:p>
            <w:pPr>
              <w:jc w:val="right"/>
              <w:ind w:right="882"/>
              <w:spacing w:after="0"/>
              <w:rPr>
                <w:sz w:val="20"/>
                <w:szCs w:val="20"/>
                <w:color w:val="auto"/>
              </w:rPr>
            </w:pPr>
            <w:r>
              <w:rPr>
                <w:rFonts w:ascii="Arial" w:cs="Arial" w:eastAsia="Arial" w:hAnsi="Arial"/>
                <w:sz w:val="14"/>
                <w:szCs w:val="14"/>
                <w:b w:val="1"/>
                <w:bCs w:val="1"/>
                <w:color w:val="auto"/>
              </w:rPr>
              <w:t>Quarter Ended</w:t>
            </w: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Two Quarters Ended</w:t>
            </w:r>
          </w:p>
        </w:tc>
        <w:tc>
          <w:tcPr>
            <w:tcW w:w="0" w:type="dxa"/>
            <w:vAlign w:val="bottom"/>
          </w:tcPr>
          <w:p>
            <w:pPr>
              <w:spacing w:after="0"/>
              <w:rPr>
                <w:sz w:val="1"/>
                <w:szCs w:val="1"/>
                <w:color w:val="auto"/>
              </w:rPr>
            </w:pPr>
          </w:p>
        </w:tc>
      </w:tr>
      <w:tr>
        <w:trPr>
          <w:trHeight w:val="152"/>
        </w:trPr>
        <w:tc>
          <w:tcPr>
            <w:tcW w:w="5620" w:type="dxa"/>
            <w:vAlign w:val="bottom"/>
            <w:vMerge w:val="restart"/>
          </w:tcPr>
          <w:p>
            <w:pPr>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Pr>
          <w:p>
            <w:pPr>
              <w:spacing w:after="0"/>
              <w:rPr>
                <w:sz w:val="13"/>
                <w:szCs w:val="13"/>
                <w:color w:val="auto"/>
              </w:rPr>
            </w:pPr>
          </w:p>
        </w:tc>
        <w:tc>
          <w:tcPr>
            <w:tcW w:w="132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0"/>
              </w:rPr>
              <w:t>December 26,</w:t>
            </w:r>
          </w:p>
        </w:tc>
        <w:tc>
          <w:tcPr>
            <w:tcW w:w="180" w:type="dxa"/>
            <w:vAlign w:val="bottom"/>
          </w:tcPr>
          <w:p>
            <w:pPr>
              <w:spacing w:after="0"/>
              <w:rPr>
                <w:sz w:val="13"/>
                <w:szCs w:val="13"/>
                <w:color w:val="auto"/>
              </w:rPr>
            </w:pPr>
          </w:p>
        </w:tc>
        <w:tc>
          <w:tcPr>
            <w:tcW w:w="1280" w:type="dxa"/>
            <w:vAlign w:val="bottom"/>
            <w:gridSpan w:val="2"/>
          </w:tcPr>
          <w:p>
            <w:pPr>
              <w:jc w:val="center"/>
              <w:ind w:right="320"/>
              <w:spacing w:after="0" w:line="153" w:lineRule="exact"/>
              <w:rPr>
                <w:sz w:val="20"/>
                <w:szCs w:val="20"/>
                <w:color w:val="auto"/>
              </w:rPr>
            </w:pPr>
            <w:r>
              <w:rPr>
                <w:rFonts w:ascii="Arial" w:cs="Arial" w:eastAsia="Arial" w:hAnsi="Arial"/>
                <w:sz w:val="14"/>
                <w:szCs w:val="14"/>
                <w:b w:val="1"/>
                <w:bCs w:val="1"/>
                <w:color w:val="auto"/>
                <w:w w:val="92"/>
              </w:rPr>
              <w:t>December 27,</w:t>
            </w:r>
          </w:p>
        </w:tc>
        <w:tc>
          <w:tcPr>
            <w:tcW w:w="180" w:type="dxa"/>
            <w:vAlign w:val="bottom"/>
          </w:tcPr>
          <w:p>
            <w:pPr>
              <w:spacing w:after="0"/>
              <w:rPr>
                <w:sz w:val="13"/>
                <w:szCs w:val="13"/>
                <w:color w:val="auto"/>
              </w:rPr>
            </w:pPr>
          </w:p>
        </w:tc>
        <w:tc>
          <w:tcPr>
            <w:tcW w:w="130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2"/>
              </w:rPr>
              <w:t>December 26,</w:t>
            </w:r>
          </w:p>
        </w:tc>
        <w:tc>
          <w:tcPr>
            <w:tcW w:w="180" w:type="dxa"/>
            <w:vAlign w:val="bottom"/>
          </w:tcPr>
          <w:p>
            <w:pPr>
              <w:spacing w:after="0"/>
              <w:rPr>
                <w:sz w:val="13"/>
                <w:szCs w:val="13"/>
                <w:color w:val="auto"/>
              </w:rPr>
            </w:pPr>
          </w:p>
        </w:tc>
        <w:tc>
          <w:tcPr>
            <w:tcW w:w="1180" w:type="dxa"/>
            <w:vAlign w:val="bottom"/>
          </w:tcPr>
          <w:p>
            <w:pPr>
              <w:jc w:val="center"/>
              <w:ind w:right="142"/>
              <w:spacing w:after="0" w:line="153" w:lineRule="exact"/>
              <w:rPr>
                <w:sz w:val="20"/>
                <w:szCs w:val="20"/>
                <w:color w:val="auto"/>
              </w:rPr>
            </w:pPr>
            <w:r>
              <w:rPr>
                <w:rFonts w:ascii="Arial" w:cs="Arial" w:eastAsia="Arial" w:hAnsi="Arial"/>
                <w:sz w:val="14"/>
                <w:szCs w:val="14"/>
                <w:b w:val="1"/>
                <w:bCs w:val="1"/>
                <w:color w:val="auto"/>
                <w:w w:val="92"/>
              </w:rPr>
              <w:t>December 27,</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43"/>
        </w:trPr>
        <w:tc>
          <w:tcPr>
            <w:tcW w:w="5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Foreign exchange loss, net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432"/>
        <w:spacing w:after="0" w:line="312" w:lineRule="auto"/>
        <w:rPr>
          <w:sz w:val="20"/>
          <w:szCs w:val="20"/>
          <w:color w:val="auto"/>
        </w:rPr>
      </w:pPr>
      <w:r>
        <w:rPr>
          <w:rFonts w:ascii="Arial" w:cs="Arial" w:eastAsia="Arial" w:hAnsi="Arial"/>
          <w:sz w:val="16"/>
          <w:szCs w:val="16"/>
          <w:color w:val="auto"/>
        </w:rPr>
        <w:t>A 10% adverse change in currency exchange rates for our foreign currency derivatives held as of December 26, 2014 would have an impact of approximately $2.2 million on the fair value of such instruments. This quantification of exposure to the market risk associated with foreign exchange financial instruments does not take into account the offsetting impact of changes in the fair value of our foreign denominated assets, liabilities and firm commitments.</w:t>
      </w:r>
    </w:p>
    <w:p>
      <w:pPr>
        <w:spacing w:after="0" w:line="93" w:lineRule="exact"/>
        <w:rPr>
          <w:sz w:val="20"/>
          <w:szCs w:val="20"/>
          <w:color w:val="auto"/>
        </w:rPr>
      </w:pPr>
    </w:p>
    <w:p>
      <w:pPr>
        <w:ind w:right="20" w:firstLine="432"/>
        <w:spacing w:after="0" w:line="259" w:lineRule="auto"/>
        <w:rPr>
          <w:sz w:val="20"/>
          <w:szCs w:val="20"/>
          <w:color w:val="auto"/>
        </w:rPr>
      </w:pPr>
      <w:r>
        <w:rPr>
          <w:rFonts w:ascii="Arial" w:cs="Arial" w:eastAsia="Arial" w:hAnsi="Arial"/>
          <w:sz w:val="18"/>
          <w:szCs w:val="18"/>
          <w:color w:val="auto"/>
        </w:rPr>
        <w:t>Certain of our international business was transacted in non-U.S. dollar currency. As discussed above, we utilize foreign currency hedging instruments to minimize the currency risk of international transactions. The impact of translating the assets and liabilities of foreign operations to U.S. dollars is included as a component of stockholders’ equity. As of December 26, 2014 and June 27, 2014, the cumulative translation adjustment decreased our stockholders’ equity by $6.2 million and $2.9 million,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ind w:right="200" w:firstLine="432"/>
        <w:spacing w:after="0" w:line="342" w:lineRule="auto"/>
        <w:rPr>
          <w:sz w:val="20"/>
          <w:szCs w:val="20"/>
          <w:color w:val="auto"/>
        </w:rPr>
      </w:pPr>
      <w:r>
        <w:rPr>
          <w:rFonts w:ascii="Arial" w:cs="Arial" w:eastAsia="Arial" w:hAnsi="Arial"/>
          <w:sz w:val="16"/>
          <w:szCs w:val="16"/>
          <w:color w:val="auto"/>
        </w:rPr>
        <w:t>We had $38.7 million in total cash and cash equivalents as of December 26, 2014. Cash equivalents totaled $5.7 million as of December 26, 2014 and were comprised of money market funds and certificates of deposit. Cash equivalents have been recorded at fair value on our balance sheet.</w:t>
      </w:r>
    </w:p>
    <w:p>
      <w:pPr>
        <w:spacing w:after="0" w:line="70" w:lineRule="exact"/>
        <w:rPr>
          <w:sz w:val="20"/>
          <w:szCs w:val="20"/>
          <w:color w:val="auto"/>
        </w:rPr>
      </w:pPr>
    </w:p>
    <w:p>
      <w:pPr>
        <w:ind w:right="160" w:firstLine="432"/>
        <w:spacing w:after="0" w:line="257" w:lineRule="auto"/>
        <w:rPr>
          <w:sz w:val="20"/>
          <w:szCs w:val="20"/>
          <w:color w:val="auto"/>
        </w:rPr>
      </w:pPr>
      <w:r>
        <w:rPr>
          <w:rFonts w:ascii="Arial" w:cs="Arial" w:eastAsia="Arial" w:hAnsi="Arial"/>
          <w:sz w:val="18"/>
          <w:szCs w:val="18"/>
          <w:color w:val="auto"/>
        </w:rPr>
        <w:t>We do not use derivative financial instruments in our short-term investment portfolio. We invest in high-credit quality issues and, by policy, limit the amount of credit exposure to any one issuer and country. The portfolio includes only marketable securities with active secondary or resale markets to ensure portfolio liquidity. The portfolio is also diversified by maturity to ensure that funds are readily available as needed to meet our liquidity needs. This policy reduces the potential need to sell securities in order to meet liquidity needs and therefore the potential effect of changing market rates on the value of securities sold.</w:t>
      </w:r>
    </w:p>
    <w:p>
      <w:pPr>
        <w:spacing w:after="0" w:line="134" w:lineRule="exact"/>
        <w:rPr>
          <w:sz w:val="20"/>
          <w:szCs w:val="20"/>
          <w:color w:val="auto"/>
        </w:rPr>
      </w:pPr>
    </w:p>
    <w:p>
      <w:pPr>
        <w:ind w:firstLine="432"/>
        <w:spacing w:after="0" w:line="297" w:lineRule="auto"/>
        <w:rPr>
          <w:sz w:val="20"/>
          <w:szCs w:val="20"/>
          <w:color w:val="auto"/>
        </w:rPr>
      </w:pPr>
      <w:r>
        <w:rPr>
          <w:rFonts w:ascii="Arial" w:cs="Arial" w:eastAsia="Arial" w:hAnsi="Arial"/>
          <w:sz w:val="16"/>
          <w:szCs w:val="16"/>
          <w:color w:val="auto"/>
        </w:rPr>
        <w:t>The primary objective of our short-term investment activities is to preserve principal while maximizing yields, without significantly increasing risk. Our cash equivalents earn interest at fixed rates; therefore, changes in interest rates will not generate a gain or loss on these investments unless they are sold prior to maturity. Actual gains and losses due to the sale of our investments prior to maturity have been immaterial. The weighted average days to maturity for cash equivalents held as of December 26, 2014 was four days, and these investments had an average yield of 1.9% per annum. A 10% change in interest rates on our cash and cash equivalents is not expected to have a material impact on our financial position, results of operations or cash flows.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right="240" w:firstLine="432"/>
        <w:spacing w:after="0" w:line="264" w:lineRule="auto"/>
        <w:rPr>
          <w:sz w:val="20"/>
          <w:szCs w:val="20"/>
          <w:color w:val="auto"/>
        </w:rPr>
      </w:pPr>
      <w:r>
        <w:rPr>
          <w:rFonts w:ascii="Arial" w:cs="Arial" w:eastAsia="Arial" w:hAnsi="Arial"/>
          <w:sz w:val="18"/>
          <w:szCs w:val="18"/>
          <w:color w:val="auto"/>
        </w:rPr>
        <w:t>During the first two quarters of fiscal 2015, we had $9.0 million of borrowings outstanding under the SVB Credit Facility that incurred interest at the prime rate plus a spread of 0.50% to 1.50%. During the first two quarters of fiscal 2015, our weighted average interest rate was 3.8% and we recorded total interest expense of $0.2 million on these borrowings.</w:t>
      </w:r>
    </w:p>
    <w:p>
      <w:pPr>
        <w:spacing w:after="0" w:line="127" w:lineRule="exact"/>
        <w:rPr>
          <w:sz w:val="20"/>
          <w:szCs w:val="20"/>
          <w:color w:val="auto"/>
        </w:rPr>
      </w:pPr>
    </w:p>
    <w:p>
      <w:pPr>
        <w:ind w:right="260" w:firstLine="432"/>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800"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Material Weaknesses on Internal Control over Financial Reporting</w:t>
      </w:r>
    </w:p>
    <w:p>
      <w:pPr>
        <w:spacing w:after="0" w:line="175" w:lineRule="exact"/>
        <w:rPr>
          <w:sz w:val="20"/>
          <w:szCs w:val="20"/>
          <w:color w:val="auto"/>
        </w:rPr>
      </w:pPr>
    </w:p>
    <w:p>
      <w:pPr>
        <w:ind w:right="60" w:firstLine="405"/>
        <w:spacing w:after="0" w:line="289"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(as defined in Rules 13a-15(f) and 15d-15(f) under the Exchange Act). Internal control over financial reporting is a process designed by, or under the supervision of, the Chief Executive Officer and Chief Financial Officer, or persons performing similar functions, and effected by the board of directors, management and other personnel, to provide reasonable assurance regarding the reliability of financial reporting and the preparation of financial statements for external purposes in accordance with U.S. GAAP and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75"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Because of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ind w:right="220" w:firstLine="405"/>
        <w:spacing w:after="0" w:line="264" w:lineRule="auto"/>
        <w:rPr>
          <w:sz w:val="20"/>
          <w:szCs w:val="20"/>
          <w:color w:val="auto"/>
        </w:rPr>
      </w:pPr>
      <w:r>
        <w:rPr>
          <w:rFonts w:ascii="Arial" w:cs="Arial" w:eastAsia="Arial" w:hAnsi="Arial"/>
          <w:sz w:val="18"/>
          <w:szCs w:val="18"/>
          <w:color w:val="auto"/>
        </w:rPr>
        <w:t>Under the supervision and with the participation of management, including our Chief Executive Officer and Chief Financial Officer, management has assessed the effectiveness of the Company’s internal control over financial reporting based on the criteria set forth in the Internal Control - Integrated Framework (1992) issued by the Committee of Sponsoring Organizations of the Treadway Commission.</w:t>
      </w:r>
    </w:p>
    <w:p>
      <w:pPr>
        <w:spacing w:after="0" w:line="127" w:lineRule="exact"/>
        <w:rPr>
          <w:sz w:val="20"/>
          <w:szCs w:val="20"/>
          <w:color w:val="auto"/>
        </w:rPr>
      </w:pPr>
    </w:p>
    <w:p>
      <w:pPr>
        <w:ind w:right="440" w:firstLine="405"/>
        <w:spacing w:after="0" w:line="259" w:lineRule="auto"/>
        <w:rPr>
          <w:sz w:val="20"/>
          <w:szCs w:val="20"/>
          <w:color w:val="auto"/>
        </w:rPr>
      </w:pPr>
      <w:r>
        <w:rPr>
          <w:rFonts w:ascii="Arial" w:cs="Arial" w:eastAsia="Arial" w:hAnsi="Arial"/>
          <w:sz w:val="18"/>
          <w:szCs w:val="18"/>
          <w:color w:val="auto"/>
        </w:rPr>
        <w:t>A material weakness is a control deficiency or a combination of control deficiencies that results in more than a remote likelihood that a material misstatement of the annual or interim financial statements will not be prevented or detected. In connection with the Company’s assessment of the effectiveness of internal control over financial reporting, the Company identified the following material weaknesses that existed as of June 27, 2014 that continued to exist as of December 26, 2014:</w:t>
      </w:r>
    </w:p>
    <w:p>
      <w:pPr>
        <w:spacing w:after="0" w:line="133" w:lineRule="exact"/>
        <w:rPr>
          <w:sz w:val="20"/>
          <w:szCs w:val="20"/>
          <w:color w:val="auto"/>
        </w:rPr>
      </w:pPr>
    </w:p>
    <w:p>
      <w:pPr>
        <w:ind w:left="820" w:hanging="407"/>
        <w:spacing w:after="0" w:line="285" w:lineRule="auto"/>
        <w:tabs>
          <w:tab w:leader="none" w:pos="82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COSO Components, Excluding Control Activities. </w:t>
      </w:r>
      <w:r>
        <w:rPr>
          <w:rFonts w:ascii="Arial" w:cs="Arial" w:eastAsia="Arial" w:hAnsi="Arial"/>
          <w:sz w:val="16"/>
          <w:szCs w:val="16"/>
          <w:color w:val="auto"/>
        </w:rPr>
        <w:t>We determined that our controls pertaining to the control environment, risk assessment,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monitoring activities and information and communication activities did not operate effectively, resulting in a material weakness pertaining to these COSO components. Specifically, (i) with respect to the control environment, we did not maintain a sufficient complement of adequately trained personnel with an appropriate level of knowledge, experience, skills and training commensurate with our financial reporting requirements and business environment; (ii) with respect to risk assessment, we did not identify risks associated with (a) implementing our newly installed worldwide enterprise resource planning system, used for financial reporting purposes, including assessing the adequacy of staffing levels and training needs of our global accounting and financial reporting staff, segregation of duty conflicts and the adequacy and effectiveness of compensating controls; (b) the completeness and accuracy of information underlying accounting estimates used in management review controls and procedures, including appropriately documenting risk tolerance and precision of such controls; and (c) certain processes, further noted in the Control Activities discussion below, resulting in inadequately designed control activities; (iii) with respect to information and communication, we did not (a) sufficiently promote an appropriate level of control awareness or commit appropriate human or financial resources to support the development of necessary information systems, including system controls and training related to our newly installed worldwide enterprise resource planning system; and (b) ensure the completeness, accuracy and timeliness of communications between the project management and accounting functions regarding our percentage-of-completion contracts; and (iv) with respect to monitoring activities, (a) we did not design and maintain effective controls for the review, supervision and monitoring of our accounting operations and evaluating the adequacy of our internal control over financial reporting, including adequate documentation of control performance; (b) there were insufficient procedures to effectively determine the adequacy of our internal control over financial reporting; and (c) due to unanticipated turnover in the finance organization late in our fiscal year we did not maintain a sufficient number of accounting professionals with an appropriate level of knowledge, experience, skills and</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580" w:right="239" w:bottom="1440" w:gutter="0" w:footer="0" w:header="0"/>
        </w:sectPr>
      </w:pPr>
    </w:p>
    <w:bookmarkStart w:id="29" w:name="page30"/>
    <w:bookmarkEnd w:id="29"/>
    <w:p>
      <w:pPr>
        <w:ind w:left="820" w:right="60"/>
        <w:spacing w:after="0" w:line="304" w:lineRule="auto"/>
        <w:rPr>
          <w:sz w:val="20"/>
          <w:szCs w:val="20"/>
          <w:color w:val="auto"/>
        </w:rPr>
      </w:pPr>
      <w:r>
        <w:rPr>
          <w:rFonts w:ascii="Arial" w:cs="Arial" w:eastAsia="Arial" w:hAnsi="Arial"/>
          <w:sz w:val="18"/>
          <w:szCs w:val="18"/>
          <w:color w:val="auto"/>
        </w:rPr>
        <w:t>training to monitor our compliance with internal control over financial reporting at both our domestic and international locations. The deficiencies in these COSO components are interrelated and represent a material weakness. This material weakness contributed to the other material weaknesses described below and an environment where there was more than a remote likelihood that a material misstatement of the interim and annual consolidated financial statements could occur and not be prevented or detected. As a result, adjustments to various accounts were made to correct immaterial errors to the financial statements.</w:t>
      </w:r>
    </w:p>
    <w:p>
      <w:pPr>
        <w:spacing w:after="0" w:line="107" w:lineRule="exact"/>
        <w:rPr>
          <w:sz w:val="20"/>
          <w:szCs w:val="20"/>
          <w:color w:val="auto"/>
        </w:rPr>
      </w:pPr>
    </w:p>
    <w:p>
      <w:pPr>
        <w:ind w:left="820" w:right="300" w:hanging="407"/>
        <w:spacing w:after="0" w:line="264" w:lineRule="auto"/>
        <w:tabs>
          <w:tab w:leader="none" w:pos="820" w:val="left"/>
        </w:tabs>
        <w:numPr>
          <w:ilvl w:val="0"/>
          <w:numId w:val="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Control Activities - Manual journal entries. </w:t>
      </w:r>
      <w:r>
        <w:rPr>
          <w:rFonts w:ascii="Arial" w:cs="Arial" w:eastAsia="Arial" w:hAnsi="Arial"/>
          <w:sz w:val="18"/>
          <w:szCs w:val="18"/>
          <w:color w:val="auto"/>
        </w:rPr>
        <w:t>The design and operating effectiveness of our controls were inadequate to ensure that appropriate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documentation was identified, accumulated and maintained to support manual journal entries and that such manual journal entries were independently reviewed and approved.</w:t>
      </w:r>
    </w:p>
    <w:p>
      <w:pPr>
        <w:spacing w:after="0" w:line="127" w:lineRule="exact"/>
        <w:rPr>
          <w:rFonts w:ascii="Arial" w:cs="Arial" w:eastAsia="Arial" w:hAnsi="Arial"/>
          <w:sz w:val="18"/>
          <w:szCs w:val="18"/>
          <w:color w:val="auto"/>
        </w:rPr>
      </w:pPr>
    </w:p>
    <w:p>
      <w:pPr>
        <w:ind w:left="820" w:right="40" w:hanging="407"/>
        <w:spacing w:after="0" w:line="286"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Control Activities - Account reconciliations. </w:t>
      </w:r>
      <w:r>
        <w:rPr>
          <w:rFonts w:ascii="Arial" w:cs="Arial" w:eastAsia="Arial" w:hAnsi="Arial"/>
          <w:sz w:val="17"/>
          <w:szCs w:val="17"/>
          <w:color w:val="auto"/>
        </w:rPr>
        <w:t>The design and operating effectiveness of our controls were inadequate to ensure that account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reconciliations, including intercompany account reconciliations and eliminations, were reviewed and approved for accuracy and completeness and that we identified, accumulated and documented appropriate information necessary to support account balances.</w:t>
      </w:r>
    </w:p>
    <w:p>
      <w:pPr>
        <w:spacing w:after="0" w:line="111" w:lineRule="exact"/>
        <w:rPr>
          <w:rFonts w:ascii="Arial" w:cs="Arial" w:eastAsia="Arial" w:hAnsi="Arial"/>
          <w:sz w:val="17"/>
          <w:szCs w:val="17"/>
          <w:color w:val="auto"/>
        </w:rPr>
      </w:pPr>
    </w:p>
    <w:p>
      <w:pPr>
        <w:ind w:left="820" w:right="460" w:hanging="407"/>
        <w:spacing w:after="0" w:line="308" w:lineRule="auto"/>
        <w:tabs>
          <w:tab w:leader="none" w:pos="820" w:val="left"/>
        </w:tabs>
        <w:numPr>
          <w:ilvl w:val="0"/>
          <w:numId w:val="7"/>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Control Activities - Revenue Recognition on Percentage-of-Completion (“POC”) Contracts. </w:t>
      </w:r>
      <w:r>
        <w:rPr>
          <w:rFonts w:ascii="Arial" w:cs="Arial" w:eastAsia="Arial" w:hAnsi="Arial"/>
          <w:sz w:val="17"/>
          <w:szCs w:val="17"/>
          <w:color w:val="auto"/>
        </w:rPr>
        <w:t>The design and operating effectiveness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controls were inadequate to ensure that the reported amount and timing of revenue recognition was accurate.</w:t>
      </w:r>
    </w:p>
    <w:p>
      <w:pPr>
        <w:spacing w:after="0" w:line="93" w:lineRule="exact"/>
        <w:rPr>
          <w:sz w:val="20"/>
          <w:szCs w:val="20"/>
          <w:color w:val="auto"/>
        </w:rPr>
      </w:pPr>
    </w:p>
    <w:p>
      <w:pPr>
        <w:ind w:right="380" w:firstLine="405"/>
        <w:spacing w:after="0" w:line="308" w:lineRule="auto"/>
        <w:rPr>
          <w:sz w:val="20"/>
          <w:szCs w:val="20"/>
          <w:color w:val="auto"/>
        </w:rPr>
      </w:pPr>
      <w:r>
        <w:rPr>
          <w:rFonts w:ascii="Arial" w:cs="Arial" w:eastAsia="Arial" w:hAnsi="Arial"/>
          <w:sz w:val="17"/>
          <w:szCs w:val="17"/>
          <w:color w:val="auto"/>
        </w:rPr>
        <w:t>Although no material errors were identified in our audited financial statements, these material weaknesses resulted in a reasonable possibility that a material misstatement of our annual or interim consolidated financial statements would not be prevented or detected on a timely basis.</w:t>
      </w:r>
    </w:p>
    <w:p>
      <w:pPr>
        <w:spacing w:after="0" w:line="93"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The material weaknesses identified by management could result in a material misstatement to our annual or interim financial statements that would not be prevented or detected.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 Evaluation of Disclosure Controls and Procedures</w:t>
      </w:r>
    </w:p>
    <w:p>
      <w:pPr>
        <w:spacing w:after="0" w:line="175" w:lineRule="exact"/>
        <w:rPr>
          <w:sz w:val="20"/>
          <w:szCs w:val="20"/>
          <w:color w:val="auto"/>
        </w:rPr>
      </w:pPr>
    </w:p>
    <w:p>
      <w:pPr>
        <w:ind w:right="60" w:firstLine="405"/>
        <w:spacing w:after="0" w:line="276" w:lineRule="auto"/>
        <w:rPr>
          <w:sz w:val="20"/>
          <w:szCs w:val="20"/>
          <w:color w:val="auto"/>
        </w:rPr>
      </w:pPr>
      <w:r>
        <w:rPr>
          <w:rFonts w:ascii="Arial" w:cs="Arial" w:eastAsia="Arial" w:hAnsi="Arial"/>
          <w:sz w:val="17"/>
          <w:szCs w:val="17"/>
          <w:color w:val="auto"/>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our reports filed or submitted under the Exchange Act is accumulated and communicated to management, including our Chief Executive Officer and Chief Financial Officer, as appropriate to allow timely decisions regarding required disclosure.</w:t>
      </w:r>
    </w:p>
    <w:p>
      <w:pPr>
        <w:spacing w:after="0" w:line="227" w:lineRule="exact"/>
        <w:rPr>
          <w:sz w:val="20"/>
          <w:szCs w:val="20"/>
          <w:color w:val="auto"/>
        </w:rPr>
      </w:pPr>
    </w:p>
    <w:p>
      <w:pPr>
        <w:jc w:val="both"/>
        <w:ind w:right="180" w:firstLine="405"/>
        <w:spacing w:after="0" w:line="259" w:lineRule="auto"/>
        <w:rPr>
          <w:sz w:val="20"/>
          <w:szCs w:val="20"/>
          <w:color w:val="auto"/>
        </w:rPr>
      </w:pPr>
      <w:r>
        <w:rPr>
          <w:rFonts w:ascii="Arial" w:cs="Arial" w:eastAsia="Arial" w:hAnsi="Arial"/>
          <w:sz w:val="18"/>
          <w:szCs w:val="18"/>
          <w:color w:val="auto"/>
        </w:rPr>
        <w:t>As of December 26, 2014, management carried out an evaluation, under the supervision and with the participation of our Chief Executive Officer and Chief Financial Officer, of the effectiveness of our disclosure controls and procedures. Based upon the evaluation and as a result of the material weaknesses described above, our Chief Executive Officer and Chief Financial Officer concluded that, as of December 26, 2014, our disclosure controls and procedures were not effective at the reasonable assurance level.</w:t>
      </w:r>
    </w:p>
    <w:p>
      <w:pPr>
        <w:spacing w:after="0" w:line="241" w:lineRule="exact"/>
        <w:rPr>
          <w:sz w:val="20"/>
          <w:szCs w:val="20"/>
          <w:color w:val="auto"/>
        </w:rPr>
      </w:pPr>
    </w:p>
    <w:p>
      <w:pPr>
        <w:jc w:val="both"/>
        <w:ind w:right="160" w:firstLine="405"/>
        <w:spacing w:after="0" w:line="277" w:lineRule="auto"/>
        <w:rPr>
          <w:sz w:val="20"/>
          <w:szCs w:val="20"/>
          <w:color w:val="auto"/>
        </w:rPr>
      </w:pPr>
      <w:r>
        <w:rPr>
          <w:rFonts w:ascii="Arial" w:cs="Arial" w:eastAsia="Arial" w:hAnsi="Arial"/>
          <w:sz w:val="18"/>
          <w:szCs w:val="18"/>
          <w:color w:val="auto"/>
        </w:rPr>
        <w:t>There are inherent limitations to the effectiveness of any system of disclosure controls and procedures. Accordingly, even effective disclosure controls and procedures can only provide reasonable assurances of achieving their control objectives.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Changes in Internal Control over Financial Reporting</w:t>
      </w:r>
    </w:p>
    <w:p>
      <w:pPr>
        <w:spacing w:after="0" w:line="229"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Subsequent to our June 27, 2014 fiscal year end, we began taking a number of actions, including designing and implementing new controls and revising existing controls, in order to remediate the material weaknesses described above. We expect to continue our remediation efforts, including testing of operating effectiveness of new controls, as described below under “Remedial Actions to Address Material Weaknesses” during the fiscal year ending July 3, 2015 and provide an update on the status of our remediation activities on a quarterly basis.</w:t>
      </w:r>
    </w:p>
    <w:p>
      <w:pPr>
        <w:spacing w:after="0" w:line="133" w:lineRule="exact"/>
        <w:rPr>
          <w:sz w:val="20"/>
          <w:szCs w:val="20"/>
          <w:color w:val="auto"/>
        </w:rPr>
      </w:pPr>
    </w:p>
    <w:p>
      <w:pPr>
        <w:ind w:right="60" w:firstLine="432"/>
        <w:spacing w:after="0" w:line="264" w:lineRule="auto"/>
        <w:rPr>
          <w:sz w:val="20"/>
          <w:szCs w:val="20"/>
          <w:color w:val="auto"/>
        </w:rPr>
      </w:pPr>
      <w:r>
        <w:rPr>
          <w:rFonts w:ascii="Arial" w:cs="Arial" w:eastAsia="Arial" w:hAnsi="Arial"/>
          <w:sz w:val="18"/>
          <w:szCs w:val="18"/>
          <w:color w:val="auto"/>
        </w:rPr>
        <w:t>There were no changes in our internal control over financial reporting during the quarter ended December 26, 2014 that have materially affected, or are reasonably likely to materially affect, our internal control over financial reporting, other than progress with respect to the implementation of certain remediation efforts, as described below.</w:t>
      </w: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773" w:right="25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(d) Remedial Actions to Address Material Weaknesses</w:t>
      </w:r>
    </w:p>
    <w:p>
      <w:pPr>
        <w:spacing w:after="0" w:line="229" w:lineRule="exact"/>
        <w:rPr>
          <w:sz w:val="20"/>
          <w:szCs w:val="20"/>
          <w:color w:val="auto"/>
        </w:rPr>
      </w:pPr>
    </w:p>
    <w:p>
      <w:pPr>
        <w:ind w:right="20" w:firstLine="405"/>
        <w:spacing w:after="0" w:line="264" w:lineRule="auto"/>
        <w:rPr>
          <w:sz w:val="20"/>
          <w:szCs w:val="20"/>
          <w:color w:val="auto"/>
        </w:rPr>
      </w:pPr>
      <w:r>
        <w:rPr>
          <w:rFonts w:ascii="Arial" w:cs="Arial" w:eastAsia="Arial" w:hAnsi="Arial"/>
          <w:sz w:val="18"/>
          <w:szCs w:val="18"/>
          <w:color w:val="auto"/>
        </w:rPr>
        <w:t>We continue to evaluate the effectiveness of our remediation efforts, including demonstrating that the new or improved controls operate effectively for a reasonable period of time. If appropriate, we expect to make further changes to our internal controls. The following actions have been taken, or we expect to take as soon as practicable, to strengthen our controls and organizational structure:</w:t>
      </w:r>
    </w:p>
    <w:p>
      <w:pPr>
        <w:spacing w:after="0" w:line="181" w:lineRule="exact"/>
        <w:rPr>
          <w:sz w:val="20"/>
          <w:szCs w:val="20"/>
          <w:color w:val="auto"/>
        </w:rPr>
      </w:pPr>
    </w:p>
    <w:p>
      <w:pPr>
        <w:ind w:left="820" w:right="60" w:hanging="407"/>
        <w:spacing w:after="0" w:line="273"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address issues with recent employee turnover, we hired new accounting personnel with an appropriate level of knowledge, experience and skill sets commensurate with our newly installed enterprise resource planning system and business environment. We expect to continue to evaluate our needs for new and additional personnel. We leveraged the services of consulting firms and expect to continue to do so to assist us with strengthening our internal controls and documentation. We expect to provide training beginning in the third quarter of fiscal 2015 in order to enhance the level of communications and understanding of controls with key individuals that provide critical information used in financial accounting and reporting on matters relating to our business and operations</w:t>
      </w:r>
      <w:r>
        <w:rPr>
          <w:rFonts w:ascii="Arial" w:cs="Arial" w:eastAsia="Arial" w:hAnsi="Arial"/>
          <w:sz w:val="17"/>
          <w:szCs w:val="17"/>
          <w:i w:val="1"/>
          <w:iCs w:val="1"/>
          <w:color w:val="auto"/>
        </w:rPr>
        <w:t>.</w:t>
      </w:r>
    </w:p>
    <w:p>
      <w:pPr>
        <w:spacing w:after="0" w:line="178" w:lineRule="exact"/>
        <w:rPr>
          <w:rFonts w:ascii="Arial" w:cs="Arial" w:eastAsia="Arial" w:hAnsi="Arial"/>
          <w:sz w:val="17"/>
          <w:szCs w:val="17"/>
          <w:color w:val="auto"/>
        </w:rPr>
      </w:pPr>
    </w:p>
    <w:p>
      <w:pPr>
        <w:ind w:left="820" w:hanging="407"/>
        <w:spacing w:after="0" w:line="271"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expect to enhance our risk assessment process. With regard to risks associated with our newly installed worldwide enterprise resource planning system, we have identified subject matter experts (“SME”) and SME backups for each of the functional areas in our finance organization. The SMEs are expected to lead an international team of users in training, developing global processes and in logging and tracking system issues beginning in the third quarter of fiscal 2015. The SMEs are expected to also be responsible for documenting all processes and coordinating all training materials and expected to have sufficient resources at our disposal to accomplish their tasks. With regard to procedures to ensure the completeness and accuracy of information used in the performance of control activities, we expect to enhance oversight of accounting estimates and the precision level of those estimates. We expect to update policies and procedures in key areas, particularly with respect to areas that involve management judgment and the use of estimates</w:t>
      </w:r>
      <w:r>
        <w:rPr>
          <w:rFonts w:ascii="Arial" w:cs="Arial" w:eastAsia="Arial" w:hAnsi="Arial"/>
          <w:sz w:val="17"/>
          <w:szCs w:val="17"/>
          <w:b w:val="1"/>
          <w:bCs w:val="1"/>
          <w:color w:val="auto"/>
        </w:rPr>
        <w:t>.</w:t>
      </w:r>
    </w:p>
    <w:p>
      <w:pPr>
        <w:spacing w:after="0" w:line="178" w:lineRule="exact"/>
        <w:rPr>
          <w:rFonts w:ascii="Arial" w:cs="Arial" w:eastAsia="Arial" w:hAnsi="Arial"/>
          <w:sz w:val="17"/>
          <w:szCs w:val="17"/>
          <w:color w:val="auto"/>
        </w:rPr>
      </w:pPr>
    </w:p>
    <w:p>
      <w:pPr>
        <w:ind w:left="820" w:hanging="407"/>
        <w:spacing w:after="0" w:line="259"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 connection with the fiscal 2015 second quarter end close, we began implementing processes to improve the review and supervision of our accounting operations. These monitoring processes include (i) implementing increased and enhanced balance sheet reviews to allow more focus on quality account reconciliations; (ii) enhancing monitoring over international activities; and (iii) implementing more rigorous intercompany reconciliation procedures.</w:t>
      </w:r>
    </w:p>
    <w:p>
      <w:pPr>
        <w:spacing w:after="0" w:line="186" w:lineRule="exact"/>
        <w:rPr>
          <w:rFonts w:ascii="Arial" w:cs="Arial" w:eastAsia="Arial" w:hAnsi="Arial"/>
          <w:sz w:val="18"/>
          <w:szCs w:val="18"/>
          <w:color w:val="auto"/>
        </w:rPr>
      </w:pPr>
    </w:p>
    <w:p>
      <w:pPr>
        <w:ind w:left="820" w:hanging="407"/>
        <w:spacing w:after="0" w:line="276" w:lineRule="auto"/>
        <w:tabs>
          <w:tab w:leader="none" w:pos="82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have implemented a formal policy that expressly prohibits a manual journal entry being created and approved by the same employee. Further, effective with our fiscal 2015 second quarter end close, we implemented a process that includes a system-generated email alert being sent to senior accounting personnel when a journal entry is entered and posted by the same employee. Senior accounting personnel will follow up with the employee and have the journal entry reviewed by appropriate accounting personnel. After the implementation of this process, any exceptions to the policy can be identified on a timely basis and appropriately addressed.</w:t>
      </w:r>
    </w:p>
    <w:p>
      <w:pPr>
        <w:spacing w:after="0" w:line="172" w:lineRule="exact"/>
        <w:rPr>
          <w:rFonts w:ascii="Arial" w:cs="Arial" w:eastAsia="Arial" w:hAnsi="Arial"/>
          <w:sz w:val="17"/>
          <w:szCs w:val="17"/>
          <w:color w:val="auto"/>
        </w:rPr>
      </w:pPr>
    </w:p>
    <w:p>
      <w:pPr>
        <w:jc w:val="both"/>
        <w:ind w:left="820" w:right="80" w:hanging="407"/>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To improve the timeliness and accuracy of updates to revenue and cost estimates and the completeness and accuracy of POC revenue recognition, we began implementing procedures in the first quarter of fiscal 2015 to allow for more timely and accurate communications between field service project managers and accounting personnel and improved procedures.</w:t>
      </w: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580" w:right="259" w:bottom="1440" w:gutter="0" w:footer="0" w:header="0"/>
        </w:sectPr>
      </w:pPr>
    </w:p>
    <w:bookmarkStart w:id="31" w:name="page32"/>
    <w:bookmarkEnd w:id="31"/>
    <w:p>
      <w:pPr>
        <w:spacing w:after="0"/>
        <w:tabs>
          <w:tab w:leader="none" w:pos="92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ind w:left="420"/>
        <w:spacing w:after="0"/>
        <w:rPr>
          <w:sz w:val="20"/>
          <w:szCs w:val="20"/>
          <w:color w:val="auto"/>
        </w:rPr>
      </w:pPr>
      <w:r>
        <w:rPr>
          <w:rFonts w:ascii="Arial" w:cs="Arial" w:eastAsia="Arial" w:hAnsi="Arial"/>
          <w:sz w:val="18"/>
          <w:szCs w:val="18"/>
          <w:color w:val="auto"/>
        </w:rPr>
        <w:t>Please refer to Legal Proceedings under Note 12, “Commitments and Contingencies” in this Quarterly Report on Form 10-Q.</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ind w:right="160" w:firstLine="405"/>
        <w:spacing w:after="0" w:line="277"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2014 Annual Report on Form 10-K.</w:t>
      </w:r>
    </w:p>
    <w:p>
      <w:pPr>
        <w:spacing w:after="0" w:line="116" w:lineRule="exact"/>
        <w:rPr>
          <w:sz w:val="20"/>
          <w:szCs w:val="20"/>
          <w:color w:val="auto"/>
        </w:rPr>
      </w:pPr>
    </w:p>
    <w:p>
      <w:pPr>
        <w:ind w:firstLine="405"/>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2014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9280"/>
        <w:spacing w:after="0"/>
        <w:rPr>
          <w:sz w:val="20"/>
          <w:szCs w:val="20"/>
          <w:color w:val="auto"/>
        </w:rPr>
      </w:pPr>
      <w:r>
        <w:rPr>
          <w:rFonts w:ascii="Arial" w:cs="Arial" w:eastAsia="Arial" w:hAnsi="Arial"/>
          <w:sz w:val="17"/>
          <w:szCs w:val="17"/>
          <w:b w:val="1"/>
          <w:bCs w:val="1"/>
          <w:color w:val="auto"/>
        </w:rPr>
        <w:t>Item 5. Other Information</w:t>
      </w:r>
    </w:p>
    <w:p>
      <w:pPr>
        <w:spacing w:after="0" w:line="187" w:lineRule="exact"/>
        <w:rPr>
          <w:sz w:val="20"/>
          <w:szCs w:val="20"/>
          <w:color w:val="auto"/>
        </w:rPr>
      </w:pPr>
    </w:p>
    <w:p>
      <w:pPr>
        <w:jc w:val="center"/>
        <w:ind w:right="92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20"/>
          </w:cols>
          <w:pgMar w:left="240" w:top="688"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Item 6. Exhibits</w:t>
      </w:r>
    </w:p>
    <w:p>
      <w:pPr>
        <w:spacing w:after="0" w:line="25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640" w:type="dxa"/>
            <w:vAlign w:val="bottom"/>
          </w:tcPr>
          <w:p>
            <w:pPr>
              <w:ind w:left="444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0"/>
              </w:rPr>
              <w:t>Amendment No. 1 to Second Amended and Restated Loan and Security Agreement, dated as of September 29, 2014, by and among</w:t>
            </w: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5"/>
              </w:rPr>
              <w:t>Aviat Networks, Inc., Aviat U.S., Inc., Aviat Networks (S) Pte. Ltd. and Silicon Valley Bank (incorporated by reference to Exhibit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10.1 to the Current Report on Form 8-K filed with the SEC on September 29, 2014, File No. 001-33278)</w:t>
            </w:r>
          </w:p>
        </w:tc>
      </w:tr>
      <w:tr>
        <w:trPr>
          <w:trHeight w:val="580"/>
        </w:trPr>
        <w:tc>
          <w:tcPr>
            <w:tcW w:w="122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2"/>
              </w:rPr>
              <w:t>Amendment No. 2 to Second Amended and Restated Loan and Security Agreement, dated as of October 30, 2014, by and among</w:t>
            </w: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5"/>
              </w:rPr>
              <w:t>Aviat Networks, Inc., Aviat U.S., Inc., Aviat Networks (S) Pte. Ltd. and Silicon Valley Bank (incorporated by reference to Exhibit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10.1 to the Current Report on Form 8-K filed with the SEC on October 30, 2014, File No. 001-33278)</w:t>
            </w:r>
          </w:p>
        </w:tc>
      </w:tr>
      <w:tr>
        <w:trPr>
          <w:trHeight w:val="580"/>
        </w:trPr>
        <w:tc>
          <w:tcPr>
            <w:tcW w:w="122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1"/>
              </w:rPr>
              <w:t>Amendment No. 3 to Second Amended and Restated Loan and Security Agreement, dated as of December 2, 2014, by and among</w:t>
            </w: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5"/>
              </w:rPr>
              <w:t>Aviat Networks, Inc., Aviat U.S., Inc., Aviat Networks (S) Pte. Ltd. and Silicon Valley Bank (incorporated by reference to Exhibit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10.1 to the Current Report on Form 8- K filed with the SEC on December 5, 2014, File No. 001-33278)</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Employment Offer Letter, dated December 23, 2014, between Aviat Networks, Inc., and Michael Shabazian</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6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918"/>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33</w:t>
            </w:r>
          </w:p>
        </w:tc>
      </w:tr>
    </w:tbl>
    <w:p>
      <w:pPr>
        <w:sectPr>
          <w:pgSz w:w="11900" w:h="16838" w:orient="portrait"/>
          <w:cols w:equalWidth="0" w:num="1">
            <w:col w:w="10980"/>
          </w:cols>
          <w:pgMar w:left="240" w:top="850" w:right="679" w:bottom="1440" w:gutter="0" w:footer="0" w:header="0"/>
        </w:sectPr>
      </w:pPr>
    </w:p>
    <w:bookmarkStart w:id="33" w:name="page34"/>
    <w:bookmarkEnd w:id="33"/>
    <w:p>
      <w:pPr>
        <w:jc w:val="center"/>
        <w:ind w:right="-719"/>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February 4, 2015</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580"/>
        <w:spacing w:after="0"/>
        <w:tabs>
          <w:tab w:leader="none" w:pos="64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John J. Madigan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4095750</wp:posOffset>
            </wp:positionH>
            <wp:positionV relativeFrom="paragraph">
              <wp:posOffset>31750</wp:posOffset>
            </wp:positionV>
            <wp:extent cx="31559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55950" cy="8890"/>
                    </a:xfrm>
                    <a:prstGeom prst="rect">
                      <a:avLst/>
                    </a:prstGeom>
                    <a:noFill/>
                  </pic:spPr>
                </pic:pic>
              </a:graphicData>
            </a:graphic>
          </wp:anchor>
        </w:drawing>
      </w:r>
    </w:p>
    <w:p>
      <w:pPr>
        <w:spacing w:after="0" w:line="57"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John J. Madigan</w:t>
      </w:r>
    </w:p>
    <w:p>
      <w:pPr>
        <w:spacing w:after="0" w:line="23"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Vice President, Corporate Controller and</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Accounting Officer</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(Principal accounting officer and</w:t>
      </w:r>
    </w:p>
    <w:p>
      <w:pPr>
        <w:spacing w:after="0" w:line="9" w:lineRule="exact"/>
        <w:rPr>
          <w:sz w:val="20"/>
          <w:szCs w:val="20"/>
          <w:color w:val="auto"/>
        </w:rPr>
      </w:pPr>
    </w:p>
    <w:p>
      <w:pPr>
        <w:ind w:left="6480"/>
        <w:spacing w:after="0"/>
        <w:rPr>
          <w:sz w:val="20"/>
          <w:szCs w:val="20"/>
          <w:color w:val="auto"/>
        </w:rPr>
      </w:pPr>
      <w:r>
        <w:rPr>
          <w:rFonts w:ascii="Arial" w:cs="Arial" w:eastAsia="Arial" w:hAnsi="Arial"/>
          <w:sz w:val="18"/>
          <w:szCs w:val="18"/>
          <w:color w:val="auto"/>
        </w:rPr>
        <w:t>duly authorized officer)</w:t>
      </w:r>
    </w:p>
    <w:p>
      <w:pPr>
        <w:spacing w:after="0" w:line="200" w:lineRule="exact"/>
        <w:rPr>
          <w:sz w:val="20"/>
          <w:szCs w:val="20"/>
          <w:color w:val="auto"/>
        </w:rPr>
      </w:pPr>
    </w:p>
    <w:p>
      <w:pPr>
        <w:spacing w:after="0" w:line="28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720"/>
          </w:cols>
          <w:pgMar w:left="240" w:top="796" w:right="9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3680"/>
              <w:spacing w:after="0"/>
              <w:rPr>
                <w:sz w:val="20"/>
                <w:szCs w:val="20"/>
                <w:color w:val="auto"/>
              </w:rPr>
            </w:pPr>
            <w:r>
              <w:rPr>
                <w:rFonts w:ascii="Arial" w:cs="Arial" w:eastAsia="Arial" w:hAnsi="Arial"/>
                <w:sz w:val="18"/>
                <w:szCs w:val="18"/>
                <w:b w:val="1"/>
                <w:bCs w:val="1"/>
                <w:color w:val="auto"/>
              </w:rPr>
              <w:t>EXHIBIT INDEX</w:t>
            </w:r>
          </w:p>
        </w:tc>
      </w:tr>
      <w:tr>
        <w:trPr>
          <w:trHeight w:val="297"/>
        </w:trPr>
        <w:tc>
          <w:tcPr>
            <w:tcW w:w="10980" w:type="dxa"/>
            <w:vAlign w:val="bottom"/>
            <w:gridSpan w:val="3"/>
          </w:tcPr>
          <w:p>
            <w:pPr>
              <w:ind w:left="44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tc>
      </w:tr>
      <w:tr>
        <w:trPr>
          <w:trHeight w:val="588"/>
        </w:trPr>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640" w:type="dxa"/>
            <w:vAlign w:val="bottom"/>
          </w:tcPr>
          <w:p>
            <w:pPr>
              <w:ind w:left="4440"/>
              <w:spacing w:after="0"/>
              <w:rPr>
                <w:sz w:val="20"/>
                <w:szCs w:val="20"/>
                <w:color w:val="auto"/>
              </w:rPr>
            </w:pPr>
            <w:r>
              <w:rPr>
                <w:rFonts w:ascii="Arial" w:cs="Arial" w:eastAsia="Arial" w:hAnsi="Arial"/>
                <w:sz w:val="14"/>
                <w:szCs w:val="14"/>
                <w:b w:val="1"/>
                <w:bCs w:val="1"/>
                <w:color w:val="auto"/>
              </w:rPr>
              <w:t>Descriptions</w:t>
            </w:r>
          </w:p>
        </w:tc>
      </w:tr>
      <w:tr>
        <w:trPr>
          <w:trHeight w:val="552"/>
        </w:trPr>
        <w:tc>
          <w:tcPr>
            <w:tcW w:w="12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4"/>
                <w:szCs w:val="24"/>
                <w:color w:val="auto"/>
              </w:rPr>
            </w:pPr>
          </w:p>
        </w:tc>
        <w:tc>
          <w:tcPr>
            <w:tcW w:w="964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0"/>
              </w:rPr>
              <w:t>Amendment No. 1 to Second Amended and Restated Loan and Security Agreement, dated as of September 29, 2014, by and among</w:t>
            </w: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5"/>
              </w:rPr>
              <w:t>Aviat Networks, Inc., Aviat U.S., Inc., Aviat Networks (S) Pte. Ltd. and Silicon Valley Bank (incorporated by reference to Exhibit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10.1 to the Current Report on Form 8-K filed with the SEC on September 29, 2014, File No. 001-33278)</w:t>
            </w:r>
          </w:p>
        </w:tc>
      </w:tr>
      <w:tr>
        <w:trPr>
          <w:trHeight w:val="580"/>
        </w:trPr>
        <w:tc>
          <w:tcPr>
            <w:tcW w:w="1220" w:type="dxa"/>
            <w:vAlign w:val="bottom"/>
          </w:tcPr>
          <w:p>
            <w:pPr>
              <w:ind w:left="4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2"/>
              </w:rPr>
              <w:t>Amendment No. 2 to Second Amended and Restated Loan and Security Agreement, dated as of October 30, 2014, by and among</w:t>
            </w: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5"/>
              </w:rPr>
              <w:t>Aviat Networks, Inc., Aviat U.S., Inc., Aviat Networks (S) Pte. Ltd. and Silicon Valley Bank (incorporated by reference to Exhibit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10.1 to the Current Report on Form 8-K filed with the SEC on October 30, 2014, File No. 001-33278)</w:t>
            </w:r>
          </w:p>
        </w:tc>
      </w:tr>
      <w:tr>
        <w:trPr>
          <w:trHeight w:val="580"/>
        </w:trPr>
        <w:tc>
          <w:tcPr>
            <w:tcW w:w="1220" w:type="dxa"/>
            <w:vAlign w:val="bottom"/>
          </w:tcPr>
          <w:p>
            <w:pPr>
              <w:ind w:left="40"/>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1"/>
              </w:rPr>
              <w:t>Amendment No. 3 to Second Amended and Restated Loan and Security Agreement, dated as of December 2, 2014, by and among</w:t>
            </w:r>
          </w:p>
        </w:tc>
      </w:tr>
      <w:tr>
        <w:trPr>
          <w:trHeight w:val="216"/>
        </w:trPr>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w w:val="95"/>
              </w:rPr>
              <w:t>Aviat Networks, Inc., Aviat U.S., Inc., Aviat Networks (S) Pte. Ltd. and Silicon Valley Bank (incorporated by reference to Exhibit</w:t>
            </w:r>
          </w:p>
        </w:tc>
      </w:tr>
      <w:tr>
        <w:trPr>
          <w:trHeight w:val="230"/>
        </w:trPr>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10.1 to the Current Report on Form 8- K filed with the SEC on December 5, 2014, File No. 001-33278)</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Employment Offer Letter, dated December 23, 2014, between Aviat Networks, Inc., and Michael Shabazian</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Executive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Rule 13a-14(a)/15d-14(a) Certification of Chief Financial Officer</w:t>
            </w:r>
          </w:p>
        </w:tc>
      </w:tr>
      <w:tr>
        <w:trPr>
          <w:trHeight w:val="594"/>
        </w:trPr>
        <w:tc>
          <w:tcPr>
            <w:tcW w:w="1220" w:type="dxa"/>
            <w:vAlign w:val="bottom"/>
          </w:tcPr>
          <w:p>
            <w:pPr>
              <w:ind w:left="40"/>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24"/>
                <w:szCs w:val="24"/>
                <w:color w:val="auto"/>
              </w:rPr>
            </w:pPr>
          </w:p>
        </w:tc>
        <w:tc>
          <w:tcPr>
            <w:tcW w:w="9640" w:type="dxa"/>
            <w:vAlign w:val="bottom"/>
          </w:tcPr>
          <w:p>
            <w:pPr>
              <w:ind w:left="20"/>
              <w:spacing w:after="0"/>
              <w:rPr>
                <w:sz w:val="20"/>
                <w:szCs w:val="20"/>
                <w:color w:val="auto"/>
              </w:rPr>
            </w:pPr>
            <w:r>
              <w:rPr>
                <w:rFonts w:ascii="Arial" w:cs="Arial" w:eastAsia="Arial" w:hAnsi="Arial"/>
                <w:sz w:val="18"/>
                <w:szCs w:val="18"/>
                <w:color w:val="auto"/>
              </w:rPr>
              <w:t>Section 1350 Certification of Chief Executive Officer and Chief Financial Officer</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64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567"/>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594"/>
        </w:trPr>
        <w:tc>
          <w:tcPr>
            <w:tcW w:w="134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64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702"/>
        </w:trPr>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40" w:type="dxa"/>
            <w:vAlign w:val="bottom"/>
          </w:tcPr>
          <w:p>
            <w:pPr>
              <w:ind w:left="4280"/>
              <w:spacing w:after="0"/>
              <w:rPr>
                <w:sz w:val="20"/>
                <w:szCs w:val="20"/>
                <w:color w:val="auto"/>
              </w:rPr>
            </w:pPr>
            <w:r>
              <w:rPr>
                <w:rFonts w:ascii="Arial" w:cs="Arial" w:eastAsia="Arial" w:hAnsi="Arial"/>
                <w:sz w:val="18"/>
                <w:szCs w:val="18"/>
                <w:color w:val="auto"/>
              </w:rPr>
              <w:t>35</w:t>
            </w:r>
          </w:p>
        </w:tc>
      </w:tr>
    </w:tbl>
    <w:p>
      <w:pPr>
        <w:sectPr>
          <w:pgSz w:w="11900" w:h="16838" w:orient="portrait"/>
          <w:cols w:equalWidth="0" w:num="1">
            <w:col w:w="10980"/>
          </w:cols>
          <w:pgMar w:left="240" w:top="796" w:right="679" w:bottom="1440" w:gutter="0" w:footer="0" w:header="0"/>
        </w:sectPr>
      </w:pPr>
    </w:p>
    <w:bookmarkStart w:id="35" w:name="page36"/>
    <w:bookmarkEnd w:id="3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492125</wp:posOffset>
            </wp:positionV>
            <wp:extent cx="1252220" cy="7632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252220" cy="763270"/>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p>
      <w:pPr>
        <w:ind w:left="9060"/>
        <w:spacing w:after="0"/>
        <w:rPr>
          <w:sz w:val="20"/>
          <w:szCs w:val="20"/>
          <w:color w:val="auto"/>
        </w:rPr>
      </w:pPr>
      <w:r>
        <w:rPr>
          <w:rFonts w:ascii="Arial" w:cs="Arial" w:eastAsia="Arial" w:hAnsi="Arial"/>
          <w:sz w:val="12"/>
          <w:szCs w:val="12"/>
          <w:b w:val="1"/>
          <w:bCs w:val="1"/>
          <w:color w:val="auto"/>
        </w:rPr>
        <w:t>AVIAT NETWORKS</w:t>
      </w:r>
    </w:p>
    <w:p>
      <w:pPr>
        <w:spacing w:after="0" w:line="168" w:lineRule="exact"/>
        <w:rPr>
          <w:sz w:val="20"/>
          <w:szCs w:val="20"/>
          <w:color w:val="auto"/>
        </w:rPr>
      </w:pPr>
    </w:p>
    <w:p>
      <w:pPr>
        <w:ind w:left="9060"/>
        <w:spacing w:after="0"/>
        <w:rPr>
          <w:sz w:val="20"/>
          <w:szCs w:val="20"/>
          <w:color w:val="auto"/>
        </w:rPr>
      </w:pPr>
      <w:r>
        <w:rPr>
          <w:rFonts w:ascii="Arial" w:cs="Arial" w:eastAsia="Arial" w:hAnsi="Arial"/>
          <w:sz w:val="11"/>
          <w:szCs w:val="11"/>
          <w:color w:val="auto"/>
        </w:rPr>
        <w:t>5200 Great America Parkway</w:t>
      </w:r>
    </w:p>
    <w:p>
      <w:pPr>
        <w:spacing w:after="0" w:line="157" w:lineRule="exact"/>
        <w:rPr>
          <w:sz w:val="20"/>
          <w:szCs w:val="20"/>
          <w:color w:val="auto"/>
        </w:rPr>
      </w:pPr>
    </w:p>
    <w:p>
      <w:pPr>
        <w:ind w:left="9060"/>
        <w:spacing w:after="0"/>
        <w:rPr>
          <w:sz w:val="20"/>
          <w:szCs w:val="20"/>
          <w:color w:val="auto"/>
        </w:rPr>
      </w:pPr>
      <w:r>
        <w:rPr>
          <w:rFonts w:ascii="Arial" w:cs="Arial" w:eastAsia="Arial" w:hAnsi="Arial"/>
          <w:sz w:val="11"/>
          <w:szCs w:val="11"/>
          <w:color w:val="auto"/>
        </w:rPr>
        <w:t>Santa Clara, CA 95054</w:t>
      </w:r>
    </w:p>
    <w:p>
      <w:pPr>
        <w:spacing w:after="0" w:line="157" w:lineRule="exact"/>
        <w:rPr>
          <w:sz w:val="20"/>
          <w:szCs w:val="20"/>
          <w:color w:val="auto"/>
        </w:rPr>
      </w:pPr>
    </w:p>
    <w:p>
      <w:pPr>
        <w:ind w:left="9060"/>
        <w:spacing w:after="0"/>
        <w:rPr>
          <w:sz w:val="20"/>
          <w:szCs w:val="20"/>
          <w:color w:val="auto"/>
        </w:rPr>
      </w:pPr>
      <w:r>
        <w:rPr>
          <w:rFonts w:ascii="Arial" w:cs="Arial" w:eastAsia="Arial" w:hAnsi="Arial"/>
          <w:sz w:val="11"/>
          <w:szCs w:val="11"/>
          <w:color w:val="auto"/>
        </w:rPr>
        <w:t>United States</w:t>
      </w:r>
    </w:p>
    <w:p>
      <w:pPr>
        <w:spacing w:after="0" w:line="167" w:lineRule="exact"/>
        <w:rPr>
          <w:sz w:val="20"/>
          <w:szCs w:val="20"/>
          <w:color w:val="auto"/>
        </w:rPr>
      </w:pPr>
    </w:p>
    <w:p>
      <w:pPr>
        <w:ind w:left="9060"/>
        <w:spacing w:after="0"/>
        <w:rPr>
          <w:sz w:val="20"/>
          <w:szCs w:val="20"/>
          <w:color w:val="auto"/>
        </w:rPr>
      </w:pPr>
      <w:r>
        <w:rPr>
          <w:rFonts w:ascii="Arial" w:cs="Arial" w:eastAsia="Arial" w:hAnsi="Arial"/>
          <w:sz w:val="10"/>
          <w:szCs w:val="10"/>
          <w:b w:val="1"/>
          <w:bCs w:val="1"/>
          <w:color w:val="71BF44"/>
        </w:rPr>
        <w:t>WWW.AVIATNETWORKS.COM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December 22, 2014</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color w:val="auto"/>
        </w:rPr>
        <w:t>Michael Shahbazian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1292 Estate Drive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Los Altos, CA 94024</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Dear Michael: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am pleased to invite you to join Aviat Networks, an industry leader in the wireless network solutions market.</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Please consider this a formal offer of employment with Aviat Networks as interim Chief Financial Officer, reporting to Michael Pangia, CEO. Your monthly salary will be $30,000 USD.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w:t>
      </w:r>
    </w:p>
    <w:p>
      <w:pPr>
        <w:spacing w:after="0" w:line="6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with your date of hire, December 29, 2014 and subject to appropriate Board level approval, you will receive an equity grant of restricted shares valued at $61,333. The number of shares granted will be determined by using the closing price of AVNW on the day this agreement is approved by the Aviat Networks Board of Directors. 1/2 of the total grant, will vest on the last business day of each month following your date of hire (January 30, 2015 &amp; February 27, 2015) assuming you meet the requirement of continued employment with Aviat Networks.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Assignment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initial term of this agreement is for 62 days, and is renewable for an additional month(s) with mutual agreement by both parties.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w:t>
      </w:r>
    </w:p>
    <w:p>
      <w:pPr>
        <w:spacing w:after="0" w:line="12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 believe you will find our comprehensive benefit package to be among the finest in the industry. The package includes benefits such as vacation, paid sick leave, paid holidays, shared medical and dental insurance, life- insurance, short-term disability, long-term disability, and educational assistance, some of which you may select at your option.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Aviat Networks offers a deferred compensation option that includes a Pre-Tax and After-Tax Savings Program (401K). Based on your eligible compensation, you can defer up to 25% of your pay (subject to IRS limits) on a pre-tax basis. The program offers a variety of professionally managed investment funds, loans, tax-sheltered investment growth, and an interactive system to manage your account. You are eligible to participate in the 401K Program immediately upon joining Aviat Networks.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an interim officer, you will be covered under the Director and Officer insurance available through Company’s current Director and Office insurance coverage and broad form corporate indemnification as specified under the Delaware Statute.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details of your Aviat Networks benefits are outlined in the enclosed materials.</w:t>
      </w:r>
    </w:p>
    <w:p>
      <w:pPr>
        <w:sectPr>
          <w:pgSz w:w="11900" w:h="16838" w:orient="portrait"/>
          <w:cols w:equalWidth="0" w:num="1">
            <w:col w:w="11420"/>
          </w:cols>
          <w:pgMar w:left="240" w:top="144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color w:val="auto"/>
        </w:rPr>
        <w:t>Finally, please note that this offer is contingent upon the following: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You must accept this offer on or before Tuesday December 23, 2014.</w:t>
      </w:r>
    </w:p>
    <w:p>
      <w:pPr>
        <w:spacing w:after="0" w:line="225" w:lineRule="exact"/>
        <w:rPr>
          <w:sz w:val="20"/>
          <w:szCs w:val="20"/>
          <w:color w:val="auto"/>
        </w:rPr>
      </w:pPr>
    </w:p>
    <w:p>
      <w:pPr>
        <w:jc w:val="both"/>
        <w:ind w:left="340" w:right="20" w:hanging="332"/>
        <w:spacing w:after="0" w:line="264"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must pass a drug test prior to commencing employment. In the event that you are permitted to begin work prior to Aviat Networks Network’s receipt of your test result, and you do not pass the test, you understand that you will be separated from employment immediately. A positive drug test result will cause you to be ineligible from being hired for at least 12 months;</w:t>
      </w:r>
    </w:p>
    <w:p>
      <w:pPr>
        <w:spacing w:after="0" w:line="181" w:lineRule="exact"/>
        <w:rPr>
          <w:rFonts w:ascii="Arial" w:cs="Arial" w:eastAsia="Arial" w:hAnsi="Arial"/>
          <w:sz w:val="18"/>
          <w:szCs w:val="18"/>
          <w:color w:val="auto"/>
        </w:rPr>
      </w:pPr>
    </w:p>
    <w:p>
      <w:pPr>
        <w:jc w:val="both"/>
        <w:ind w:left="340" w:hanging="332"/>
        <w:spacing w:after="0" w:line="259"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must undergo background and reference checks with results that are satisfactory to Aviat Networks. In the event that the results of your background and/or reference checks are unsatisfactory, Aviat Networks reserves the right to withdraw this employment offer or, if you have already commenced work, to terminate your employment immediately (it is also understood that Aviat Networks Network’s obligations regarding its offer of relocation assistance shall cease and no relocation costs will be paid on your behalf);</w:t>
      </w:r>
    </w:p>
    <w:p>
      <w:pPr>
        <w:spacing w:after="0" w:line="186" w:lineRule="exact"/>
        <w:rPr>
          <w:rFonts w:ascii="Arial" w:cs="Arial" w:eastAsia="Arial" w:hAnsi="Arial"/>
          <w:sz w:val="18"/>
          <w:szCs w:val="18"/>
          <w:color w:val="auto"/>
        </w:rPr>
      </w:pPr>
    </w:p>
    <w:p>
      <w:pPr>
        <w:ind w:left="340" w:hanging="332"/>
        <w:spacing w:after="0"/>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will be required to sign the Aviat Networks Employee Agreement form (a sample of which is enclosed) at new hire orientation;</w:t>
      </w:r>
    </w:p>
    <w:p>
      <w:pPr>
        <w:spacing w:after="0" w:line="225"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must execute and timely return all forms and other documents required for Aviat Networks to complete the employment process, including the enclosed acknowledgment and acceptance;</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9"/>
        </w:numPr>
        <w:rPr>
          <w:rFonts w:ascii="Arial" w:cs="Arial" w:eastAsia="Arial" w:hAnsi="Arial"/>
          <w:sz w:val="18"/>
          <w:szCs w:val="18"/>
          <w:color w:val="auto"/>
        </w:rPr>
      </w:pPr>
      <w:r>
        <w:rPr>
          <w:rFonts w:ascii="Arial" w:cs="Arial" w:eastAsia="Arial" w:hAnsi="Arial"/>
          <w:sz w:val="18"/>
          <w:szCs w:val="18"/>
          <w:color w:val="auto"/>
        </w:rPr>
        <w:t>You must provide information and documentation sufficient to complete the required I-9 form and to demonstrate that you are able to lawfully work for Aviat Networks.</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regarding this offer, please contact me at 408-567-7138 or e-mail Stephen.Beyer @aviatnet.com.</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Stephen Beyer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13722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11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Stephen Beyer</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Senior Director Global HR Operations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color w:val="auto"/>
        </w:rPr>
        <w:t>Aviat Networks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Acknowledgment and Acceptance</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This offer letter constitutes the full, complete and final agreement between Aviat Networks and me regarding the terms of my initial employment.</w:t>
      </w:r>
    </w:p>
    <w:p>
      <w:pPr>
        <w:spacing w:after="0" w:line="1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My signature below confirms that I accept this offer of employment made by Aviat Networks, as well as the terms and conditions described in the offer. I understand that this offer does not constitute a contract of employment or a guarantee of continued employment for any period.</w:t>
      </w:r>
    </w:p>
    <w:p>
      <w:pPr>
        <w:spacing w:after="0" w:line="200" w:lineRule="exact"/>
        <w:rPr>
          <w:sz w:val="20"/>
          <w:szCs w:val="20"/>
          <w:color w:val="auto"/>
        </w:rPr>
      </w:pPr>
    </w:p>
    <w:p>
      <w:pPr>
        <w:spacing w:after="0" w:line="24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1720" w:type="dxa"/>
            <w:vAlign w:val="bottom"/>
          </w:tcPr>
          <w:p>
            <w:pPr>
              <w:spacing w:after="0"/>
              <w:rPr>
                <w:sz w:val="20"/>
                <w:szCs w:val="20"/>
                <w:color w:val="auto"/>
              </w:rPr>
            </w:pPr>
            <w:r>
              <w:rPr>
                <w:rFonts w:ascii="Arial" w:cs="Arial" w:eastAsia="Arial" w:hAnsi="Arial"/>
                <w:sz w:val="18"/>
                <w:szCs w:val="18"/>
                <w:color w:val="auto"/>
                <w:w w:val="95"/>
              </w:rPr>
              <w:t>Accepted and Agreed:</w:t>
            </w:r>
          </w:p>
        </w:tc>
        <w:tc>
          <w:tcPr>
            <w:tcW w:w="2980" w:type="dxa"/>
            <w:vAlign w:val="bottom"/>
            <w:vMerge w:val="restart"/>
          </w:tcPr>
          <w:p>
            <w:pPr>
              <w:ind w:left="120"/>
              <w:spacing w:after="0"/>
              <w:rPr>
                <w:sz w:val="20"/>
                <w:szCs w:val="20"/>
                <w:color w:val="auto"/>
              </w:rPr>
            </w:pPr>
            <w:r>
              <w:rPr>
                <w:rFonts w:ascii="Arial" w:cs="Arial" w:eastAsia="Arial" w:hAnsi="Arial"/>
                <w:sz w:val="18"/>
                <w:szCs w:val="18"/>
                <w:color w:val="auto"/>
              </w:rPr>
              <w:t>/s/ Michael Shahbazian</w:t>
            </w:r>
          </w:p>
        </w:tc>
        <w:tc>
          <w:tcPr>
            <w:tcW w:w="3020" w:type="dxa"/>
            <w:vAlign w:val="bottom"/>
            <w:vMerge w:val="restart"/>
          </w:tcPr>
          <w:p>
            <w:pPr>
              <w:ind w:left="1160"/>
              <w:spacing w:after="0"/>
              <w:rPr>
                <w:sz w:val="20"/>
                <w:szCs w:val="20"/>
                <w:color w:val="auto"/>
              </w:rPr>
            </w:pPr>
            <w:r>
              <w:rPr>
                <w:rFonts w:ascii="Arial" w:cs="Arial" w:eastAsia="Arial" w:hAnsi="Arial"/>
                <w:sz w:val="18"/>
                <w:szCs w:val="18"/>
                <w:color w:val="auto"/>
                <w:w w:val="89"/>
              </w:rPr>
              <w:t>Date: December 23, 2014</w:t>
            </w:r>
          </w:p>
        </w:tc>
        <w:tc>
          <w:tcPr>
            <w:tcW w:w="0" w:type="dxa"/>
            <w:vAlign w:val="bottom"/>
          </w:tcPr>
          <w:p>
            <w:pPr>
              <w:spacing w:after="0"/>
              <w:rPr>
                <w:sz w:val="1"/>
                <w:szCs w:val="1"/>
                <w:color w:val="auto"/>
              </w:rPr>
            </w:pPr>
          </w:p>
        </w:tc>
      </w:tr>
      <w:tr>
        <w:trPr>
          <w:trHeight w:val="108"/>
        </w:trPr>
        <w:tc>
          <w:tcPr>
            <w:tcW w:w="1720" w:type="dxa"/>
            <w:vAlign w:val="bottom"/>
          </w:tcPr>
          <w:p>
            <w:pPr>
              <w:spacing w:after="0"/>
              <w:rPr>
                <w:sz w:val="9"/>
                <w:szCs w:val="9"/>
                <w:color w:val="auto"/>
              </w:rPr>
            </w:pPr>
          </w:p>
        </w:tc>
        <w:tc>
          <w:tcPr>
            <w:tcW w:w="2980" w:type="dxa"/>
            <w:vAlign w:val="bottom"/>
            <w:vMerge w:val="continue"/>
          </w:tcPr>
          <w:p>
            <w:pPr>
              <w:spacing w:after="0"/>
              <w:rPr>
                <w:sz w:val="9"/>
                <w:szCs w:val="9"/>
                <w:color w:val="auto"/>
              </w:rPr>
            </w:pPr>
          </w:p>
        </w:tc>
        <w:tc>
          <w:tcPr>
            <w:tcW w:w="30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17145</wp:posOffset>
            </wp:positionV>
            <wp:extent cx="39535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953510" cy="8890"/>
                    </a:xfrm>
                    <a:prstGeom prst="rect">
                      <a:avLst/>
                    </a:prstGeom>
                    <a:noFill/>
                  </pic:spPr>
                </pic:pic>
              </a:graphicData>
            </a:graphic>
          </wp:anchor>
        </w:drawing>
      </w:r>
    </w:p>
    <w:p>
      <w:pPr>
        <w:spacing w:after="0" w:line="290" w:lineRule="exact"/>
        <w:rPr>
          <w:sz w:val="20"/>
          <w:szCs w:val="20"/>
          <w:color w:val="auto"/>
        </w:rPr>
      </w:pPr>
    </w:p>
    <w:p>
      <w:pPr>
        <w:ind w:left="40"/>
        <w:spacing w:after="0"/>
        <w:tabs>
          <w:tab w:leader="none" w:pos="1860" w:val="left"/>
        </w:tabs>
        <w:rPr>
          <w:sz w:val="20"/>
          <w:szCs w:val="20"/>
          <w:color w:val="auto"/>
        </w:rPr>
      </w:pPr>
      <w:r>
        <w:rPr>
          <w:rFonts w:ascii="Arial" w:cs="Arial" w:eastAsia="Arial" w:hAnsi="Arial"/>
          <w:sz w:val="18"/>
          <w:szCs w:val="18"/>
          <w:color w:val="auto"/>
        </w:rPr>
        <w:t>Anticipated Start Date:</w:t>
      </w:r>
      <w:r>
        <w:rPr>
          <w:sz w:val="20"/>
          <w:szCs w:val="20"/>
          <w:color w:val="auto"/>
        </w:rPr>
        <w:tab/>
      </w:r>
      <w:r>
        <w:rPr>
          <w:rFonts w:ascii="Arial" w:cs="Arial" w:eastAsia="Arial" w:hAnsi="Arial"/>
          <w:sz w:val="16"/>
          <w:szCs w:val="16"/>
          <w:color w:val="auto"/>
        </w:rPr>
        <w:t>December 29,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1179830</wp:posOffset>
            </wp:positionH>
            <wp:positionV relativeFrom="paragraph">
              <wp:posOffset>31750</wp:posOffset>
            </wp:positionV>
            <wp:extent cx="227266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color w:val="auto"/>
        </w:rPr>
        <w:t>Please return the signed offer form via electronic copy to Stephen.Beyer@aviatnet.com.</w:t>
      </w:r>
    </w:p>
    <w:p>
      <w:pPr>
        <w:sectPr>
          <w:pgSz w:w="11900" w:h="16838" w:orient="portrait"/>
          <w:cols w:equalWidth="0" w:num="1">
            <w:col w:w="11420"/>
          </w:cols>
          <w:pgMar w:left="240" w:top="584" w:right="2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26, 2014,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February 4, 2015</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Michael Shahbazian, certify that:</w:t>
      </w:r>
    </w:p>
    <w:p>
      <w:pPr>
        <w:spacing w:after="0" w:line="171"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December 26, 2014, of Aviat Networks, Inc.;</w:t>
      </w:r>
    </w:p>
    <w:p>
      <w:pPr>
        <w:spacing w:after="0" w:line="171" w:lineRule="exact"/>
        <w:rPr>
          <w:rFonts w:ascii="Arial" w:cs="Arial" w:eastAsia="Arial" w:hAnsi="Arial"/>
          <w:sz w:val="18"/>
          <w:szCs w:val="18"/>
          <w:color w:val="auto"/>
        </w:rPr>
      </w:pPr>
    </w:p>
    <w:p>
      <w:pPr>
        <w:jc w:val="both"/>
        <w:ind w:left="660" w:right="30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right="26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660" w:right="28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left="1300" w:right="8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1300" w:right="22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jc w:val="both"/>
        <w:ind w:left="1300" w:right="38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80" w:hanging="320"/>
        <w:spacing w:after="0" w:line="264"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right="180" w:hanging="328"/>
        <w:spacing w:after="0" w:line="308"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right="620" w:hanging="320"/>
        <w:spacing w:after="0" w:line="342" w:lineRule="auto"/>
        <w:tabs>
          <w:tab w:leader="none" w:pos="1300" w:val="left"/>
        </w:tabs>
        <w:numPr>
          <w:ilvl w:val="1"/>
          <w:numId w:val="1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320" w:hanging="320"/>
        <w:spacing w:after="0" w:line="277" w:lineRule="auto"/>
        <w:tabs>
          <w:tab w:leader="none" w:pos="13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February 4, 2015</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Shahbazian</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Shahbazian</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Chief Financial Officer (interim)</w:t>
            </w:r>
          </w:p>
        </w:tc>
      </w:tr>
    </w:tbl>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32.1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of Chief Executive Officer and Chief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1350 of Chapter 63 of Title 18 of the</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United States Code as Adopted Pursuant to Section 906</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0" w:lineRule="exact"/>
        <w:rPr>
          <w:sz w:val="20"/>
          <w:szCs w:val="20"/>
          <w:color w:val="auto"/>
        </w:rPr>
      </w:pPr>
    </w:p>
    <w:p>
      <w:pPr>
        <w:spacing w:after="0" w:line="2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December 26, 2014, as filed with the Securities and Exchange Commission on the date hereof (the “Report”), we, Michael A. Pangia, President and Chief Executive Officer of Aviat Networks, and Michael Shahbazian, Chief Financial Officer (interim) of Aviat Networks, hereby certify, pursuant to Section 906 of the Sarbanes-Oxley Act of 2002, 18 U.S.C. §1350, that:</w:t>
      </w:r>
    </w:p>
    <w:p>
      <w:pPr>
        <w:spacing w:after="0" w:line="146" w:lineRule="exact"/>
        <w:rPr>
          <w:sz w:val="20"/>
          <w:szCs w:val="20"/>
          <w:color w:val="auto"/>
        </w:rPr>
      </w:pPr>
    </w:p>
    <w:p>
      <w:pPr>
        <w:ind w:left="400" w:hanging="392"/>
        <w:spacing w:after="0"/>
        <w:tabs>
          <w:tab w:leader="none" w:pos="4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as applicable, of the Securities Exchange Act of 1934, as amended; and</w:t>
      </w:r>
    </w:p>
    <w:p>
      <w:pPr>
        <w:spacing w:after="0" w:line="196" w:lineRule="exact"/>
        <w:rPr>
          <w:rFonts w:ascii="Arial" w:cs="Arial" w:eastAsia="Arial" w:hAnsi="Arial"/>
          <w:sz w:val="17"/>
          <w:szCs w:val="17"/>
          <w:color w:val="auto"/>
        </w:rPr>
      </w:pPr>
    </w:p>
    <w:p>
      <w:pPr>
        <w:ind w:right="60" w:firstLine="8"/>
        <w:spacing w:after="0" w:line="277" w:lineRule="auto"/>
        <w:tabs>
          <w:tab w:leader="none" w:pos="387"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92"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February 4, 2015</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143510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2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239"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February 4, 2015</w:t>
      </w:r>
    </w:p>
    <w:p>
      <w:pPr>
        <w:ind w:left="6080"/>
        <w:spacing w:after="0"/>
        <w:rPr>
          <w:sz w:val="20"/>
          <w:szCs w:val="20"/>
          <w:color w:val="auto"/>
        </w:rPr>
      </w:pPr>
      <w:r>
        <w:rPr>
          <w:rFonts w:ascii="Arial" w:cs="Arial" w:eastAsia="Arial" w:hAnsi="Arial"/>
          <w:sz w:val="18"/>
          <w:szCs w:val="18"/>
          <w:color w:val="auto"/>
        </w:rPr>
        <w:t>/s/ Michael Shahbazian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Shahbazian</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Chief Financial Officer (interim)</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x"/>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1)"/>
      <w:numFmt w:val="decimal"/>
      <w:start w:val="2"/>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2019-12-29T19:15:22Z</dcterms:created>
  <dcterms:modified xsi:type="dcterms:W3CDTF">2019-12-29T19:15:22Z</dcterms:modified>
</cp:coreProperties>
</file>