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21"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_______________________</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130" w:lineRule="exact"/>
        <w:rPr>
          <w:sz w:val="24"/>
          <w:szCs w:val="24"/>
          <w:color w:val="auto"/>
        </w:rPr>
      </w:pPr>
    </w:p>
    <w:p>
      <w:pPr>
        <w:ind w:left="460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Date of Report (Date of earliest event reported): November 10, 2021</w:t>
      </w:r>
    </w:p>
    <w:p>
      <w:pPr>
        <w:spacing w:after="0" w:line="155"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_______________________</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AVIAT NETWORKS, INC.</w:t>
      </w:r>
    </w:p>
    <w:p>
      <w:pPr>
        <w:spacing w:after="0" w:line="8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5" w:lineRule="exact"/>
        <w:rPr>
          <w:sz w:val="24"/>
          <w:szCs w:val="24"/>
          <w:color w:val="auto"/>
        </w:rPr>
      </w:pPr>
    </w:p>
    <w:p>
      <w:pPr>
        <w:ind w:left="4600"/>
        <w:spacing w:after="0"/>
        <w:rPr>
          <w:sz w:val="20"/>
          <w:szCs w:val="20"/>
          <w:color w:val="auto"/>
        </w:rPr>
      </w:pPr>
      <w:r>
        <w:rPr>
          <w:rFonts w:ascii="Arial" w:cs="Arial" w:eastAsia="Arial" w:hAnsi="Arial"/>
          <w:sz w:val="11"/>
          <w:szCs w:val="11"/>
          <w:b w:val="1"/>
          <w:bCs w:val="1"/>
          <w:color w:val="auto"/>
        </w:rPr>
        <w:t>______________________________________</w:t>
      </w:r>
    </w:p>
    <w:p>
      <w:pPr>
        <w:sectPr>
          <w:pgSz w:w="11900" w:h="16838" w:orient="portrait"/>
          <w:cols w:equalWidth="0" w:num="1">
            <w:col w:w="11180"/>
          </w:cols>
          <w:pgMar w:left="320" w:top="1214" w:right="399" w:bottom="1440" w:gutter="0" w:footer="0" w:header="0"/>
        </w:sectPr>
      </w:pPr>
    </w:p>
    <w:p>
      <w:pPr>
        <w:spacing w:after="0" w:line="251" w:lineRule="exact"/>
        <w:rPr>
          <w:sz w:val="24"/>
          <w:szCs w:val="24"/>
          <w:color w:val="auto"/>
        </w:rPr>
      </w:pPr>
    </w:p>
    <w:p>
      <w:pPr>
        <w:ind w:left="14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jc w:val="center"/>
        <w:ind w:right="2380"/>
        <w:spacing w:after="0"/>
        <w:rPr>
          <w:sz w:val="20"/>
          <w:szCs w:val="20"/>
          <w:color w:val="auto"/>
        </w:rPr>
      </w:pPr>
      <w:r>
        <w:rPr>
          <w:rFonts w:ascii="Arial" w:cs="Arial" w:eastAsia="Arial" w:hAnsi="Arial"/>
          <w:sz w:val="14"/>
          <w:szCs w:val="14"/>
          <w:b w:val="1"/>
          <w:bCs w:val="1"/>
          <w:color w:val="auto"/>
        </w:rPr>
        <w:t>001-33278</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20-5961564</w:t>
      </w:r>
    </w:p>
    <w:p>
      <w:pPr>
        <w:spacing w:after="0" w:line="90" w:lineRule="exact"/>
        <w:rPr>
          <w:sz w:val="24"/>
          <w:szCs w:val="24"/>
          <w:color w:val="auto"/>
        </w:rPr>
      </w:pPr>
    </w:p>
    <w:p>
      <w:pPr>
        <w:sectPr>
          <w:pgSz w:w="11900" w:h="16838" w:orient="portrait"/>
          <w:cols w:equalWidth="0" w:num="3">
            <w:col w:w="4420" w:space="720"/>
            <w:col w:w="3080" w:space="720"/>
            <w:col w:w="2240"/>
          </w:cols>
          <w:pgMar w:left="320" w:top="1214" w:right="399" w:bottom="1440" w:gutter="0" w:footer="0" w:header="0"/>
          <w:type w:val="continuous"/>
        </w:sectPr>
      </w:pPr>
    </w:p>
    <w:p>
      <w:pPr>
        <w:ind w:left="1020"/>
        <w:spacing w:after="0"/>
        <w:rPr>
          <w:sz w:val="20"/>
          <w:szCs w:val="20"/>
          <w:color w:val="auto"/>
        </w:rPr>
      </w:pPr>
      <w:r>
        <w:rPr>
          <w:rFonts w:ascii="Arial" w:cs="Arial" w:eastAsia="Arial" w:hAnsi="Arial"/>
          <w:sz w:val="13"/>
          <w:szCs w:val="13"/>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80" w:lineRule="exact"/>
        <w:rPr>
          <w:sz w:val="24"/>
          <w:szCs w:val="24"/>
          <w:color w:val="auto"/>
        </w:rPr>
      </w:pPr>
    </w:p>
    <w:p>
      <w:pPr>
        <w:sectPr>
          <w:pgSz w:w="11900" w:h="16838" w:orient="portrait"/>
          <w:cols w:equalWidth="0" w:num="3">
            <w:col w:w="4240" w:space="720"/>
            <w:col w:w="3160" w:space="720"/>
            <w:col w:w="2340"/>
          </w:cols>
          <w:pgMar w:left="320" w:top="1214" w:right="399" w:bottom="1440" w:gutter="0" w:footer="0" w:header="0"/>
          <w:type w:val="continuous"/>
        </w:sectPr>
      </w:pPr>
    </w:p>
    <w:p>
      <w:pPr>
        <w:ind w:left="1280"/>
        <w:spacing w:after="0"/>
        <w:rPr>
          <w:sz w:val="20"/>
          <w:szCs w:val="20"/>
          <w:color w:val="auto"/>
        </w:rPr>
      </w:pPr>
      <w:r>
        <w:rPr>
          <w:rFonts w:ascii="Arial" w:cs="Arial" w:eastAsia="Arial" w:hAnsi="Arial"/>
          <w:sz w:val="13"/>
          <w:szCs w:val="13"/>
          <w:color w:val="auto"/>
        </w:rPr>
        <w:t>of incorporation)</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3"/>
          <w:szCs w:val="13"/>
          <w:color w:val="auto"/>
        </w:rPr>
        <w:t>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3">
            <w:col w:w="4500" w:space="720"/>
            <w:col w:w="2860" w:space="720"/>
            <w:col w:w="2380"/>
          </w:cols>
          <w:pgMar w:left="320" w:top="1214" w:right="399" w:bottom="1440" w:gutter="0" w:footer="0" w:header="0"/>
          <w:type w:val="continuous"/>
        </w:sectPr>
      </w:pPr>
    </w:p>
    <w:p>
      <w:pPr>
        <w:spacing w:after="0" w:line="33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200 Parker Dr., Suite C100A, Austin, Texas 78728</w:t>
      </w:r>
    </w:p>
    <w:p>
      <w:pPr>
        <w:spacing w:after="0" w:line="27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 (408)-941-7100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189230</wp:posOffset>
            </wp:positionV>
            <wp:extent cx="2202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ectPr>
          <w:pgSz w:w="11900" w:h="16838" w:orient="portrait"/>
          <w:cols w:equalWidth="0" w:num="1">
            <w:col w:w="11180"/>
          </w:cols>
          <w:pgMar w:left="320" w:top="1214" w:right="399" w:bottom="1440" w:gutter="0" w:footer="0" w:header="0"/>
          <w:type w:val="continuous"/>
        </w:sectPr>
      </w:pPr>
    </w:p>
    <w:p>
      <w:pPr>
        <w:spacing w:after="0" w:line="200" w:lineRule="exact"/>
        <w:rPr>
          <w:sz w:val="24"/>
          <w:szCs w:val="24"/>
          <w:color w:val="auto"/>
        </w:rPr>
      </w:pPr>
    </w:p>
    <w:p>
      <w:pPr>
        <w:spacing w:after="0" w:line="237" w:lineRule="exact"/>
        <w:rPr>
          <w:sz w:val="24"/>
          <w:szCs w:val="24"/>
          <w:color w:val="auto"/>
        </w:rPr>
      </w:pPr>
    </w:p>
    <w:p>
      <w:pPr>
        <w:ind w:right="560" w:firstLine="445"/>
        <w:spacing w:after="0" w:line="275"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680" w:hanging="573"/>
        <w:spacing w:after="0"/>
        <w:tabs>
          <w:tab w:leader="none" w:pos="6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720" w:hanging="654"/>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720" w:hanging="654"/>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720" w:hanging="654"/>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1" w:lineRule="exact"/>
        <w:rPr>
          <w:sz w:val="24"/>
          <w:szCs w:val="24"/>
          <w:color w:val="auto"/>
        </w:rPr>
      </w:pPr>
    </w:p>
    <w:tbl>
      <w:tblPr>
        <w:tblLayout w:type="fixed"/>
        <w:tblInd w:w="60" w:type="dxa"/>
        <w:tblCellMar>
          <w:top w:w="0" w:type="dxa"/>
          <w:left w:w="0" w:type="dxa"/>
          <w:bottom w:w="0" w:type="dxa"/>
          <w:right w:w="0" w:type="dxa"/>
        </w:tblCellMar>
      </w:tblPr>
      <w:tr>
        <w:trPr>
          <w:trHeight w:val="188"/>
        </w:trPr>
        <w:tc>
          <w:tcPr>
            <w:tcW w:w="34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Title of each class</w:t>
            </w:r>
          </w:p>
        </w:tc>
        <w:tc>
          <w:tcPr>
            <w:tcW w:w="39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Trading Symbol</w:t>
            </w:r>
          </w:p>
        </w:tc>
        <w:tc>
          <w:tcPr>
            <w:tcW w:w="370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82"/>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$0.01 per share</w:t>
            </w:r>
          </w:p>
        </w:tc>
        <w:tc>
          <w:tcPr>
            <w:tcW w:w="240" w:type="dxa"/>
            <w:vAlign w:val="bottom"/>
          </w:tcPr>
          <w:p>
            <w:pPr>
              <w:spacing w:after="0"/>
              <w:rPr>
                <w:sz w:val="15"/>
                <w:szCs w:val="15"/>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AVNW</w:t>
            </w:r>
          </w:p>
        </w:tc>
        <w:tc>
          <w:tcPr>
            <w:tcW w:w="240" w:type="dxa"/>
            <w:vAlign w:val="bottom"/>
          </w:tcPr>
          <w:p>
            <w:pPr>
              <w:spacing w:after="0"/>
              <w:rPr>
                <w:sz w:val="15"/>
                <w:szCs w:val="15"/>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118" w:lineRule="exact"/>
        <w:rPr>
          <w:sz w:val="24"/>
          <w:szCs w:val="24"/>
          <w:color w:val="auto"/>
        </w:rPr>
      </w:pPr>
    </w:p>
    <w:p>
      <w:pPr>
        <w:ind w:left="760" w:right="100" w:hanging="653"/>
        <w:spacing w:after="0"/>
        <w:tabs>
          <w:tab w:leader="none" w:pos="76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72" w:lineRule="exact"/>
        <w:rPr>
          <w:rFonts w:ascii="MS PGothic" w:cs="MS PGothic" w:eastAsia="MS PGothic" w:hAnsi="MS PGothic"/>
          <w:sz w:val="16"/>
          <w:szCs w:val="16"/>
          <w:color w:val="auto"/>
        </w:rPr>
      </w:pPr>
    </w:p>
    <w:p>
      <w:pPr>
        <w:ind w:left="720" w:right="320" w:hanging="65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745490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140970</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106680</wp:posOffset>
            </wp:positionV>
            <wp:extent cx="6926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180"/>
          </w:cols>
          <w:pgMar w:left="320" w:top="1214" w:right="399" w:bottom="1440" w:gutter="0" w:footer="0" w:header="0"/>
          <w:type w:val="continuous"/>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As described under Item 5.07 below, Aviat Networks, Inc. (the “Company”) held its 2021 Annual Meeting of Stockholders (the “Annual Meeting”) on November 10, 2021. At the Annual Meeting, the Company’s stockholders approved the Aviat Networks, Inc. Amended and Restated Long Term Incentive</w:t>
      </w:r>
    </w:p>
    <w:p>
      <w:pPr>
        <w:jc w:val="both"/>
        <w:spacing w:after="0" w:line="275" w:lineRule="auto"/>
        <w:rPr>
          <w:sz w:val="20"/>
          <w:szCs w:val="20"/>
          <w:color w:val="auto"/>
        </w:rPr>
      </w:pPr>
      <w:r>
        <w:rPr>
          <w:rFonts w:ascii="Arial" w:cs="Arial" w:eastAsia="Arial" w:hAnsi="Arial"/>
          <w:sz w:val="17"/>
          <w:szCs w:val="17"/>
          <w:color w:val="auto"/>
        </w:rPr>
        <w:t>Plan (the “LTIP”), which was initially approved by the Company’s stockholders on March 20, 2018. The LTIP provides for an increase of 1,250,000 shares of the Company’s Class A common stock in connection with awards of award stock options, stock appreciation rights (“SARs”), performance awards, restricted stock, restricted stock units (“RSUs”), stock awards, other stock-based awards, cash awards, and substitute awards, any of which may be further designated as performance awards, to eligible officers, employees, directors and consultants of the Company and its subsidiaries who are selected by the compensation committee of the Board of Directors (the “Board”) to receive such an award.</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the material terms and conditions of the LTIP is provided on pages 42-50 of the Company’s proxy statement filed with the U.S. Securities and Exchange Commission on September 27, 2019 (the “Proxy Statement”), and the full text of the LTIP is included as Annex 1 to the Proxy Statement, which description and text are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VOTING RESULTS OF FISCAL YEAR 2021 ANNUAL MEETING OF STOCKHOLDERS</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fiscal year 2021 Annual Meeting of Stockholders of the Company was held on November 10, 2021. For more information about the proposals set forth below, please see the Company’s definitive Proxy Statement filed with the SEC on September 13, 2021. A total of 8,372,448 (or approximately 74.8%) of the Company’s shares issued, outstanding and entitled to vote at the fiscal year 2021 Annual Meeting of Stockholders were represented in person or by proxy at the meeting. Set forth below are the final voting results for the proposals voted on at the fiscal year 2021 Annual Meeting of Stockholders.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(1) Proposal 1 - Election of Directors</w:t>
      </w:r>
    </w:p>
    <w:p>
      <w:pPr>
        <w:spacing w:after="0" w:line="212"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Number of Shares</w:t>
            </w:r>
          </w:p>
        </w:tc>
        <w:tc>
          <w:tcPr>
            <w:tcW w:w="1960" w:type="dxa"/>
            <w:vAlign w:val="bottom"/>
            <w:tcBorders>
              <w:bottom w:val="single" w:sz="8" w:color="auto"/>
            </w:tcBorders>
          </w:tcPr>
          <w:p>
            <w:pPr>
              <w:spacing w:after="0"/>
              <w:rPr>
                <w:sz w:val="20"/>
                <w:szCs w:val="20"/>
                <w:color w:val="auto"/>
              </w:rPr>
            </w:pPr>
          </w:p>
        </w:tc>
      </w:tr>
      <w:tr>
        <w:trPr>
          <w:trHeight w:val="223"/>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Nominees:</w:t>
            </w:r>
          </w:p>
        </w:tc>
        <w:tc>
          <w:tcPr>
            <w:tcW w:w="21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For</w:t>
            </w:r>
          </w:p>
        </w:tc>
        <w:tc>
          <w:tcPr>
            <w:tcW w:w="1340" w:type="dxa"/>
            <w:vAlign w:val="bottom"/>
          </w:tcPr>
          <w:p>
            <w:pPr>
              <w:ind w:left="700"/>
              <w:spacing w:after="0"/>
              <w:rPr>
                <w:sz w:val="20"/>
                <w:szCs w:val="20"/>
                <w:color w:val="auto"/>
              </w:rPr>
            </w:pPr>
            <w:r>
              <w:rPr>
                <w:rFonts w:ascii="Arial" w:cs="Arial" w:eastAsia="Arial" w:hAnsi="Arial"/>
                <w:sz w:val="18"/>
                <w:szCs w:val="18"/>
                <w:color w:val="auto"/>
              </w:rPr>
              <w:t>Against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2"/>
          </w:tcPr>
          <w:p>
            <w:pPr>
              <w:ind w:left="700"/>
              <w:spacing w:after="0"/>
              <w:rPr>
                <w:sz w:val="20"/>
                <w:szCs w:val="20"/>
                <w:color w:val="auto"/>
              </w:rPr>
            </w:pPr>
            <w:r>
              <w:rPr>
                <w:rFonts w:ascii="Arial" w:cs="Arial" w:eastAsia="Arial" w:hAnsi="Arial"/>
                <w:sz w:val="18"/>
                <w:szCs w:val="18"/>
                <w:color w:val="auto"/>
              </w:rPr>
              <w:t>Abstain</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Broker Non-Votes</w:t>
            </w:r>
          </w:p>
        </w:tc>
      </w:tr>
      <w:tr>
        <w:trPr>
          <w:trHeight w:val="223"/>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John Mutch</w:t>
            </w:r>
          </w:p>
        </w:tc>
        <w:tc>
          <w:tcPr>
            <w:tcW w:w="26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5,979,988</w:t>
            </w:r>
          </w:p>
        </w:tc>
        <w:tc>
          <w:tcPr>
            <w:tcW w:w="2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9"/>
              </w:rPr>
              <w:t>105,775</w:t>
            </w:r>
          </w:p>
        </w:tc>
        <w:tc>
          <w:tcPr>
            <w:tcW w:w="6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11,539</w:t>
            </w:r>
          </w:p>
        </w:tc>
        <w:tc>
          <w:tcPr>
            <w:tcW w:w="24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2,275,146</w:t>
            </w:r>
          </w:p>
        </w:tc>
      </w:tr>
      <w:tr>
        <w:trPr>
          <w:trHeight w:val="230"/>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Bryan Ingram</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6,040,075</w:t>
            </w:r>
          </w:p>
        </w:tc>
        <w:tc>
          <w:tcPr>
            <w:tcW w:w="240" w:type="dxa"/>
            <w:vAlign w:val="bottom"/>
          </w:tcPr>
          <w:p>
            <w:pPr>
              <w:spacing w:after="0"/>
              <w:rPr>
                <w:sz w:val="19"/>
                <w:szCs w:val="19"/>
                <w:color w:val="auto"/>
              </w:rPr>
            </w:pP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90"/>
              </w:rPr>
              <w:t>45,930</w:t>
            </w:r>
          </w:p>
        </w:tc>
        <w:tc>
          <w:tcPr>
            <w:tcW w:w="2800" w:type="dxa"/>
            <w:vAlign w:val="bottom"/>
            <w:gridSpan w:val="3"/>
          </w:tcPr>
          <w:p>
            <w:pPr>
              <w:jc w:val="center"/>
              <w:ind w:left="750"/>
              <w:spacing w:after="0"/>
              <w:rPr>
                <w:sz w:val="20"/>
                <w:szCs w:val="20"/>
                <w:color w:val="auto"/>
              </w:rPr>
            </w:pPr>
            <w:r>
              <w:rPr>
                <w:rFonts w:ascii="Arial" w:cs="Arial" w:eastAsia="Arial" w:hAnsi="Arial"/>
                <w:sz w:val="18"/>
                <w:szCs w:val="18"/>
                <w:color w:val="auto"/>
                <w:w w:val="87"/>
              </w:rPr>
              <w:t>11,297</w:t>
            </w:r>
          </w:p>
        </w:tc>
        <w:tc>
          <w:tcPr>
            <w:tcW w:w="24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2,275,146</w:t>
            </w:r>
          </w:p>
        </w:tc>
      </w:tr>
      <w:tr>
        <w:trPr>
          <w:trHeight w:val="23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Michele Klein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6,042,428</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0"/>
              </w:rPr>
              <w:t>46,079</w:t>
            </w:r>
          </w:p>
        </w:tc>
        <w:tc>
          <w:tcPr>
            <w:tcW w:w="280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8"/>
              </w:rPr>
              <w:t>8,795</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2,275,146</w:t>
            </w:r>
          </w:p>
        </w:tc>
      </w:tr>
      <w:tr>
        <w:trPr>
          <w:trHeight w:val="229"/>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Somesh Singh</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6,042,723</w:t>
            </w:r>
          </w:p>
        </w:tc>
        <w:tc>
          <w:tcPr>
            <w:tcW w:w="240" w:type="dxa"/>
            <w:vAlign w:val="bottom"/>
          </w:tcPr>
          <w:p>
            <w:pPr>
              <w:spacing w:after="0"/>
              <w:rPr>
                <w:sz w:val="19"/>
                <w:szCs w:val="19"/>
                <w:color w:val="auto"/>
              </w:rPr>
            </w:pP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90"/>
              </w:rPr>
              <w:t>45,695</w:t>
            </w:r>
          </w:p>
        </w:tc>
        <w:tc>
          <w:tcPr>
            <w:tcW w:w="2800" w:type="dxa"/>
            <w:vAlign w:val="bottom"/>
            <w:gridSpan w:val="3"/>
          </w:tcPr>
          <w:p>
            <w:pPr>
              <w:jc w:val="center"/>
              <w:ind w:left="750"/>
              <w:spacing w:after="0"/>
              <w:rPr>
                <w:sz w:val="20"/>
                <w:szCs w:val="20"/>
                <w:color w:val="auto"/>
              </w:rPr>
            </w:pPr>
            <w:r>
              <w:rPr>
                <w:rFonts w:ascii="Arial" w:cs="Arial" w:eastAsia="Arial" w:hAnsi="Arial"/>
                <w:sz w:val="18"/>
                <w:szCs w:val="18"/>
                <w:color w:val="auto"/>
                <w:w w:val="88"/>
              </w:rPr>
              <w:t>8,884</w:t>
            </w:r>
          </w:p>
        </w:tc>
        <w:tc>
          <w:tcPr>
            <w:tcW w:w="24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2,275,146</w:t>
            </w:r>
          </w:p>
        </w:tc>
      </w:tr>
      <w:tr>
        <w:trPr>
          <w:trHeight w:val="23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Peter Smith</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6,038,031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0"/>
              </w:rPr>
              <w:t>45,427</w:t>
            </w:r>
          </w:p>
        </w:tc>
        <w:tc>
          <w:tcPr>
            <w:tcW w:w="280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w w:val="90"/>
              </w:rPr>
              <w:t>13,844</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2,275,146</w:t>
            </w:r>
          </w:p>
        </w:tc>
      </w:tr>
      <w:tr>
        <w:trPr>
          <w:trHeight w:val="230"/>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Dr. James C. Stoffel</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5,779,505</w:t>
            </w:r>
          </w:p>
        </w:tc>
        <w:tc>
          <w:tcPr>
            <w:tcW w:w="240" w:type="dxa"/>
            <w:vAlign w:val="bottom"/>
          </w:tcPr>
          <w:p>
            <w:pPr>
              <w:spacing w:after="0"/>
              <w:rPr>
                <w:sz w:val="20"/>
                <w:szCs w:val="20"/>
                <w:color w:val="auto"/>
              </w:rPr>
            </w:pP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89"/>
              </w:rPr>
              <w:t>305,847</w:t>
            </w:r>
          </w:p>
        </w:tc>
        <w:tc>
          <w:tcPr>
            <w:tcW w:w="2800" w:type="dxa"/>
            <w:vAlign w:val="bottom"/>
            <w:gridSpan w:val="3"/>
          </w:tcPr>
          <w:p>
            <w:pPr>
              <w:jc w:val="center"/>
              <w:ind w:left="750"/>
              <w:spacing w:after="0"/>
              <w:rPr>
                <w:sz w:val="20"/>
                <w:szCs w:val="20"/>
                <w:color w:val="auto"/>
              </w:rPr>
            </w:pPr>
            <w:r>
              <w:rPr>
                <w:rFonts w:ascii="Arial" w:cs="Arial" w:eastAsia="Arial" w:hAnsi="Arial"/>
                <w:sz w:val="18"/>
                <w:szCs w:val="18"/>
                <w:color w:val="auto"/>
                <w:w w:val="87"/>
              </w:rPr>
              <w:t>11,950</w:t>
            </w:r>
          </w:p>
        </w:tc>
        <w:tc>
          <w:tcPr>
            <w:tcW w:w="2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2,275,146</w:t>
            </w:r>
          </w:p>
        </w:tc>
      </w:tr>
    </w:tbl>
    <w:p>
      <w:pPr>
        <w:spacing w:after="0" w:line="241" w:lineRule="exact"/>
        <w:rPr>
          <w:sz w:val="20"/>
          <w:szCs w:val="20"/>
          <w:color w:val="auto"/>
        </w:rPr>
      </w:pPr>
    </w:p>
    <w:p>
      <w:pPr>
        <w:ind w:right="20" w:firstLine="8"/>
        <w:spacing w:after="0" w:line="277" w:lineRule="auto"/>
        <w:tabs>
          <w:tab w:leader="none" w:pos="266"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Proposal 2 - Ratification of the appointment by the Audit Committee of BDO USA, LLP as the Company’s independent registered public accounting firm for fiscal year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ind w:right="900"/>
              <w:spacing w:after="0"/>
              <w:rPr>
                <w:sz w:val="20"/>
                <w:szCs w:val="20"/>
                <w:color w:val="auto"/>
              </w:rPr>
            </w:pPr>
            <w:r>
              <w:rPr>
                <w:rFonts w:ascii="Arial" w:cs="Arial" w:eastAsia="Arial" w:hAnsi="Arial"/>
                <w:sz w:val="18"/>
                <w:szCs w:val="18"/>
                <w:color w:val="auto"/>
                <w:w w:val="90"/>
              </w:rPr>
              <w:t>Number of Shares</w:t>
            </w: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gridSpan w:val="4"/>
          </w:tcPr>
          <w:p>
            <w:pPr>
              <w:jc w:val="center"/>
              <w:ind w:right="1320"/>
              <w:spacing w:after="0"/>
              <w:rPr>
                <w:sz w:val="20"/>
                <w:szCs w:val="20"/>
                <w:color w:val="auto"/>
              </w:rPr>
            </w:pPr>
            <w:r>
              <w:rPr>
                <w:rFonts w:ascii="Arial" w:cs="Arial" w:eastAsia="Arial" w:hAnsi="Arial"/>
                <w:sz w:val="18"/>
                <w:szCs w:val="18"/>
                <w:color w:val="auto"/>
                <w:w w:val="96"/>
              </w:rPr>
              <w:t>For</w:t>
            </w:r>
          </w:p>
        </w:tc>
        <w:tc>
          <w:tcPr>
            <w:tcW w:w="2380" w:type="dxa"/>
            <w:vAlign w:val="bottom"/>
            <w:gridSpan w:val="5"/>
          </w:tcPr>
          <w:p>
            <w:pPr>
              <w:jc w:val="center"/>
              <w:ind w:right="900"/>
              <w:spacing w:after="0"/>
              <w:rPr>
                <w:sz w:val="20"/>
                <w:szCs w:val="20"/>
                <w:color w:val="auto"/>
              </w:rPr>
            </w:pPr>
            <w:r>
              <w:rPr>
                <w:rFonts w:ascii="Arial" w:cs="Arial" w:eastAsia="Arial" w:hAnsi="Arial"/>
                <w:sz w:val="18"/>
                <w:szCs w:val="18"/>
                <w:color w:val="auto"/>
                <w:w w:val="93"/>
              </w:rPr>
              <w:t>Against</w:t>
            </w:r>
          </w:p>
        </w:tc>
        <w:tc>
          <w:tcPr>
            <w:tcW w:w="1540" w:type="dxa"/>
            <w:vAlign w:val="bottom"/>
            <w:gridSpan w:val="3"/>
          </w:tcPr>
          <w:p>
            <w:pPr>
              <w:jc w:val="center"/>
              <w:ind w:right="330"/>
              <w:spacing w:after="0"/>
              <w:rPr>
                <w:sz w:val="20"/>
                <w:szCs w:val="20"/>
                <w:color w:val="auto"/>
              </w:rPr>
            </w:pPr>
            <w:r>
              <w:rPr>
                <w:rFonts w:ascii="Arial" w:cs="Arial" w:eastAsia="Arial" w:hAnsi="Arial"/>
                <w:sz w:val="18"/>
                <w:szCs w:val="18"/>
                <w:color w:val="auto"/>
                <w:w w:val="93"/>
              </w:rPr>
              <w:t>Abstain</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Proposal 2</w:t>
            </w:r>
          </w:p>
        </w:tc>
        <w:tc>
          <w:tcPr>
            <w:tcW w:w="2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gridSpan w:val="3"/>
            <w:shd w:val="clear" w:color="auto" w:fill="CCEEFF"/>
          </w:tcPr>
          <w:p>
            <w:pPr>
              <w:jc w:val="right"/>
              <w:ind w:right="530"/>
              <w:spacing w:after="0"/>
              <w:rPr>
                <w:sz w:val="20"/>
                <w:szCs w:val="20"/>
                <w:color w:val="auto"/>
              </w:rPr>
            </w:pPr>
            <w:r>
              <w:rPr>
                <w:rFonts w:ascii="Arial" w:cs="Arial" w:eastAsia="Arial" w:hAnsi="Arial"/>
                <w:sz w:val="18"/>
                <w:szCs w:val="18"/>
                <w:color w:val="auto"/>
              </w:rPr>
              <w:t>8,288,515</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87"/>
              </w:rPr>
              <w:t>27,820</w:t>
            </w:r>
          </w:p>
        </w:tc>
        <w:tc>
          <w:tcPr>
            <w:tcW w:w="2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56,113</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729"/>
        </w:trPr>
        <w:tc>
          <w:tcPr>
            <w:tcW w:w="8480" w:type="dxa"/>
            <w:vAlign w:val="bottom"/>
            <w:gridSpan w:val="17"/>
          </w:tcPr>
          <w:p>
            <w:pPr>
              <w:spacing w:after="0"/>
              <w:rPr>
                <w:sz w:val="20"/>
                <w:szCs w:val="20"/>
                <w:color w:val="auto"/>
              </w:rPr>
            </w:pPr>
            <w:r>
              <w:rPr>
                <w:rFonts w:ascii="Arial" w:cs="Arial" w:eastAsia="Arial" w:hAnsi="Arial"/>
                <w:sz w:val="18"/>
                <w:szCs w:val="18"/>
                <w:color w:val="auto"/>
                <w:w w:val="97"/>
              </w:rPr>
              <w:t>(3) Proposal 3 - Advisory, non-binding vote to approve the Company’s named executive officer compensation</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900"/>
              <w:spacing w:after="0"/>
              <w:rPr>
                <w:sz w:val="20"/>
                <w:szCs w:val="20"/>
                <w:color w:val="auto"/>
              </w:rPr>
            </w:pPr>
            <w:r>
              <w:rPr>
                <w:rFonts w:ascii="Arial" w:cs="Arial" w:eastAsia="Arial" w:hAnsi="Arial"/>
                <w:sz w:val="18"/>
                <w:szCs w:val="18"/>
                <w:color w:val="auto"/>
                <w:w w:val="90"/>
              </w:rPr>
              <w:t>Number of Shares</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1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color w:val="auto"/>
                <w:w w:val="96"/>
              </w:rPr>
              <w:t>For</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color w:val="auto"/>
              </w:rPr>
              <w:t>Against</w:t>
            </w: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color w:val="auto"/>
                <w:w w:val="93"/>
              </w:rPr>
              <w:t>Abstain</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Broker Non-Votes</w:t>
            </w:r>
          </w:p>
        </w:tc>
        <w:tc>
          <w:tcPr>
            <w:tcW w:w="140" w:type="dxa"/>
            <w:vAlign w:val="bottom"/>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Proposal 3</w:t>
            </w: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5,918,407</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98"/>
              </w:rPr>
              <w:t>144,837</w:t>
            </w: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34,058</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2,275,146</w:t>
            </w:r>
          </w:p>
        </w:tc>
        <w:tc>
          <w:tcPr>
            <w:tcW w:w="140" w:type="dxa"/>
            <w:vAlign w:val="bottom"/>
          </w:tcPr>
          <w:p>
            <w:pPr>
              <w:spacing w:after="0"/>
              <w:rPr>
                <w:sz w:val="19"/>
                <w:szCs w:val="19"/>
                <w:color w:val="auto"/>
              </w:rPr>
            </w:pPr>
          </w:p>
        </w:tc>
      </w:tr>
      <w:tr>
        <w:trPr>
          <w:trHeight w:val="1249"/>
        </w:trPr>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7560" w:type="dxa"/>
            <w:vAlign w:val="bottom"/>
            <w:gridSpan w:val="8"/>
          </w:tcPr>
          <w:p>
            <w:pPr>
              <w:spacing w:after="0"/>
              <w:rPr>
                <w:sz w:val="20"/>
                <w:szCs w:val="20"/>
                <w:color w:val="auto"/>
              </w:rPr>
            </w:pPr>
            <w:r>
              <w:rPr>
                <w:rFonts w:ascii="Arial" w:cs="Arial" w:eastAsia="Arial" w:hAnsi="Arial"/>
                <w:sz w:val="18"/>
                <w:szCs w:val="18"/>
                <w:color w:val="auto"/>
              </w:rPr>
              <w:t>(4) Proposal 4 - Approval of the Amended and restated 2018 Incentive Plan</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18"/>
        </w:trPr>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ind w:left="1420"/>
              <w:spacing w:after="0"/>
              <w:rPr>
                <w:sz w:val="20"/>
                <w:szCs w:val="20"/>
                <w:color w:val="auto"/>
              </w:rPr>
            </w:pPr>
            <w:r>
              <w:rPr>
                <w:rFonts w:ascii="Arial" w:cs="Arial" w:eastAsia="Arial" w:hAnsi="Arial"/>
                <w:sz w:val="18"/>
                <w:szCs w:val="18"/>
                <w:color w:val="auto"/>
                <w:w w:val="93"/>
              </w:rPr>
              <w:t>Number of Shares</w:t>
            </w: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223"/>
        </w:trPr>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2"/>
          </w:tcPr>
          <w:p>
            <w:pPr>
              <w:ind w:left="840"/>
              <w:spacing w:after="0"/>
              <w:rPr>
                <w:sz w:val="20"/>
                <w:szCs w:val="20"/>
                <w:color w:val="auto"/>
              </w:rPr>
            </w:pPr>
            <w:r>
              <w:rPr>
                <w:rFonts w:ascii="Arial" w:cs="Arial" w:eastAsia="Arial" w:hAnsi="Arial"/>
                <w:sz w:val="18"/>
                <w:szCs w:val="18"/>
                <w:color w:val="auto"/>
              </w:rPr>
              <w:t>For</w:t>
            </w:r>
          </w:p>
        </w:tc>
        <w:tc>
          <w:tcPr>
            <w:tcW w:w="2800" w:type="dxa"/>
            <w:vAlign w:val="bottom"/>
            <w:gridSpan w:val="3"/>
          </w:tcPr>
          <w:p>
            <w:pPr>
              <w:ind w:left="700"/>
              <w:spacing w:after="0"/>
              <w:rPr>
                <w:sz w:val="20"/>
                <w:szCs w:val="20"/>
                <w:color w:val="auto"/>
              </w:rPr>
            </w:pPr>
            <w:r>
              <w:rPr>
                <w:rFonts w:ascii="Arial" w:cs="Arial" w:eastAsia="Arial" w:hAnsi="Arial"/>
                <w:sz w:val="18"/>
                <w:szCs w:val="18"/>
                <w:color w:val="auto"/>
              </w:rPr>
              <w:t>Against</w:t>
            </w: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Abstain</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Broker Non-Votes</w:t>
            </w:r>
          </w:p>
        </w:tc>
      </w:tr>
      <w:tr>
        <w:trPr>
          <w:trHeight w:val="223"/>
        </w:trPr>
        <w:tc>
          <w:tcPr>
            <w:tcW w:w="140" w:type="dxa"/>
            <w:vAlign w:val="bottom"/>
          </w:tcPr>
          <w:p>
            <w:pPr>
              <w:spacing w:after="0"/>
              <w:rPr>
                <w:sz w:val="19"/>
                <w:szCs w:val="19"/>
                <w:color w:val="auto"/>
              </w:rPr>
            </w:pPr>
          </w:p>
        </w:tc>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Proposal 4</w:t>
            </w:r>
          </w:p>
        </w:tc>
        <w:tc>
          <w:tcPr>
            <w:tcW w:w="26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5,446,656</w:t>
            </w:r>
          </w:p>
        </w:tc>
        <w:tc>
          <w:tcPr>
            <w:tcW w:w="2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617,316</w:t>
            </w:r>
          </w:p>
        </w:tc>
        <w:tc>
          <w:tcPr>
            <w:tcW w:w="2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33,330</w:t>
            </w:r>
          </w:p>
        </w:tc>
        <w:tc>
          <w:tcPr>
            <w:tcW w:w="24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2,275,146</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this Current Report on Form 8-K:</w:t>
      </w:r>
    </w:p>
    <w:p>
      <w:pPr>
        <w:spacing w:after="0" w:line="15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57"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w:t>
      </w:r>
    </w:p>
    <w:p>
      <w:pPr>
        <w:spacing w:after="0" w:line="226" w:lineRule="exact"/>
        <w:rPr>
          <w:sz w:val="20"/>
          <w:szCs w:val="20"/>
          <w:color w:val="auto"/>
        </w:rPr>
      </w:pPr>
    </w:p>
    <w:p>
      <w:pPr>
        <w:ind w:firstLine="445"/>
        <w:spacing w:after="0" w:line="314"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74"/>
        </w:trPr>
        <w:tc>
          <w:tcPr>
            <w:tcW w:w="2980" w:type="dxa"/>
            <w:vAlign w:val="bottom"/>
          </w:tcPr>
          <w:p>
            <w:pPr>
              <w:spacing w:after="0"/>
              <w:rPr>
                <w:sz w:val="23"/>
                <w:szCs w:val="23"/>
                <w:color w:val="auto"/>
              </w:rPr>
            </w:pPr>
          </w:p>
        </w:tc>
        <w:tc>
          <w:tcPr>
            <w:tcW w:w="8200" w:type="dxa"/>
            <w:vAlign w:val="bottom"/>
            <w:gridSpan w:val="3"/>
          </w:tcPr>
          <w:p>
            <w:pPr>
              <w:ind w:left="1260"/>
              <w:spacing w:after="0"/>
              <w:rPr>
                <w:sz w:val="20"/>
                <w:szCs w:val="20"/>
                <w:color w:val="auto"/>
              </w:rPr>
            </w:pPr>
            <w:r>
              <w:rPr>
                <w:rFonts w:ascii="Arial" w:cs="Arial" w:eastAsia="Arial" w:hAnsi="Arial"/>
                <w:sz w:val="22"/>
                <w:szCs w:val="22"/>
                <w:color w:val="auto"/>
              </w:rPr>
              <w:t>AVIAT NETWORKS, INC.</w:t>
            </w:r>
          </w:p>
        </w:tc>
      </w:tr>
      <w:tr>
        <w:trPr>
          <w:trHeight w:val="581"/>
        </w:trPr>
        <w:tc>
          <w:tcPr>
            <w:tcW w:w="2980" w:type="dxa"/>
            <w:vAlign w:val="bottom"/>
          </w:tcPr>
          <w:p>
            <w:pPr>
              <w:spacing w:after="0"/>
              <w:rPr>
                <w:sz w:val="20"/>
                <w:szCs w:val="20"/>
                <w:color w:val="auto"/>
              </w:rPr>
            </w:pPr>
            <w:r>
              <w:rPr>
                <w:rFonts w:ascii="Arial" w:cs="Arial" w:eastAsia="Arial" w:hAnsi="Arial"/>
                <w:sz w:val="22"/>
                <w:szCs w:val="22"/>
                <w:color w:val="auto"/>
              </w:rPr>
              <w:t>November 15, 2021</w:t>
            </w:r>
          </w:p>
        </w:tc>
        <w:tc>
          <w:tcPr>
            <w:tcW w:w="2040" w:type="dxa"/>
            <w:vAlign w:val="bottom"/>
          </w:tcPr>
          <w:p>
            <w:pPr>
              <w:ind w:left="1260"/>
              <w:spacing w:after="0"/>
              <w:rPr>
                <w:sz w:val="20"/>
                <w:szCs w:val="20"/>
                <w:color w:val="auto"/>
              </w:rPr>
            </w:pPr>
            <w:r>
              <w:rPr>
                <w:rFonts w:ascii="Arial" w:cs="Arial" w:eastAsia="Arial" w:hAnsi="Arial"/>
                <w:sz w:val="22"/>
                <w:szCs w:val="22"/>
                <w:color w:val="auto"/>
              </w:rPr>
              <w:t>By:</w:t>
            </w:r>
          </w:p>
        </w:tc>
        <w:tc>
          <w:tcPr>
            <w:tcW w:w="6160" w:type="dxa"/>
            <w:vAlign w:val="bottom"/>
            <w:gridSpan w:val="2"/>
          </w:tcPr>
          <w:p>
            <w:pPr>
              <w:ind w:left="40"/>
              <w:spacing w:after="0"/>
              <w:rPr>
                <w:sz w:val="20"/>
                <w:szCs w:val="20"/>
                <w:color w:val="auto"/>
              </w:rPr>
            </w:pPr>
            <w:r>
              <w:rPr>
                <w:rFonts w:ascii="Arial" w:cs="Arial" w:eastAsia="Arial" w:hAnsi="Arial"/>
                <w:sz w:val="22"/>
                <w:szCs w:val="22"/>
                <w:color w:val="auto"/>
              </w:rPr>
              <w:t>/s/ David M. Gray</w:t>
            </w:r>
          </w:p>
        </w:tc>
      </w:tr>
      <w:tr>
        <w:trPr>
          <w:trHeight w:val="44"/>
        </w:trPr>
        <w:tc>
          <w:tcPr>
            <w:tcW w:w="29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r>
      <w:tr>
        <w:trPr>
          <w:trHeight w:val="268"/>
        </w:trPr>
        <w:tc>
          <w:tcPr>
            <w:tcW w:w="29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Name:</w:t>
            </w:r>
          </w:p>
        </w:tc>
        <w:tc>
          <w:tcPr>
            <w:tcW w:w="5140" w:type="dxa"/>
            <w:vAlign w:val="bottom"/>
          </w:tcPr>
          <w:p>
            <w:pPr>
              <w:ind w:left="400"/>
              <w:spacing w:after="0"/>
              <w:rPr>
                <w:sz w:val="20"/>
                <w:szCs w:val="20"/>
                <w:color w:val="auto"/>
              </w:rPr>
            </w:pPr>
            <w:r>
              <w:rPr>
                <w:rFonts w:ascii="Arial" w:cs="Arial" w:eastAsia="Arial" w:hAnsi="Arial"/>
                <w:sz w:val="22"/>
                <w:szCs w:val="22"/>
                <w:color w:val="auto"/>
              </w:rPr>
              <w:t>David M. Gray</w:t>
            </w:r>
          </w:p>
        </w:tc>
      </w:tr>
      <w:tr>
        <w:trPr>
          <w:trHeight w:val="343"/>
        </w:trPr>
        <w:tc>
          <w:tcPr>
            <w:tcW w:w="29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Title:</w:t>
            </w:r>
          </w:p>
        </w:tc>
        <w:tc>
          <w:tcPr>
            <w:tcW w:w="5140" w:type="dxa"/>
            <w:vAlign w:val="bottom"/>
          </w:tcPr>
          <w:p>
            <w:pPr>
              <w:ind w:left="400"/>
              <w:spacing w:after="0"/>
              <w:rPr>
                <w:sz w:val="20"/>
                <w:szCs w:val="20"/>
                <w:color w:val="auto"/>
              </w:rPr>
            </w:pPr>
            <w:r>
              <w:rPr>
                <w:rFonts w:ascii="Arial" w:cs="Arial" w:eastAsia="Arial" w:hAnsi="Arial"/>
                <w:sz w:val="22"/>
                <w:szCs w:val="22"/>
                <w:color w:val="auto"/>
                <w:w w:val="98"/>
              </w:rPr>
              <w:t>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2021-11-15T15:23:52Z</dcterms:created>
  <dcterms:modified xsi:type="dcterms:W3CDTF">2021-11-15T15:23:52Z</dcterms:modified>
</cp:coreProperties>
</file>