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AVIAT NETWORKS,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6420" w:type="dxa"/>
            <w:vAlign w:val="bottom"/>
          </w:tcPr>
          <w:p>
            <w:pPr>
              <w:jc w:val="center"/>
              <w:ind w:right="4002"/>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20-5961564</w:t>
            </w:r>
          </w:p>
        </w:tc>
      </w:tr>
      <w:tr>
        <w:trPr>
          <w:trHeight w:val="149"/>
        </w:trPr>
        <w:tc>
          <w:tcPr>
            <w:tcW w:w="6420" w:type="dxa"/>
            <w:vAlign w:val="bottom"/>
          </w:tcPr>
          <w:p>
            <w:pPr>
              <w:jc w:val="center"/>
              <w:ind w:right="40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420" w:type="dxa"/>
            <w:vAlign w:val="bottom"/>
          </w:tcPr>
          <w:p>
            <w:pPr>
              <w:jc w:val="center"/>
              <w:ind w:right="4002"/>
              <w:spacing w:after="0"/>
              <w:rPr>
                <w:sz w:val="20"/>
                <w:szCs w:val="20"/>
                <w:color w:val="auto"/>
              </w:rPr>
            </w:pPr>
            <w:r>
              <w:rPr>
                <w:rFonts w:ascii="Arial" w:cs="Arial" w:eastAsia="Arial" w:hAnsi="Arial"/>
                <w:sz w:val="18"/>
                <w:szCs w:val="18"/>
                <w:b w:val="1"/>
                <w:bCs w:val="1"/>
                <w:color w:val="auto"/>
                <w:w w:val="90"/>
              </w:rPr>
              <w:t>5200 Great American Parkway</w:t>
            </w:r>
          </w:p>
        </w:tc>
        <w:tc>
          <w:tcPr>
            <w:tcW w:w="1100" w:type="dxa"/>
            <w:vAlign w:val="bottom"/>
          </w:tcPr>
          <w:p>
            <w:pPr>
              <w:spacing w:after="0"/>
              <w:rPr>
                <w:sz w:val="24"/>
                <w:szCs w:val="24"/>
                <w:color w:val="auto"/>
              </w:rPr>
            </w:pPr>
          </w:p>
        </w:tc>
      </w:tr>
      <w:tr>
        <w:trPr>
          <w:trHeight w:val="231"/>
        </w:trPr>
        <w:tc>
          <w:tcPr>
            <w:tcW w:w="6420" w:type="dxa"/>
            <w:vAlign w:val="bottom"/>
          </w:tcPr>
          <w:p>
            <w:pPr>
              <w:jc w:val="center"/>
              <w:ind w:right="4022"/>
              <w:spacing w:after="0"/>
              <w:rPr>
                <w:sz w:val="20"/>
                <w:szCs w:val="20"/>
                <w:color w:val="auto"/>
              </w:rPr>
            </w:pPr>
            <w:r>
              <w:rPr>
                <w:rFonts w:ascii="Arial" w:cs="Arial" w:eastAsia="Arial" w:hAnsi="Arial"/>
                <w:sz w:val="18"/>
                <w:szCs w:val="18"/>
                <w:b w:val="1"/>
                <w:bCs w:val="1"/>
                <w:color w:val="auto"/>
                <w:w w:val="91"/>
              </w:rPr>
              <w:t>Santa Clara, California</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95054</w:t>
            </w:r>
          </w:p>
        </w:tc>
      </w:tr>
      <w:tr>
        <w:trPr>
          <w:trHeight w:val="174"/>
        </w:trPr>
        <w:tc>
          <w:tcPr>
            <w:tcW w:w="64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25"/>
        </w:trPr>
        <w:tc>
          <w:tcPr>
            <w:tcW w:w="6420" w:type="dxa"/>
            <w:vAlign w:val="bottom"/>
          </w:tcPr>
          <w:p>
            <w:pPr>
              <w:jc w:val="center"/>
              <w:ind w:left="1522"/>
              <w:spacing w:after="0"/>
              <w:rPr>
                <w:sz w:val="20"/>
                <w:szCs w:val="20"/>
                <w:color w:val="auto"/>
              </w:rPr>
            </w:pPr>
            <w:r>
              <w:rPr>
                <w:rFonts w:ascii="Arial" w:cs="Arial" w:eastAsia="Arial" w:hAnsi="Arial"/>
                <w:sz w:val="18"/>
                <w:szCs w:val="18"/>
                <w:b w:val="1"/>
                <w:bCs w:val="1"/>
                <w:color w:val="auto"/>
                <w:w w:val="89"/>
              </w:rPr>
              <w:t>(408) 567-7000</w:t>
            </w:r>
          </w:p>
        </w:tc>
        <w:tc>
          <w:tcPr>
            <w:tcW w:w="1100" w:type="dxa"/>
            <w:vAlign w:val="bottom"/>
          </w:tcPr>
          <w:p>
            <w:pPr>
              <w:spacing w:after="0"/>
              <w:rPr>
                <w:sz w:val="24"/>
                <w:szCs w:val="24"/>
                <w:color w:val="auto"/>
              </w:rPr>
            </w:pPr>
          </w:p>
        </w:tc>
      </w:tr>
      <w:tr>
        <w:trPr>
          <w:trHeight w:val="174"/>
        </w:trPr>
        <w:tc>
          <w:tcPr>
            <w:tcW w:w="6420" w:type="dxa"/>
            <w:vAlign w:val="bottom"/>
          </w:tcPr>
          <w:p>
            <w:pPr>
              <w:jc w:val="center"/>
              <w:ind w:left="15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52"/>
        </w:trPr>
        <w:tc>
          <w:tcPr>
            <w:tcW w:w="6420" w:type="dxa"/>
            <w:vAlign w:val="bottom"/>
          </w:tcPr>
          <w:p>
            <w:pPr>
              <w:jc w:val="center"/>
              <w:ind w:left="1522"/>
              <w:spacing w:after="0"/>
              <w:rPr>
                <w:sz w:val="20"/>
                <w:szCs w:val="20"/>
                <w:color w:val="auto"/>
              </w:rPr>
            </w:pPr>
            <w:r>
              <w:rPr>
                <w:rFonts w:ascii="Arial" w:cs="Arial" w:eastAsia="Arial" w:hAnsi="Arial"/>
                <w:sz w:val="18"/>
                <w:szCs w:val="18"/>
                <w:b w:val="1"/>
                <w:bCs w:val="1"/>
                <w:color w:val="auto"/>
                <w:w w:val="84"/>
              </w:rPr>
              <w:t>No changes</w:t>
            </w:r>
          </w:p>
        </w:tc>
        <w:tc>
          <w:tcPr>
            <w:tcW w:w="1100" w:type="dxa"/>
            <w:vAlign w:val="bottom"/>
          </w:tcPr>
          <w:p>
            <w:pPr>
              <w:spacing w:after="0"/>
              <w:rPr>
                <w:sz w:val="24"/>
                <w:szCs w:val="24"/>
                <w:color w:val="auto"/>
              </w:rPr>
            </w:pPr>
          </w:p>
        </w:tc>
      </w:tr>
      <w:tr>
        <w:trPr>
          <w:trHeight w:val="174"/>
        </w:trPr>
        <w:tc>
          <w:tcPr>
            <w:tcW w:w="6420" w:type="dxa"/>
            <w:vAlign w:val="bottom"/>
          </w:tcPr>
          <w:p>
            <w:pPr>
              <w:jc w:val="center"/>
              <w:ind w:left="152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 b-2 of the Exchange Act).  Yes </w:t>
            </w:r>
            <w:r>
              <w:rPr>
                <w:rFonts w:ascii="MS PGothic" w:cs="MS PGothic" w:eastAsia="MS PGothic" w:hAnsi="MS PGothic"/>
                <w:sz w:val="18"/>
                <w:szCs w:val="18"/>
                <w:color w:val="auto"/>
                <w:w w:val="90"/>
              </w:rPr>
              <w:t>☐</w:t>
            </w:r>
          </w:p>
        </w:tc>
        <w:tc>
          <w:tcPr>
            <w:tcW w:w="22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31"/>
        </w:trPr>
        <w:tc>
          <w:tcPr>
            <w:tcW w:w="8780" w:type="dxa"/>
            <w:vAlign w:val="bottom"/>
            <w:gridSpan w:val="2"/>
          </w:tcPr>
          <w:p>
            <w:pPr>
              <w:spacing w:after="0"/>
              <w:rPr>
                <w:sz w:val="20"/>
                <w:szCs w:val="20"/>
                <w:color w:val="auto"/>
              </w:rPr>
            </w:pPr>
            <w:r>
              <w:rPr>
                <w:rFonts w:ascii="Arial" w:cs="Arial" w:eastAsia="Arial" w:hAnsi="Arial"/>
                <w:sz w:val="18"/>
                <w:szCs w:val="18"/>
                <w:color w:val="auto"/>
                <w:w w:val="98"/>
              </w:rPr>
              <w:t>The number of shares outstanding of the registrant’s Common Stock as of May 4, 2011 was 60,614,942 shares.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409"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AVIAT NETWORKS,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April 1,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040" w:type="dxa"/>
            <w:vAlign w:val="bottom"/>
            <w:gridSpan w:val="14"/>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00" w:type="dxa"/>
            <w:vAlign w:val="bottom"/>
            <w:gridSpan w:val="13"/>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Quarter and Three Quarters ended April 1, 2011 and April 2,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April 1, 2011 and July 2, 2010</w:t>
              </w:r>
            </w:hyperlink>
          </w:p>
        </w:tc>
        <w:tc>
          <w:tcPr>
            <w:tcW w:w="17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Quarters ended April 1, 2011 and April 2,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26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37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58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3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00" w:type="dxa"/>
            <w:vAlign w:val="bottom"/>
            <w:gridSpan w:val="13"/>
          </w:tcPr>
          <w:p>
            <w:pPr>
              <w:spacing w:after="0" w:line="184" w:lineRule="exact"/>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17"/>
                <w:szCs w:val="17"/>
                <w:color w:val="auto"/>
              </w:rPr>
            </w:pPr>
          </w:p>
        </w:tc>
        <w:tc>
          <w:tcPr>
            <w:tcW w:w="87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6"/>
              </w:rPr>
            </w:pPr>
            <w:hyperlink w:anchor="page29">
              <w:r>
                <w:rPr>
                  <w:rFonts w:ascii="Arial" w:cs="Arial" w:eastAsia="Arial" w:hAnsi="Arial"/>
                  <w:sz w:val="18"/>
                  <w:szCs w:val="18"/>
                  <w:b w:val="1"/>
                  <w:bCs w:val="1"/>
                  <w:color w:val="0000EE"/>
                  <w:w w:val="86"/>
                </w:rPr>
                <w:t>Signature</w:t>
              </w:r>
            </w:hyperlink>
          </w:p>
        </w:tc>
        <w:tc>
          <w:tcPr>
            <w:tcW w:w="103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0"/>
              </w:rPr>
            </w:pPr>
            <w:hyperlink w:anchor="page30">
              <w:r>
                <w:rPr>
                  <w:rFonts w:ascii="Arial" w:cs="Arial" w:eastAsia="Arial" w:hAnsi="Arial"/>
                  <w:sz w:val="18"/>
                  <w:szCs w:val="18"/>
                  <w:b w:val="1"/>
                  <w:bCs w:val="1"/>
                  <w:color w:val="0000EE"/>
                  <w:w w:val="90"/>
                </w:rPr>
                <w:t>Exhibit Index</w:t>
              </w:r>
            </w:hyperlink>
          </w:p>
        </w:tc>
        <w:tc>
          <w:tcPr>
            <w:tcW w:w="100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83"/>
        </w:trPr>
        <w:tc>
          <w:tcPr>
            <w:tcW w:w="5860" w:type="dxa"/>
            <w:vAlign w:val="bottom"/>
            <w:gridSpan w:val="10"/>
          </w:tcPr>
          <w:p>
            <w:pPr>
              <w:ind w:left="568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9"/>
              </w:rPr>
              <w:t>Three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7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April 1,</w:t>
            </w: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April 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April 1,</w:t>
            </w: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common share amounts)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Revenue from product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89.5</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263.2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from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334.6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Cost of product sales</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200.7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Charges for product transition</w:t>
            </w:r>
          </w:p>
        </w:tc>
        <w:tc>
          <w:tcPr>
            <w:tcW w:w="10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technology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860"/>
              <w:spacing w:after="0"/>
              <w:rPr>
                <w:sz w:val="20"/>
                <w:szCs w:val="20"/>
                <w:color w:val="auto"/>
              </w:rPr>
            </w:pPr>
            <w:r>
              <w:rPr>
                <w:rFonts w:ascii="Arial" w:cs="Arial" w:eastAsia="Arial" w:hAnsi="Arial"/>
                <w:sz w:val="18"/>
                <w:szCs w:val="18"/>
                <w:color w:val="auto"/>
              </w:rPr>
              <w:t>Total cost of product sales and services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238.0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identifiable intangible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NetBoss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(25.5)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(36.9)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Basic and diluted loss per common share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(0.44)</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 from discontinued operations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(0.63)</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July 2,</w:t>
            </w:r>
          </w:p>
        </w:tc>
      </w:tr>
      <w:tr>
        <w:trPr>
          <w:trHeight w:val="161"/>
        </w:trPr>
        <w:tc>
          <w:tcPr>
            <w:tcW w:w="9660" w:type="dxa"/>
            <w:vAlign w:val="bottom"/>
          </w:tcPr>
          <w:p>
            <w:pPr>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440"/>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141.7</w:t>
            </w: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104.8</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Unbilled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376.4</w:t>
            </w:r>
          </w:p>
        </w:tc>
      </w:tr>
      <w:tr>
        <w:trPr>
          <w:trHeight w:val="217"/>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Long-Term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Identifiable intangible assets,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23"/>
        </w:trPr>
        <w:tc>
          <w:tcPr>
            <w:tcW w:w="9660" w:type="dxa"/>
            <w:vAlign w:val="bottom"/>
          </w:tcPr>
          <w:p>
            <w:pPr>
              <w:ind w:left="8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r>
      <w:tr>
        <w:trPr>
          <w:trHeight w:val="216"/>
        </w:trPr>
        <w:tc>
          <w:tcPr>
            <w:tcW w:w="96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410.7</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447.0</w:t>
            </w:r>
          </w:p>
        </w:tc>
      </w:tr>
      <w:tr>
        <w:trPr>
          <w:trHeight w:val="20"/>
        </w:trPr>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440"/>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Advance payments and unearned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23"/>
        </w:trPr>
        <w:tc>
          <w:tcPr>
            <w:tcW w:w="9660" w:type="dxa"/>
            <w:vAlign w:val="bottom"/>
          </w:tcPr>
          <w:p>
            <w:pPr>
              <w:ind w:left="880"/>
              <w:spacing w:after="0"/>
              <w:rPr>
                <w:sz w:val="20"/>
                <w:szCs w:val="20"/>
                <w:color w:val="auto"/>
              </w:rPr>
            </w:pPr>
            <w:r>
              <w:rPr>
                <w:rFonts w:ascii="Arial" w:cs="Arial" w:eastAsia="Arial" w:hAnsi="Arial"/>
                <w:sz w:val="18"/>
                <w:szCs w:val="18"/>
                <w:color w:val="auto"/>
              </w:rPr>
              <w:t>Restructuring liabilities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16"/>
        </w:trPr>
        <w:tc>
          <w:tcPr>
            <w:tcW w:w="96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166.7</w:t>
            </w:r>
          </w:p>
        </w:tc>
      </w:tr>
      <w:tr>
        <w:trPr>
          <w:trHeight w:val="216"/>
        </w:trPr>
        <w:tc>
          <w:tcPr>
            <w:tcW w:w="9660" w:type="dxa"/>
            <w:vAlign w:val="bottom"/>
          </w:tcPr>
          <w:p>
            <w:pPr>
              <w:ind w:left="440"/>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Redeemable preference shares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Reserve for uncertain tax positions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23"/>
        </w:trPr>
        <w:tc>
          <w:tcPr>
            <w:tcW w:w="966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r>
        <w:trPr>
          <w:trHeight w:val="216"/>
        </w:trPr>
        <w:tc>
          <w:tcPr>
            <w:tcW w:w="96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183.8</w:t>
            </w:r>
          </w:p>
        </w:tc>
      </w:tr>
      <w:tr>
        <w:trPr>
          <w:trHeight w:val="216"/>
        </w:trPr>
        <w:tc>
          <w:tcPr>
            <w:tcW w:w="9660" w:type="dxa"/>
            <w:vAlign w:val="bottom"/>
          </w:tcPr>
          <w:p>
            <w:pPr>
              <w:spacing w:after="0"/>
              <w:rPr>
                <w:sz w:val="20"/>
                <w:szCs w:val="20"/>
                <w:color w:val="auto"/>
              </w:rPr>
            </w:pPr>
            <w:r>
              <w:rPr>
                <w:rFonts w:ascii="Arial" w:cs="Arial" w:eastAsia="Arial" w:hAnsi="Arial"/>
                <w:sz w:val="18"/>
                <w:szCs w:val="18"/>
                <w:i w:val="1"/>
                <w:iCs w:val="1"/>
                <w:color w:val="auto"/>
              </w:rPr>
              <w:t>Commitments and contingencies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Common stock, $0.01 par value; 300,000,000 shares authorized; issued and outstanding 60,646,471 shares as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April 1, 2011 and 59,400,059 shares as of July 2, 2010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9660" w:type="dxa"/>
            <w:vAlign w:val="bottom"/>
          </w:tcPr>
          <w:p>
            <w:pPr>
              <w:ind w:left="88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786.5</w:t>
            </w:r>
          </w:p>
        </w:tc>
      </w:tr>
      <w:tr>
        <w:trPr>
          <w:trHeight w:val="216"/>
        </w:trPr>
        <w:tc>
          <w:tcPr>
            <w:tcW w:w="9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(592.0)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(521.3)</w:t>
            </w:r>
          </w:p>
        </w:tc>
      </w:tr>
      <w:tr>
        <w:trPr>
          <w:trHeight w:val="223"/>
        </w:trPr>
        <w:tc>
          <w:tcPr>
            <w:tcW w:w="9660" w:type="dxa"/>
            <w:vAlign w:val="bottom"/>
          </w:tcPr>
          <w:p>
            <w:pPr>
              <w:ind w:left="8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96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263.2</w:t>
            </w:r>
          </w:p>
        </w:tc>
        <w:tc>
          <w:tcPr>
            <w:tcW w:w="100" w:type="dxa"/>
            <w:vAlign w:val="bottom"/>
            <w:shd w:val="clear" w:color="auto" w:fill="CCEEFF"/>
          </w:tcPr>
          <w:p>
            <w:pPr>
              <w:spacing w:after="0"/>
              <w:rPr>
                <w:sz w:val="18"/>
                <w:szCs w:val="18"/>
                <w:color w:val="auto"/>
              </w:rPr>
            </w:pPr>
          </w:p>
        </w:tc>
      </w:tr>
      <w:tr>
        <w:trPr>
          <w:trHeight w:val="222"/>
        </w:trPr>
        <w:tc>
          <w:tcPr>
            <w:tcW w:w="9660" w:type="dxa"/>
            <w:vAlign w:val="bottom"/>
          </w:tcPr>
          <w:p>
            <w:pPr>
              <w:ind w:left="13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410.7</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447.0</w:t>
            </w:r>
          </w:p>
        </w:tc>
      </w:tr>
      <w:tr>
        <w:trPr>
          <w:trHeight w:val="20"/>
        </w:trPr>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April 1,</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(70.7)</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Amortization of identifiable intangible assets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Non-cash share-based compensation expense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Charges for product transition and inventory mark-downs</w:t>
            </w:r>
          </w:p>
        </w:tc>
        <w:tc>
          <w:tcPr>
            <w:tcW w:w="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related to assets held for sale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Loss on sale of NetBoss assets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Unbilled costs and inventories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Advance payments and unearned income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 and receivable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Restructuring liabilities and other assets and liabilities</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sale of NetBoss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Cash paid related to acquisition of Telsima</w:t>
            </w:r>
          </w:p>
        </w:tc>
        <w:tc>
          <w:tcPr>
            <w:tcW w:w="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Additions of property, plant and equipment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of capitalized software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Proceeds from short-term debt arrangement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short-term debt arrangement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Proceeds from share-based compensation awards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 obligations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95.7</w:t>
            </w:r>
          </w:p>
        </w:tc>
        <w:tc>
          <w:tcPr>
            <w:tcW w:w="240" w:type="dxa"/>
            <w:vAlign w:val="bottom"/>
          </w:tcPr>
          <w:p>
            <w:pPr>
              <w:spacing w:after="0"/>
              <w:rPr>
                <w:sz w:val="19"/>
                <w:szCs w:val="19"/>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April 1,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condensed consolidated financial statements of Aviat Networks, Inc. and its subsidiaries (“the Company”, “we,” “us,” and “our”) have been prepared by us, without an audit, in accordance with U.S. generally accepted accounting principles and with the rules and regulations of the Securities and Exchange Commission (“SEC”) for interim financial information. Accordingly, they do not include all information and footnotes necessary for a complete presentation of financial position, results of operations and cash flows in conformity with U.S. generally accepted accounting principles. In the opinion of management, such interim financial statements reflect all adjustments (consisting of normal recurring adjustments) considered necessary for a fair presentation of financial position, results of operations and cash flows for such periods.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results for the quarter and three quarters ended April 1, 2011 (the “third quarter and the first three quarters of fiscal 2011”) are not necessarily indicative of the results that may be expected for the full fiscal year or any subsequent period. The balance sheet as of July 2, 2010 has been derived from the audited financial statements at that date but does not include all of the information and footnotes required by U.S. generally accepted accounting principles for annual financial statements. We provide complete financial statements in our Annual Report on Form 10-K, which includes information and footnotes required by the rules and regulations of the SEC. The information included in this Quarterly Report on Form 10-Q (this “Report”)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July 2, 2010 (“Fiscal 2010 Form 10-K”).</w:t>
      </w:r>
    </w:p>
    <w:p>
      <w:pPr>
        <w:spacing w:after="0" w:line="118"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preparation of financial statements in accordance with U.S. generally accepted accounting principles requires us to make estimates and assumptions that affect the amounts reported in the financial statements and accompanying notes. Actual results could differ from those estimates and assumptions.</w:t>
      </w:r>
    </w:p>
    <w:p>
      <w:pPr>
        <w:spacing w:after="0" w:line="6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Certain amounts in the third quarter and first three quarters of fiscal 2010 condensed consolidated financial statements have been reclassified to conform to the fiscal 2011 period presentation. See Note 3 for a discussion of changes in reporting related to our discontinued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December 2010, the FASB issued ASU No. 2010-28, Topic 350, “ Intangibles—Goodwill and Other: When to Perform Step 2 of the Goodwill Impairment Test for Reporting Units with Zero or Negative Carrying Amounts” (“ASU 2010-28”), which modifies Step 1 of the goodwill impairment test for reporting units with zero or negative amounts. For those reporting units, an entity is required to perform Step 2 of the goodwill impairment test if it is more likely than not that goodwill impairment exists. This guidance is effective for fiscal years, and interim periods within those years, beginning after December 15, 2010. The Company does not expect that the adoption of ASU 2010-28 will have a material impact on its consolidated financial position or results of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Discontinued Operations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March 2011, our board of directors approved a plan for the sale of our WiMAX business and we engaged an investment bank to market the sale of WiMAX business. We expect the sale to be completed within one year from April 1, 2011. In making the decision, we considered WiMAX business’ history of operating losses, lower than anticipated sales volume and additional investment required to achieve competitive technology, product functionality and manufacturing costs and to increase selling, marketing and distribution efforts. This decision resulted from an effort to complete the strategic plan to streamline the business and focus our time and resources on growing our core microwave business to better position us for long-term success.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quarter ended April 1, 2011, we began accounting for WiMAX business as a discontinued operation. We have reclassified WiMAX business’ operating results for all prior periods presented to loss from discontinued operations in our condensed consolidated statements of operations. We also classified the assets and liabilities of WiMAX business as held for sale, and, accordingly, included WiMAX business’ assets in other current assets, and the related liabilities in other accrued expenses on our condensed consolidated balance sheets as of April 1, 2011 and July 2, 2010.</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conjunction with the reclassification of WiMAX business as a discontinued operation, $0.6 million of goodwill was allocated to the WiMAX business. Concurrently we performed an impairment review and recorded a $0.6 million impairment charge for WiMAX business goodwill, which was included in loss from discontinued operations. WiMAX business’ assets and liabilities included the following as of April 1, 2011:</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9"/>
              </w:rPr>
              <w:t>April 1, 2011</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20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22"/>
        </w:trPr>
        <w:tc>
          <w:tcPr>
            <w:tcW w:w="5100" w:type="dxa"/>
            <w:vAlign w:val="bottom"/>
          </w:tcPr>
          <w:p>
            <w:pPr>
              <w:spacing w:after="0"/>
              <w:rPr>
                <w:sz w:val="19"/>
                <w:szCs w:val="19"/>
                <w:color w:val="auto"/>
              </w:rPr>
            </w:pPr>
          </w:p>
        </w:tc>
        <w:tc>
          <w:tcPr>
            <w:tcW w:w="20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9"/>
              </w:rPr>
              <w:t>April 1, 2011</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Liabilities related to assets held for sale:</w:t>
            </w:r>
          </w:p>
        </w:tc>
        <w:tc>
          <w:tcPr>
            <w:tcW w:w="1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20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3"/>
        </w:trPr>
        <w:tc>
          <w:tcPr>
            <w:tcW w:w="5100" w:type="dxa"/>
            <w:vAlign w:val="bottom"/>
          </w:tcPr>
          <w:p>
            <w:pPr>
              <w:ind w:left="440"/>
              <w:spacing w:after="0"/>
              <w:rPr>
                <w:sz w:val="20"/>
                <w:szCs w:val="20"/>
                <w:color w:val="auto"/>
              </w:rPr>
            </w:pPr>
            <w:r>
              <w:rPr>
                <w:rFonts w:ascii="Arial" w:cs="Arial" w:eastAsia="Arial" w:hAnsi="Arial"/>
                <w:sz w:val="18"/>
                <w:szCs w:val="18"/>
                <w:color w:val="auto"/>
              </w:rPr>
              <w:t>Long-term liabilities</w:t>
            </w:r>
          </w:p>
        </w:tc>
        <w:tc>
          <w:tcPr>
            <w:tcW w:w="1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WiMAX business’ operating results, which were historically included in our International segment: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Three Quarters Ended</w:t>
            </w:r>
          </w:p>
        </w:tc>
      </w:tr>
      <w:tr>
        <w:trPr>
          <w:trHeight w:val="129"/>
        </w:trPr>
        <w:tc>
          <w:tcPr>
            <w:tcW w:w="686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April 1,</w:t>
            </w: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8"/>
              </w:rPr>
              <w:t>April 2,</w:t>
            </w:r>
          </w:p>
        </w:tc>
        <w:tc>
          <w:tcPr>
            <w:tcW w:w="50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rPr>
              <w:t>April 1,</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r>
      <w:tr>
        <w:trPr>
          <w:trHeight w:val="161"/>
        </w:trPr>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3"/>
          </w:tcPr>
          <w:p>
            <w:pPr>
              <w:jc w:val="right"/>
              <w:ind w:right="239"/>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72"/>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ind w:left="440"/>
              <w:spacing w:after="0"/>
              <w:rPr>
                <w:sz w:val="20"/>
                <w:szCs w:val="20"/>
                <w:color w:val="auto"/>
              </w:rPr>
            </w:pPr>
            <w:r>
              <w:rPr>
                <w:rFonts w:ascii="Arial" w:cs="Arial" w:eastAsia="Arial" w:hAnsi="Arial"/>
                <w:sz w:val="18"/>
                <w:szCs w:val="18"/>
                <w:color w:val="auto"/>
              </w:rPr>
              <w:t>Loss from discontinued operations, net of tax</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72"/>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Loss on Sale of NetBoss Assets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September 2010, we sold our NetBoss assets, consisting of internally-developed intellectual property and certain equipment, to a third party named NetBoss Technologies, Inc. for $3.8 million of cash. We recognized a $4.4 million loss on the sale of the NetBoss assets in our Condensed Consolidated Statement of Operations during the first three quarters of fiscal 2011. NetBoss Technologies Inc. is a new company formed by its management team, our former development partner for NetBoss, and private investors. As part of the terms of the sale, we have assigned our customer contracts for NetBoss software and maintenance to NetBoss Technologies, Inc. We continued to license NetBoss technology to operate our Network Operations Centers.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Accumulated Other Comprehensive Loss and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components of our accumulated other comprehensive loss during the first three quarters of fiscal 2011 and fiscal 2010 were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Foreign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2"/>
              </w:rPr>
              <w:t>Hedging</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Translation</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2,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Balance as of April 1, 2011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Balance as of April 2,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loss for the quarter and three quarters ended April 1, 2011 and April 2, 2010 was comprised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Three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6"/>
              </w:rPr>
              <w:t>April 1,</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2,</w:t>
            </w:r>
          </w:p>
        </w:tc>
        <w:tc>
          <w:tcPr>
            <w:tcW w:w="50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rPr>
              <w:t>April 1,</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3"/>
          </w:tcPr>
          <w:p>
            <w:pPr>
              <w:jc w:val="right"/>
              <w:ind w:right="259"/>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(36.9)</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0"/>
              </w:rPr>
              <w:t>$ (25.7)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income (loss)</w:t>
            </w:r>
          </w:p>
        </w:tc>
        <w:tc>
          <w:tcPr>
            <w:tcW w:w="2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Net unrealized gain (loss) on hedging activities</w:t>
            </w:r>
          </w:p>
        </w:tc>
        <w:tc>
          <w:tcPr>
            <w:tcW w:w="15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(36.9)</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(24.8)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Share of Common Stock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the third and first three quarters of both fiscal 2011 and fiscal 2010. In accordance with ASC subtopic 260-10, undistributed losses were not allocated to unvested restricted shares due to the fact that the unvested restricted shares are not contractually obligated to share in the losses of the company.</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a result of the company’s net loss in the third and first three quarters of fiscal 2011 and fiscal 2010, the computation of diluted net loss per share for these periods excluded all potential common stock equivalents outstanding as their effect was anti-dilutive. Such common equivalent shares included options to purchase shares of common stock, unvested restricted stock awards and units, and unvested performance share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Components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receivables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April 1,</w:t>
            </w:r>
          </w:p>
        </w:tc>
        <w:tc>
          <w:tcPr>
            <w:tcW w:w="44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w:t>
            </w:r>
          </w:p>
        </w:tc>
      </w:tr>
      <w:tr>
        <w:trPr>
          <w:trHeight w:val="161"/>
        </w:trPr>
        <w:tc>
          <w:tcPr>
            <w:tcW w:w="3440" w:type="dxa"/>
            <w:vAlign w:val="bottom"/>
          </w:tcPr>
          <w:p>
            <w:pPr>
              <w:spacing w:after="0"/>
              <w:rPr>
                <w:sz w:val="14"/>
                <w:szCs w:val="14"/>
                <w:color w:val="auto"/>
              </w:rPr>
            </w:pPr>
          </w:p>
        </w:tc>
        <w:tc>
          <w:tcPr>
            <w:tcW w:w="422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2011</w:t>
            </w:r>
          </w:p>
        </w:tc>
        <w:tc>
          <w:tcPr>
            <w:tcW w:w="92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w w:val="72"/>
              </w:rPr>
              <w:t>millions)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Notes receivable due within one year</w:t>
            </w:r>
          </w:p>
        </w:tc>
        <w:tc>
          <w:tcPr>
            <w:tcW w:w="37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16"/>
        </w:trPr>
        <w:tc>
          <w:tcPr>
            <w:tcW w:w="344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r>
      <w:tr>
        <w:trPr>
          <w:trHeight w:val="511"/>
        </w:trPr>
        <w:tc>
          <w:tcPr>
            <w:tcW w:w="3440" w:type="dxa"/>
            <w:vAlign w:val="bottom"/>
          </w:tcPr>
          <w:p>
            <w:pPr>
              <w:spacing w:after="0"/>
              <w:rPr>
                <w:sz w:val="24"/>
                <w:szCs w:val="24"/>
                <w:color w:val="auto"/>
              </w:rPr>
            </w:pPr>
          </w:p>
        </w:tc>
        <w:tc>
          <w:tcPr>
            <w:tcW w:w="3720" w:type="dxa"/>
            <w:vAlign w:val="bottom"/>
          </w:tcPr>
          <w:p>
            <w:pPr>
              <w:jc w:val="right"/>
              <w:ind w:right="2697"/>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274" w:right="35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April 1,</w:t>
            </w:r>
          </w:p>
        </w:tc>
        <w:tc>
          <w:tcPr>
            <w:tcW w:w="2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July 2,</w:t>
            </w: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allowances for collection losses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70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142.0</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comply with requests from our customers for longer payment terms, we may accept letters of credit with payment terms of up to one year or more, which we generally discount with various financial institutions. Under these arrangements, collection risk is fully transferred to the financial institutions. We record the cost of discounting these letters of credit as interest expense. During the third quarter of fiscal 2011 and fiscal 2010 we discounted customer letters of credit totaling $25.3 million and $45.6 million, respectively, and recorded related interest expense of $0.1 million and $0.2 million, respectively. During the first three quarters of fiscal 2011 and fiscal 2010 we discounted customer letters of credit totaling $50.7 million and $87.1 million, respectively, and recorded related interest expense of $0.4 million and $0.6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inventories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April 1,</w:t>
            </w:r>
          </w:p>
        </w:tc>
        <w:tc>
          <w:tcPr>
            <w:tcW w:w="5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July 2,</w:t>
            </w:r>
          </w:p>
        </w:tc>
      </w:tr>
      <w:tr>
        <w:trPr>
          <w:trHeight w:val="161"/>
        </w:trPr>
        <w:tc>
          <w:tcPr>
            <w:tcW w:w="7220" w:type="dxa"/>
            <w:vAlign w:val="bottom"/>
          </w:tcPr>
          <w:p>
            <w:pPr>
              <w:spacing w:after="0"/>
              <w:rPr>
                <w:sz w:val="14"/>
                <w:szCs w:val="14"/>
                <w:color w:val="auto"/>
              </w:rPr>
            </w:pP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7220" w:type="dxa"/>
            <w:vAlign w:val="bottom"/>
          </w:tcPr>
          <w:p>
            <w:pPr>
              <w:spacing w:after="0"/>
              <w:rPr>
                <w:sz w:val="12"/>
                <w:szCs w:val="12"/>
                <w:color w:val="auto"/>
              </w:rPr>
            </w:pPr>
          </w:p>
        </w:tc>
        <w:tc>
          <w:tcPr>
            <w:tcW w:w="14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Work in process</w:t>
            </w: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$ 64.1</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the manufacturing of our products was handled primarily by contract manufacturers with the intent to complete all activity transfer by the end of fiscal 2011. Accordingly, the costs associated with our internal operations organization are now expensed as incurred. Gross margin in the first three quarters of fiscal 2011 was negatively impacted by the immediate expensing of $6.0 million of such costs in the first quarter of fiscal 2011. During the second quarter of fiscal 2011, due to the closing of a facility by a contract manufacturer, we chose to bring final assembly of our current products for North America into our own facility temporarily while we continued to work on transfer of these activities to another contract manufacturer. We intend to have this final assembly activity transitioned to a new contract manufacturer by the end of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property, plant and equipment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April 1,</w:t>
            </w:r>
          </w:p>
        </w:tc>
        <w:tc>
          <w:tcPr>
            <w:tcW w:w="26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July 2,</w:t>
            </w:r>
          </w:p>
        </w:tc>
      </w:tr>
      <w:tr>
        <w:trPr>
          <w:trHeight w:val="161"/>
        </w:trPr>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Buildings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12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(71.1)</w:t>
            </w: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$3.2 million and $4.3 million, respectively, during the quarter ended April 1, 2011 and April 2, 2010, and $9.0 million and $13.7 million, respectively, in the three quarters ended April 1, 2011 and April 2, 2010.</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6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Warranties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Changes in our warranty liability, which is included as a component of other accrued expenses on the Condensed Consolidated Balance Sheets, during the first three quarters of fiscal 2011 and fiscal 2010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Quarters Ended</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392"/>
              <w:spacing w:after="0" w:line="129" w:lineRule="exact"/>
              <w:rPr>
                <w:sz w:val="20"/>
                <w:szCs w:val="20"/>
                <w:color w:val="auto"/>
              </w:rPr>
            </w:pPr>
            <w:r>
              <w:rPr>
                <w:rFonts w:ascii="Arial" w:cs="Arial" w:eastAsia="Arial" w:hAnsi="Arial"/>
                <w:sz w:val="14"/>
                <w:szCs w:val="14"/>
                <w:b w:val="1"/>
                <w:bCs w:val="1"/>
                <w:color w:val="auto"/>
                <w:w w:val="96"/>
              </w:rPr>
              <w:t>April 1,</w:t>
            </w:r>
          </w:p>
        </w:tc>
        <w:tc>
          <w:tcPr>
            <w:tcW w:w="3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Warranty provision for revenue recorded during the period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Balance as of the end of the period</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Credit Facility and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debt consisted of short-term debt of $6.0 million as of April 1, 2011 and $5.0 million as of July 2, 2010.</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quarter ended October 1, 2010, we terminated our previous credit facility with two commercial banks and entered into a new $40.0 million credit facility with Silicon Valley Bank for a term of one year expiring September 30, 2011. The outstanding debt of $5.0 million under the previous credit facility was repaid on October 1, 2010 with proceeds from a new loan of $6.0 million under the new facility.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new credit facility provides for a committed amount of $40.0 million. The facility provides for (1) demand borrowings (with no stated maturity date), (2) fixed term Eurodollar loans for up to six months and (3) the issuance of standby or commercial letters of credit.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Demand borrowings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our Eurodollar loans is computed at LIBOR plus a spread of between 2.00% to 2.75% based on our current leverage ratio. The interest rate on Eurodollar loans was set initially at a spread of 2.75% for the fiscal quarter ending October 1, 2010 and is adjustable quarterly thereafter based on the computed actual leverage ratio for the most recently completed fiscal quarter. The facility contains a minimum liquidity ratio covenant and a minimum profitability covenant and is secured by the company’s assets. As of April 1, 2011, we were in compliance with the financial covenants.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Available credit as of April 1, 2011 was $25.3 million reflecting borrowings of $6.0 million and outstanding letters of credit of $8.7 million. The weighted average interest rate on our short-term borrowings was 3.25% as of April 1, 2011.</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Standby letters of credit includes a standby letter of credit in the amount of $1.2 million covering standby letters of credit outstanding under the previous credit facility at the time of termination of that facility on October 1, 2010. The amount of this supporting letter of credit may be amended at any time to exclude the letters of credit issued under the previous facility as they expire. The amount of outstanding letters of credit under the previous facility was $0.9 million as of April 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During the third quarter of fiscal 2011, we continued executing the restructuring plan initiated in the first quarter of fiscal 2011 to reduce our operational costs (the “Fiscal 2011 Plan”). The Fiscal 2011 Plan was intended to bring our cost structure in line with the changing dynamics of the worldwide microwave radio and telecommunication markets, primarily in North America, Europe and Asia. The following table summarizes our costs incurred during fiscal 2011 periods and through April 1, 2011, estimated additional costs to be incurred and estimated total costs expected to be incurred under the Fiscal 2011 Plan: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auto"/>
                <w:w w:val="83"/>
              </w:rPr>
              <w:t>Total Costs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Total Costs</w:t>
            </w:r>
          </w:p>
        </w:tc>
        <w:tc>
          <w:tcPr>
            <w:tcW w:w="6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Incurred During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Cumulative</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Incurred During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Three</w:t>
            </w:r>
          </w:p>
        </w:tc>
        <w:tc>
          <w:tcPr>
            <w:tcW w:w="22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Costs Incurred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390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6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Quarters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Estimated</w:t>
            </w: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April 1,</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April 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April 1,</w:t>
            </w:r>
          </w:p>
        </w:tc>
        <w:tc>
          <w:tcPr>
            <w:tcW w:w="13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Additional Costs</w:t>
            </w: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Costs Expected</w:t>
            </w:r>
          </w:p>
        </w:tc>
      </w:t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2011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to be Incurred</w:t>
            </w:r>
          </w:p>
        </w:tc>
        <w:tc>
          <w:tcPr>
            <w:tcW w:w="3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r>
      <w:tr>
        <w:trPr>
          <w:trHeight w:val="142"/>
        </w:trPr>
        <w:tc>
          <w:tcPr>
            <w:tcW w:w="3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Total Costs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Total Costs</w:t>
            </w:r>
          </w:p>
        </w:tc>
        <w:tc>
          <w:tcPr>
            <w:tcW w:w="6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Cumulative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Incurred During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Three</w:t>
            </w:r>
          </w:p>
        </w:tc>
        <w:tc>
          <w:tcPr>
            <w:tcW w:w="118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86"/>
              </w:rPr>
              <w:t>Costs Incurred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64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Quarters 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Through</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r>
      <w:tr>
        <w:trPr>
          <w:trHeight w:val="149"/>
        </w:trPr>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April 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April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April 1,</w:t>
            </w:r>
          </w:p>
        </w:tc>
        <w:tc>
          <w:tcPr>
            <w:tcW w:w="6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 Costs</w:t>
            </w:r>
          </w:p>
        </w:tc>
        <w:tc>
          <w:tcPr>
            <w:tcW w:w="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Costs Expected</w:t>
            </w:r>
          </w:p>
        </w:tc>
      </w:tr>
      <w:tr>
        <w:trPr>
          <w:trHeight w:val="161"/>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2011</w:t>
            </w:r>
          </w:p>
        </w:tc>
        <w:tc>
          <w:tcPr>
            <w:tcW w:w="62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to be Incurred</w:t>
            </w:r>
          </w:p>
        </w:tc>
        <w:tc>
          <w:tcPr>
            <w:tcW w:w="3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22"/>
        </w:trPr>
        <w:tc>
          <w:tcPr>
            <w:tcW w:w="3080" w:type="dxa"/>
            <w:vAlign w:val="bottom"/>
          </w:tcPr>
          <w:p>
            <w:pPr>
              <w:spacing w:after="0"/>
              <w:rPr>
                <w:sz w:val="19"/>
                <w:szCs w:val="19"/>
                <w:color w:val="auto"/>
              </w:rPr>
            </w:pP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2011 Plan</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456"/>
        <w:spacing w:after="0" w:line="255" w:lineRule="auto"/>
        <w:rPr>
          <w:sz w:val="20"/>
          <w:szCs w:val="20"/>
          <w:color w:val="auto"/>
        </w:rPr>
      </w:pPr>
      <w:r>
        <w:rPr>
          <w:rFonts w:ascii="Arial" w:cs="Arial" w:eastAsia="Arial" w:hAnsi="Arial"/>
          <w:sz w:val="18"/>
          <w:szCs w:val="18"/>
          <w:color w:val="auto"/>
        </w:rPr>
        <w:t>During the third quarter and first three quarters of fiscal 2011, our severance and benefits charges under the Fiscal 2011 Plan for North America segment related to reductions in force for the downsizing of the Morrisville, North Carolina office, as well as reductions in force in Canada of their finance, human resources, IT and engineering functions. For the first three quarters of fiscal 2011, the severance and benefit charges also related to reductions in force activities resulting from the sale of our NetBoss assets. The severance and benefits for International segment related primarily to reductions in global sales personnel during the third and first three quarters of fiscal 2011.</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Facilities and other charges in the third and first three quarters of fiscal 2011 included obligations under non-cancelable leases for facilities that we ceased to use at the Morrisville, North Carolina office upon the permanent downsizing of that office.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to incur further costs to complete the initiatives of the Fiscal 2011 Plan which include, but are not limited to, the consolidation of most of our finance function to our California headquarters and the reallocation of research and development resources among our facilities in the United States, Slovenia and New Zealand.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Plan</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during the first three quarters of fiscal 2011, we continued restructuring activities that commenced during fiscal 2009 to reduce our workforce in the U.S., France, Canada and other locations throughout the world (the “Fiscal 2009 Plan”). These activities primarily consisted of outsourcing our San Antonio manufacturing operations to a third party in Austin, Texas. The following table summarizes our costs incurred during current periods and through April 1, 2011, estimated additional costs to be incurred and estimated total costs expected to be incurred under the Fiscal 2009 Plan: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Total Costs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Total Costs</w:t>
            </w:r>
          </w:p>
        </w:tc>
        <w:tc>
          <w:tcPr>
            <w:tcW w:w="3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Incurred During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Cumulative</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Three</w:t>
            </w:r>
          </w:p>
        </w:tc>
        <w:tc>
          <w:tcPr>
            <w:tcW w:w="2240" w:type="dxa"/>
            <w:vAlign w:val="bottom"/>
            <w:gridSpan w:val="4"/>
          </w:tcPr>
          <w:p>
            <w:pPr>
              <w:ind w:left="680"/>
              <w:spacing w:after="0" w:line="149" w:lineRule="exact"/>
              <w:rPr>
                <w:sz w:val="20"/>
                <w:szCs w:val="20"/>
                <w:color w:val="auto"/>
              </w:rPr>
            </w:pPr>
            <w:r>
              <w:rPr>
                <w:rFonts w:ascii="Arial" w:cs="Arial" w:eastAsia="Arial" w:hAnsi="Arial"/>
                <w:sz w:val="14"/>
                <w:szCs w:val="14"/>
                <w:b w:val="1"/>
                <w:bCs w:val="1"/>
                <w:color w:val="auto"/>
              </w:rPr>
              <w:t>Costs Incurred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390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3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Quarters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Estimated</w:t>
            </w: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April 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April 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April 1,</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 Costs</w:t>
            </w:r>
          </w:p>
        </w:tc>
        <w:tc>
          <w:tcPr>
            <w:tcW w:w="3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Costs Expected</w:t>
            </w:r>
          </w:p>
        </w:tc>
      </w:t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2011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to be Incurred</w:t>
            </w:r>
          </w:p>
        </w:tc>
        <w:tc>
          <w:tcPr>
            <w:tcW w:w="3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r>
      <w:tr>
        <w:trPr>
          <w:trHeight w:val="142"/>
        </w:trPr>
        <w:tc>
          <w:tcPr>
            <w:tcW w:w="3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2009 Plan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the third quarter and first three quarters of fiscal 2011, our restructuring charges related to the Fiscal 2009 Plan primarily consisted of the severance and benefits charges for reductions in force in our San Antonio manufacturing facilities and costs related to facility lease obligation adjustments.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3" w:right="239" w:bottom="1440" w:gutter="0" w:footer="0" w:header="0"/>
        </w:sectPr>
      </w:pPr>
    </w:p>
    <w:bookmarkStart w:id="11" w:name="page12"/>
    <w:bookmarkEnd w:id="11"/>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our Fiscal 2009 Plan to restructure and transition our North America manufacturing operations and global supply chain operations to be completed by the end of fiscal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in the following table summarizes our restructuring activities during the first three quarters of fiscal 2011 and restructuring liability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1, 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Benefits</w:t>
            </w:r>
          </w:p>
        </w:tc>
        <w:tc>
          <w:tcPr>
            <w:tcW w:w="3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81"/>
              </w:rPr>
              <w:t>(In</w:t>
            </w:r>
          </w:p>
        </w:tc>
        <w:tc>
          <w:tcPr>
            <w:tcW w:w="8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July 2, 2010</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Provision related to Fiscal 2011 Plan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Provision related to Fiscal 2009 Plan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Cash payments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April 1, 2011</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Current restructuring liability</w:t>
            </w: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restructuring liability</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Our share-based compensation expense associated with stock options, restricted stock awards and units, and performance share awards and units is recorded in the following cost and expense categories for the quarter and three quarters ended April 1, 2011 and April 2, 2010:</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Quarter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Quarters Ended</w:t>
            </w:r>
          </w:p>
        </w:tc>
      </w:tr>
      <w:tr>
        <w:trPr>
          <w:trHeight w:val="129"/>
        </w:trPr>
        <w:tc>
          <w:tcPr>
            <w:tcW w:w="650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April 1,</w:t>
            </w: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April 2,</w:t>
            </w:r>
          </w:p>
        </w:tc>
        <w:tc>
          <w:tcPr>
            <w:tcW w:w="620" w:type="dxa"/>
            <w:vAlign w:val="bottom"/>
          </w:tcPr>
          <w:p>
            <w:pPr>
              <w:spacing w:after="0"/>
              <w:rPr>
                <w:sz w:val="11"/>
                <w:szCs w:val="11"/>
                <w:color w:val="auto"/>
              </w:rPr>
            </w:pPr>
          </w:p>
        </w:tc>
        <w:tc>
          <w:tcPr>
            <w:tcW w:w="118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April 1,</w:t>
            </w: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r>
      <w:tr>
        <w:trPr>
          <w:trHeight w:val="161"/>
        </w:trPr>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2010</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jc w:val="right"/>
              <w:ind w:right="319"/>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first three quarters of fiscal 2011, we granted options to purchase 1,232,273 shares of our common stock, 507,259 shares of restricted stock, 50,296 shares of restricted stock units, 877,127 shares of performance share awards, and 202,802 shares of performance share units to employees under our 2007 Stock Equity Plan. In August 2010, our Board of Directors approved a New Product Development Incentive Plan (“PDIP”) to make a one-time grant of performance share awards and units to employees related to several product development projects. During the second quarter of fiscal 2011, we granted 414,156 shares of performance share awards and 152,506 shares of performance share units under the PDIP, of which 187,466 shares of performance share awards and 105,711 shares of performance share units were vested upon achievement of a new product development milestone during the second and third quarters of fiscal 2011. The PDIP performance shares were awarded under our 2007 Stock Equity Plan.</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fair value of each share subject to an option grant was estimated on the date of grant using the Black-Scholes-Merton option-pricing model based on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Quarter Ended</w:t>
            </w:r>
          </w:p>
        </w:tc>
        <w:tc>
          <w:tcPr>
            <w:tcW w:w="19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April 1,</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2,</w:t>
            </w:r>
          </w:p>
        </w:tc>
        <w:tc>
          <w:tcPr>
            <w:tcW w:w="70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92"/>
              </w:rPr>
              <w:t>April 1,</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April 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22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4"/>
                <w:szCs w:val="14"/>
                <w:color w:val="auto"/>
              </w:rPr>
            </w:pPr>
          </w:p>
        </w:tc>
        <w:tc>
          <w:tcPr>
            <w:tcW w:w="460" w:type="dxa"/>
            <w:vAlign w:val="bottom"/>
          </w:tcPr>
          <w:p>
            <w:pPr>
              <w:jc w:val="right"/>
              <w:ind w:right="18"/>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540" w:type="dxa"/>
            <w:vAlign w:val="bottom"/>
          </w:tcPr>
          <w:p>
            <w:pPr>
              <w:jc w:val="right"/>
              <w:ind w:right="58"/>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940" w:type="dxa"/>
            <w:vAlign w:val="bottom"/>
            <w:gridSpan w:val="3"/>
          </w:tcPr>
          <w:p>
            <w:pPr>
              <w:jc w:val="right"/>
              <w:ind w:right="540"/>
              <w:spacing w:after="0"/>
              <w:rPr>
                <w:sz w:val="20"/>
                <w:szCs w:val="20"/>
                <w:color w:val="auto"/>
              </w:rPr>
            </w:pPr>
            <w:r>
              <w:rPr>
                <w:rFonts w:ascii="Arial" w:cs="Arial" w:eastAsia="Arial" w:hAnsi="Arial"/>
                <w:sz w:val="18"/>
                <w:szCs w:val="18"/>
                <w:color w:val="auto"/>
              </w:rPr>
              <w:t>64.8%</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61.9%</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63.7%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1.58%</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2.44%</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4.49</w:t>
            </w:r>
          </w:p>
        </w:tc>
        <w:tc>
          <w:tcPr>
            <w:tcW w:w="7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4.35</w:t>
            </w: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per option on date of grant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$ 3.33</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7"/>
              </w:rPr>
              <w:t>$  2.41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each performance share is based on the closing price of our common stock on the date of grant and is amortized to compensation expense over its vesting period, if achievement of the performance conditions is considered probable.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12" w:name="page13"/>
    <w:bookmarkEnd w:id="12"/>
    <w:p>
      <w:pPr>
        <w:ind w:right="3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third quarter and first three quarters of fiscal 2011, we recorded share-based compensation expense of $0.3 million and $1.2 million, respectively, related to performance shares made under our new product development incentive plan. For performance share awards made under our fiscal year 2010 Long-Term Incentive Plan, we determined that the three-year cash flow target would probably not be achieved at the end of fiscal 2012. Accordingly, we recorded a credit to compensation expense of $0.4 million related to these awards during the second quarter of fiscal 2011.</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second and third quarters of fiscal 2010, we determined that the three-year performance period minimum threshold target for income from operations would not be achieved for performance share awards made under our fiscal year 2009 Long-Term Incentive Plan. The three-year performance period for these awards ends on July 1, 2011. As of the end of the second and third quarter of fiscal 2010, we estimated that 60% and 100%, respectively, of these awards will not vest and will be forfeited as of July 1, 2011. Accordingly, we recorded a credit to compensation expense of $0.3 million and $0.7 million, respectively, during the quarter and three quarters ended April 2, 2010 related to these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Major Customer and Business Segments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During the third quarter and first three quarters of fiscal 2011, none of our customers accounted for 10% or more of revenue. During the third quarter and first three quarters of fiscal 2010, MTN group in Africa (“MTN”) accounted for 28% and 15% of our total revenue, respectively. MTN is an affiliated group of separate regional carriers and operators located in Africa.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operating loss by segment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712"/>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Three Quarters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April 1,</w:t>
            </w: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April 2,</w:t>
            </w:r>
          </w:p>
        </w:tc>
        <w:tc>
          <w:tcPr>
            <w:tcW w:w="50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rPr>
              <w:t>April 1,</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right"/>
              <w:ind w:right="277"/>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2240" w:type="dxa"/>
            <w:vAlign w:val="bottom"/>
            <w:gridSpan w:val="2"/>
          </w:tcPr>
          <w:p>
            <w:pPr>
              <w:ind w:left="21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216.1</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2240" w:type="dxa"/>
            <w:vAlign w:val="bottom"/>
            <w:gridSpan w:val="2"/>
          </w:tcPr>
          <w:p>
            <w:pPr>
              <w:ind w:left="21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115.5</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117.0</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334.6</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Segment Operating (Loss) Income: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North America (1)</w:t>
            </w:r>
          </w:p>
        </w:tc>
        <w:tc>
          <w:tcPr>
            <w:tcW w:w="22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9"/>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ind w:left="440"/>
              <w:spacing w:after="0"/>
              <w:rPr>
                <w:sz w:val="20"/>
                <w:szCs w:val="20"/>
                <w:color w:val="auto"/>
              </w:rPr>
            </w:pPr>
            <w:r>
              <w:rPr>
                <w:rFonts w:ascii="Arial" w:cs="Arial" w:eastAsia="Arial" w:hAnsi="Arial"/>
                <w:sz w:val="18"/>
                <w:szCs w:val="18"/>
                <w:color w:val="auto"/>
              </w:rPr>
              <w:t>International (2)</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7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9"/>
              </w:rPr>
              <w:t>(25.8)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North America segment operating results during the third quarter and first three quarters of fiscal 2011 and fiscal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Quarters Ended</w:t>
            </w:r>
          </w:p>
        </w:tc>
      </w:tr>
      <w:tr>
        <w:trPr>
          <w:trHeight w:val="129"/>
        </w:trPr>
        <w:tc>
          <w:tcPr>
            <w:tcW w:w="6740" w:type="dxa"/>
            <w:vAlign w:val="bottom"/>
          </w:tcPr>
          <w:p>
            <w:pPr>
              <w:spacing w:after="0"/>
              <w:rPr>
                <w:sz w:val="11"/>
                <w:szCs w:val="11"/>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April 1,</w:t>
            </w:r>
          </w:p>
        </w:tc>
        <w:tc>
          <w:tcPr>
            <w:tcW w:w="5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8"/>
              </w:rPr>
              <w:t>April 2,</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620"/>
              <w:spacing w:after="0" w:line="129" w:lineRule="exact"/>
              <w:rPr>
                <w:sz w:val="20"/>
                <w:szCs w:val="20"/>
                <w:color w:val="auto"/>
              </w:rPr>
            </w:pPr>
            <w:r>
              <w:rPr>
                <w:rFonts w:ascii="Arial" w:cs="Arial" w:eastAsia="Arial" w:hAnsi="Arial"/>
                <w:sz w:val="14"/>
                <w:szCs w:val="14"/>
                <w:b w:val="1"/>
                <w:bCs w:val="1"/>
                <w:color w:val="auto"/>
              </w:rPr>
              <w:t>April 1,</w:t>
            </w: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r>
      <w:tr>
        <w:trPr>
          <w:trHeight w:val="161"/>
        </w:trPr>
        <w:tc>
          <w:tcPr>
            <w:tcW w:w="6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6"/>
              </w:rPr>
              <w:t>2011</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right"/>
              <w:ind w:right="236"/>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Excess and obsolete inventory associated with legacy products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16.9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non-recurring charges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International segment operating results during the third quarter and first three quarters of fiscal 2011 and fiscal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Quarters Ended</w:t>
            </w:r>
          </w:p>
        </w:tc>
      </w:tr>
      <w:tr>
        <w:trPr>
          <w:trHeight w:val="129"/>
        </w:trPr>
        <w:tc>
          <w:tcPr>
            <w:tcW w:w="646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640"/>
              <w:spacing w:after="0" w:line="129" w:lineRule="exact"/>
              <w:rPr>
                <w:sz w:val="20"/>
                <w:szCs w:val="20"/>
                <w:color w:val="auto"/>
              </w:rPr>
            </w:pPr>
            <w:r>
              <w:rPr>
                <w:rFonts w:ascii="Arial" w:cs="Arial" w:eastAsia="Arial" w:hAnsi="Arial"/>
                <w:sz w:val="14"/>
                <w:szCs w:val="14"/>
                <w:b w:val="1"/>
                <w:bCs w:val="1"/>
                <w:color w:val="auto"/>
                <w:w w:val="88"/>
              </w:rPr>
              <w:t>April 1,</w:t>
            </w: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April 2,</w:t>
            </w:r>
          </w:p>
        </w:tc>
        <w:tc>
          <w:tcPr>
            <w:tcW w:w="640" w:type="dxa"/>
            <w:vAlign w:val="bottom"/>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1,</w:t>
            </w:r>
          </w:p>
        </w:tc>
        <w:tc>
          <w:tcPr>
            <w:tcW w:w="6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2010</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right"/>
              <w:ind w:right="317"/>
              <w:spacing w:after="0" w:line="142" w:lineRule="exact"/>
              <w:rPr>
                <w:sz w:val="20"/>
                <w:szCs w:val="20"/>
                <w:color w:val="auto"/>
              </w:rPr>
            </w:pPr>
            <w:r>
              <w:rPr>
                <w:rFonts w:ascii="Arial" w:cs="Arial" w:eastAsia="Arial" w:hAnsi="Arial"/>
                <w:sz w:val="14"/>
                <w:szCs w:val="14"/>
                <w:b w:val="1"/>
                <w:bCs w:val="1"/>
                <w:color w:val="auto"/>
                <w:w w:val="99"/>
              </w:rPr>
              <w:t>(In millions)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100" w:type="dxa"/>
            <w:vAlign w:val="bottom"/>
          </w:tcPr>
          <w:p>
            <w:pPr>
              <w:spacing w:after="0"/>
              <w:rPr>
                <w:sz w:val="18"/>
                <w:szCs w:val="18"/>
                <w:color w:val="auto"/>
              </w:rPr>
            </w:pP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00" w:type="dxa"/>
            <w:vAlign w:val="bottom"/>
          </w:tcPr>
          <w:p>
            <w:pPr>
              <w:spacing w:after="0"/>
              <w:rPr>
                <w:sz w:val="18"/>
                <w:szCs w:val="18"/>
                <w:color w:val="auto"/>
              </w:rPr>
            </w:pP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Other non-recurring charges</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3</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12. Income Taxes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determination of our provision for income taxes for the third quarter and first three quarters of fiscal 2011 of $15.2 million and $15.0 million, and benefits from income taxes for the third quarter and first three quarters of fiscal 2010 of $3.9 million and $1.6 million, respectively, was primarily based on our estimated annual effective tax rate adjusted for losses in separate jurisdictions for which no tax benefit can be recognized. The fiscal 2011 tax provision was primarily due to an increase in the valuation allowance for Singapore deferred tax assets. During the third quarter of fiscal 2011, we concluded that it was more likely than not that we will not realize the deferred tax assets in Singapore and therefore we recorded a valuation allowance on the entire $11.3 million balance of our Singapore deferred tax assets as of July 2, 2010. In addition, we recorded a $4.6 million one-time tax expense to reverse deferred tax assets recorded in the first two quarters of fiscal 2011 since no tax benefit can be recognized on current losses in Singapore. 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2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As of July 2, 2010 and April 1, 2011, we had a liability for unrecognized tax benefits of $14.9 million and $15.9 million, respectively, for various federal, foreign, and state income tax matters. The liability for unrecognized tax benefits has increased during the third quarter and first three quarters of fiscal 2011 in the amount of $0.3 million and $1 million, respectively. If the unrecognized tax benefits associated with these positions are ultimately recognized they would not be expected to have a material impact on our effective tax rate or financial position due to the full valuation allowance of our US and Singapore deferred tax assets.</w:t>
      </w:r>
    </w:p>
    <w:p>
      <w:pPr>
        <w:spacing w:after="0" w:line="9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no additional amount for such interest during the first three quarters of fiscal 2011 and fiscal 2010. No penalties have been accrued on any of the unrecognized tax benefits.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w:t>
      </w:r>
    </w:p>
    <w:p>
      <w:pPr>
        <w:spacing w:after="0" w:line="132"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We have a number of years with open tax audits which vary from jurisdiction to jurisdiction. Our major tax jurisdictions include the U.S., Singapore, Poland, Nigeria, France and the U.K. The earliest years still open and subject to potential audits for these jurisdictions are as follows: Singapore — 2006; Poland</w:t>
      </w:r>
    </w:p>
    <w:p>
      <w:pPr>
        <w:ind w:right="60"/>
        <w:spacing w:after="0" w:line="255" w:lineRule="auto"/>
        <w:rPr>
          <w:sz w:val="20"/>
          <w:szCs w:val="20"/>
          <w:color w:val="auto"/>
        </w:rPr>
      </w:pPr>
      <w:r>
        <w:rPr>
          <w:rFonts w:ascii="Arial" w:cs="Arial" w:eastAsia="Arial" w:hAnsi="Arial"/>
          <w:sz w:val="18"/>
          <w:szCs w:val="18"/>
          <w:color w:val="auto"/>
        </w:rPr>
        <w:t>— 2004; Nigeria — 2004; France — 2006; and U.K — 2006. As of April 1, 2011, we are under audit by the U.S. Internal Revenue Service for the fiscal year 2008 tax return. Because of net operating loss carryforwards that remain subject to audit, the Company is, in effect, open for U.S. exam for years back to 1993. In current quarter, an audit began in Nigeria for our 2004 through 2009 tax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 of Assets and Liabilities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3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5" w:right="239" w:bottom="1440" w:gutter="0" w:footer="0" w:header="0"/>
        </w:sectPr>
      </w:pPr>
    </w:p>
    <w:bookmarkStart w:id="14" w:name="page15"/>
    <w:bookmarkEnd w:id="14"/>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carrying amounts, estimated fair values and valuation input levels of our financial assets and financial liabilities as of April 1, 2011 and July 2, 2010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2"/>
              </w:rPr>
              <w:t>April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87"/>
              </w:rPr>
              <w:t>July 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9"/>
        </w:trPr>
        <w:tc>
          <w:tcPr>
            <w:tcW w:w="76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37.1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60.4</w:t>
            </w:r>
          </w:p>
        </w:tc>
        <w:tc>
          <w:tcPr>
            <w:tcW w:w="3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58.5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81.3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preference shares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cash equivalents consist primarily of shares in prime money market funds purchased from two major financial institutions. As of April 1, 2011 and July 2, 2010, these money market shares were valued at $1.00 net asset value per share by these financial institutions.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Foreign currency forward contracts are valued using an income approach for the remaining term of the contract based on forward market rates less the contract rate multiplied by the notional amount.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amortized cost of short-term debt approximates fair value due to the variable interest rate under the arrangement applicable to such debt.</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valued our redeemable preference shares at face value as of April 1, 2011 and July 2, 2010 due to the existence of a put option one of the holders has with our former majority shareholder Harris, our current intent not to redeem these shares before their stated termination date and the non-existence of a market for comparable financial instruments.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third and first three quarters of fiscal 2011, we had no transfers between levels of the fair value hierarchy of our assets or liabilities measured at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Risk Management, Derivative Financial Instruments and Hedging Activities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or issue derivatives for trading purposes or make speculative investments in foreign currencies.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undesignated hedges of recorded balance sheet positions are recognized immediately in cost of product sales on the consolidated statements of operations together with the transaction gain or loss from the hedged balance sheet position.</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Substantially all derivatives outstanding as of April 1, 2011 are designated as cash flow hedges or non-designated hedges of recorded balance sheet positions. All derivatives are recognized on the balance sheet at their fair value. The total notional amount of outstanding derivatives as of April 1, 2011 was $52.3 million, of which $9.2 million were designated as cash flow hedges and $43.2 million were not designated as cash flow hedging instruments.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April 1, 2011, we had 51 foreign currency forward contracts outstanding with a total net notional amount of $21.1 million consisting of 14 different currencies, primarily the Euro, Philippine peso, Polish zloty, Singapore dollar and Republic of South Africa rand.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by currency of the contract net notional amounts grouped by the underlying foreign currency as of April 1,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Contract Amount</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(Local Currency)</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(USD,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Euro (“EUR”) net contracts to receive (pay) USD</w:t>
            </w:r>
          </w:p>
        </w:tc>
        <w:tc>
          <w:tcPr>
            <w:tcW w:w="1560" w:type="dxa"/>
            <w:vAlign w:val="bottom"/>
            <w:shd w:val="clear" w:color="auto" w:fill="CCEEFF"/>
          </w:tcPr>
          <w:p>
            <w:pPr>
              <w:jc w:val="right"/>
              <w:ind w:right="940"/>
              <w:spacing w:after="0"/>
              <w:rPr>
                <w:sz w:val="20"/>
                <w:szCs w:val="20"/>
                <w:color w:val="auto"/>
              </w:rPr>
            </w:pPr>
            <w:r>
              <w:rPr>
                <w:rFonts w:ascii="Arial" w:cs="Arial" w:eastAsia="Arial" w:hAnsi="Arial"/>
                <w:sz w:val="18"/>
                <w:szCs w:val="18"/>
                <w:color w:val="auto"/>
              </w:rPr>
              <w:t>(EUR)</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1560" w:type="dxa"/>
            <w:vAlign w:val="bottom"/>
          </w:tcPr>
          <w:p>
            <w:pPr>
              <w:jc w:val="right"/>
              <w:ind w:right="940"/>
              <w:spacing w:after="0"/>
              <w:rPr>
                <w:sz w:val="20"/>
                <w:szCs w:val="20"/>
                <w:color w:val="auto"/>
              </w:rPr>
            </w:pPr>
            <w:r>
              <w:rPr>
                <w:rFonts w:ascii="Arial" w:cs="Arial" w:eastAsia="Arial" w:hAnsi="Arial"/>
                <w:sz w:val="18"/>
                <w:szCs w:val="18"/>
                <w:color w:val="auto"/>
              </w:rPr>
              <w:t>(PHP)</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(184.9)</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Polish zloty (“PLN”) net contracts to receive (pay) USD</w:t>
            </w:r>
          </w:p>
        </w:tc>
        <w:tc>
          <w:tcPr>
            <w:tcW w:w="1560" w:type="dxa"/>
            <w:vAlign w:val="bottom"/>
            <w:shd w:val="clear" w:color="auto" w:fill="CCEEFF"/>
          </w:tcPr>
          <w:p>
            <w:pPr>
              <w:jc w:val="right"/>
              <w:ind w:right="940"/>
              <w:spacing w:after="0"/>
              <w:rPr>
                <w:sz w:val="20"/>
                <w:szCs w:val="20"/>
                <w:color w:val="auto"/>
              </w:rPr>
            </w:pPr>
            <w:r>
              <w:rPr>
                <w:rFonts w:ascii="Arial" w:cs="Arial" w:eastAsia="Arial" w:hAnsi="Arial"/>
                <w:sz w:val="18"/>
                <w:szCs w:val="18"/>
                <w:color w:val="auto"/>
              </w:rPr>
              <w:t>(PLN)</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Singapore dollar (“SGD”) net contracts to receive (pay) USD</w:t>
            </w:r>
          </w:p>
        </w:tc>
        <w:tc>
          <w:tcPr>
            <w:tcW w:w="1560" w:type="dxa"/>
            <w:vAlign w:val="bottom"/>
          </w:tcPr>
          <w:p>
            <w:pPr>
              <w:jc w:val="right"/>
              <w:ind w:right="940"/>
              <w:spacing w:after="0"/>
              <w:rPr>
                <w:sz w:val="20"/>
                <w:szCs w:val="20"/>
                <w:color w:val="auto"/>
              </w:rPr>
            </w:pPr>
            <w:r>
              <w:rPr>
                <w:rFonts w:ascii="Arial" w:cs="Arial" w:eastAsia="Arial" w:hAnsi="Arial"/>
                <w:sz w:val="18"/>
                <w:szCs w:val="18"/>
                <w:color w:val="auto"/>
              </w:rPr>
              <w:t>(SGD)</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1560" w:type="dxa"/>
            <w:vAlign w:val="bottom"/>
            <w:shd w:val="clear" w:color="auto" w:fill="CCEEFF"/>
          </w:tcPr>
          <w:p>
            <w:pPr>
              <w:jc w:val="right"/>
              <w:ind w:right="940"/>
              <w:spacing w:after="0"/>
              <w:rPr>
                <w:sz w:val="20"/>
                <w:szCs w:val="20"/>
                <w:color w:val="auto"/>
              </w:rPr>
            </w:pPr>
            <w:r>
              <w:rPr>
                <w:rFonts w:ascii="Arial" w:cs="Arial" w:eastAsia="Arial" w:hAnsi="Arial"/>
                <w:sz w:val="18"/>
                <w:szCs w:val="18"/>
                <w:color w:val="auto"/>
              </w:rPr>
              <w:t>(ZAR)</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of all currencies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following table presents the fair value of derivative instruments included within our Consolidated Balance Sheet as of April 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94"/>
              </w:rPr>
              <w:t>Asset Derivatives</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w w:val="98"/>
              </w:rPr>
              <w:t>Liability Derivatives</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720" w:type="dxa"/>
            <w:vAlign w:val="bottom"/>
          </w:tcPr>
          <w:p>
            <w:pPr>
              <w:spacing w:after="0"/>
              <w:rPr>
                <w:sz w:val="12"/>
                <w:szCs w:val="12"/>
                <w:color w:val="auto"/>
              </w:rPr>
            </w:pPr>
          </w:p>
        </w:tc>
        <w:tc>
          <w:tcPr>
            <w:tcW w:w="21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78"/>
              </w:rPr>
              <w:t>(In millions)</w:t>
            </w:r>
          </w:p>
        </w:tc>
        <w:tc>
          <w:tcPr>
            <w:tcW w:w="17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8"/>
                <w:szCs w:val="18"/>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Other current liabilities</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7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Income (Loss), the amounts transferred from Other Comprehensive Income (Loss) and recorded in Revenue and Cost of Products Sold, and the amounts associated with excluded time value and hedge ineffectiveness during the third quarter and first three quarters of fiscal 2011 and fiscal 2010:</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Three Quarters Ended</w:t>
            </w: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April 1,</w:t>
            </w:r>
          </w:p>
        </w:tc>
        <w:tc>
          <w:tcPr>
            <w:tcW w:w="4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April 2,</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rPr>
              <w:t>April 1,</w:t>
            </w: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Locations of Losses Recorded From Derivatives Designated as Cash Flow Hedges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8"/>
              <w:spacing w:after="0"/>
              <w:rPr>
                <w:sz w:val="20"/>
                <w:szCs w:val="20"/>
                <w:color w:val="auto"/>
              </w:rPr>
            </w:pPr>
            <w:r>
              <w:rPr>
                <w:rFonts w:ascii="Arial" w:cs="Arial" w:eastAsia="Arial" w:hAnsi="Arial"/>
                <w:sz w:val="14"/>
                <w:szCs w:val="14"/>
                <w:b w:val="1"/>
                <w:bCs w:val="1"/>
                <w:color w:val="auto"/>
                <w:w w:val="76"/>
              </w:rPr>
              <w:t>2011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2010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58"/>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298"/>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income (loss) of effective hedges recognized in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820" w:type="dxa"/>
            <w:vAlign w:val="bottom"/>
            <w:gridSpan w:val="2"/>
          </w:tcPr>
          <w:p>
            <w:pPr>
              <w:spacing w:after="0"/>
              <w:rPr>
                <w:sz w:val="20"/>
                <w:szCs w:val="20"/>
                <w:color w:val="auto"/>
              </w:rPr>
            </w:pPr>
            <w:r>
              <w:rPr>
                <w:rFonts w:ascii="Arial" w:cs="Arial" w:eastAsia="Arial" w:hAnsi="Arial"/>
                <w:sz w:val="18"/>
                <w:szCs w:val="18"/>
                <w:color w:val="auto"/>
              </w:rPr>
              <w:t>Amount of income (loss) of effective hedges reclassified from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Comprehensive Income (Loss) into:</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440"/>
              <w:spacing w:after="0"/>
              <w:rPr>
                <w:sz w:val="20"/>
                <w:szCs w:val="20"/>
                <w:color w:val="auto"/>
              </w:rPr>
            </w:pPr>
            <w:r>
              <w:rPr>
                <w:rFonts w:ascii="Arial" w:cs="Arial" w:eastAsia="Arial" w:hAnsi="Arial"/>
                <w:sz w:val="18"/>
                <w:szCs w:val="18"/>
                <w:color w:val="auto"/>
              </w:rPr>
              <w:t>Cost of Products Sold</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Amount recorded into Cost of Products Sold associated with excluded time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w w:val="99"/>
              </w:rPr>
              <w:t>Amount recorded into Cost of Products Sold due to hedge ineffectiveness</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April 1, 2011, hedged transactions included our customer and intercompany backlog and outstanding purchase commitments denominated primarily in the Euro, Philippine peso, Polish zloty, Singapore dollar and Republic of South Africa rand. We hedge up to 100% of anticipated exposures typically one to three months in advance, but have hedged as much as six months in advance. We generally review our exposures twice each month and adjust the amount of derivatives outstanding as needed.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63" w:right="359" w:bottom="1440" w:gutter="0" w:footer="0" w:header="0"/>
        </w:sectPr>
      </w:pPr>
    </w:p>
    <w:bookmarkStart w:id="16" w:name="page17"/>
    <w:bookmarkEnd w:id="16"/>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derivative designated as a hedge of a forecasted transaction is carried at fair value with the effective portion of the derivative’s fair value recorded in other comprehensive income or loss and subsequently recognized in earnings in the same period or periods the hedged transaction affects earnings. Any ineffective or excluded portion of a derivative’s gain or loss is recorded in earnings as it occurs.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product sales, respectively, when the underlying hedged transaction is recorded.</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April 1, 2011, we had $0.1 million of deferred net losses on both outstanding and matured derivatives accumulated in other comprehensive loss that are expected to be reclassified to net income or loss during the next twelve months as a result of underlying hedged transactions also being recorded in net income or loss. Actual amounts ultimately reclassified to net income or loss will be dependent on the exchange rates in effect when derivative contracts that are currently outstanding mature. As of April 1, 2011, the maximum term over which we are hedging our cash flow exposures is six months.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non-designated hedge, if it is still outstanding at the time the determination is made.</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product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total notional amount of outstanding derivatives as of April 1, 2011 not designated as cash flow hedging instruments was $43.2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third quarter and first three quarters of fiscal 2011 and fiscal 2010, we recorded in cost of products sold the following amount of net losses recorded on non-designated hedges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1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Quarters Ended</w:t>
            </w:r>
          </w:p>
        </w:tc>
      </w:tr>
      <w:tr>
        <w:trPr>
          <w:trHeight w:val="129"/>
        </w:trPr>
        <w:tc>
          <w:tcPr>
            <w:tcW w:w="5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April 1,</w:t>
            </w: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2,</w:t>
            </w:r>
          </w:p>
        </w:tc>
        <w:tc>
          <w:tcPr>
            <w:tcW w:w="54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2"/>
              </w:rPr>
              <w:t>April 1,</w:t>
            </w: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April 2,</w:t>
            </w:r>
          </w:p>
        </w:tc>
        <w:tc>
          <w:tcPr>
            <w:tcW w:w="100" w:type="dxa"/>
            <w:vAlign w:val="bottom"/>
          </w:tcPr>
          <w:p>
            <w:pPr>
              <w:spacing w:after="0"/>
              <w:rPr>
                <w:sz w:val="11"/>
                <w:szCs w:val="11"/>
                <w:color w:val="auto"/>
              </w:rPr>
            </w:pPr>
          </w:p>
        </w:tc>
      </w:tr>
      <w:tr>
        <w:trPr>
          <w:trHeight w:val="161"/>
        </w:trPr>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Gain (losses) on foreign exchange forward contracts</w:t>
            </w:r>
          </w:p>
        </w:tc>
        <w:tc>
          <w:tcPr>
            <w:tcW w:w="2240" w:type="dxa"/>
            <w:vAlign w:val="bottom"/>
            <w:gridSpan w:val="3"/>
          </w:tcPr>
          <w:p>
            <w:pPr>
              <w:ind w:left="1480"/>
              <w:spacing w:after="0"/>
              <w:rPr>
                <w:sz w:val="20"/>
                <w:szCs w:val="20"/>
                <w:color w:val="auto"/>
              </w:rPr>
            </w:pPr>
            <w:r>
              <w:rPr>
                <w:rFonts w:ascii="Arial" w:cs="Arial" w:eastAsia="Arial" w:hAnsi="Arial"/>
                <w:sz w:val="18"/>
                <w:szCs w:val="18"/>
                <w:color w:val="auto"/>
              </w:rPr>
              <w:t>$ (0.8)</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 —</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  (2.0)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   (1.6)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Proceedings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and certain of our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On July 27, 2010, the Court denied the motions to dismiss that we and the officer and director defendants had filed. On September 9, 2010, we and the officer and director defendants filed an answer denying the material allegations of the consolidated class action complaint. We intend to defend our interests in the litigation vigorously.</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of our former executive officers and directors were named in a complaint filed on March 17, 2011 in the United States District Court for the District of Delaware by plaintiff Sandra J. Cutler Living Trust. Plaintiff purports to bring this action derivatively on behalf of the Company, which is named as a nominal defendant. Plaintiff brings a claim for breach of fiduciary duty against the officer and director defendants based on the allegations of securities law violations alleged in the class action described above and seeks to recover unspecified damages and other relief on behalf of the Company, as well as payment of costs and attorneys fees. We intend to defend our interests in the litigation vigorously.</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“anticipates,” “projects,” “targets,” “goals,” “seeing,” “delivering,” “continues,” “forecasts,” “future,” “predict,” “might,” “could,” “potential,” or the negative of these terms, and similar words or expressions.</w:t>
      </w:r>
    </w:p>
    <w:p>
      <w:pPr>
        <w:spacing w:after="0" w:line="12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90" w:lineRule="exact"/>
        <w:rPr>
          <w:rFonts w:ascii="Arial" w:cs="Arial" w:eastAsia="Arial" w:hAnsi="Arial"/>
          <w:sz w:val="18"/>
          <w:szCs w:val="18"/>
          <w:i w:val="1"/>
          <w:iCs w:val="1"/>
          <w:color w:val="auto"/>
        </w:rPr>
      </w:pPr>
    </w:p>
    <w:p>
      <w:pPr>
        <w:ind w:left="900" w:hanging="446"/>
        <w:spacing w:after="0" w:line="268" w:lineRule="auto"/>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 such as the recent natural disasters in Japan;</w:t>
      </w:r>
    </w:p>
    <w:p>
      <w:pPr>
        <w:spacing w:after="0" w:line="5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90" w:lineRule="exact"/>
        <w:rPr>
          <w:rFonts w:ascii="Arial" w:cs="Arial" w:eastAsia="Arial" w:hAnsi="Arial"/>
          <w:sz w:val="18"/>
          <w:szCs w:val="18"/>
          <w:i w:val="1"/>
          <w:iCs w:val="1"/>
          <w:color w:val="auto"/>
        </w:rPr>
      </w:pPr>
    </w:p>
    <w:p>
      <w:pPr>
        <w:ind w:left="900" w:hanging="446"/>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Annual Report on Form 10-K for more information regarding factors that may cause our results to differ materially from those expressed or implied by the forward-looking statements contained in this Quarterly Report on Form 10-Q.</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March 2011, our board of directors approved a plan for the sale of our WiMAX business and we engaged an investment bank to market the sale of WiMAX business. We expect the sale to be completed within one year from April 1, 2011. In making the decision, we considered WiMAX business’ history of operating losses, lower than anticipated sales volume and additional investment required to achieve competitive technology, product functionality and manufacturing costs and to increase selling, marketing and distribution efforts. This decision resulted from an effort to complete the strategic plan to streamline the business and focus our time and resources on growing our core microwave business to better position us for long-term success.</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During the quarter ended April 1, 2011, we began accounting for WiMAX business as a discontinued operation. We have reclassified WiMAX business’ operating results for all prior periods presented to loss from discontinued operations in our condensed consolidated statements of operations. The discussions on our revenue, gross margin, operating expenses and income taxes have excluded WiMAX business results, which are discussed separately.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third quarter and first three quarters of fiscal 2011 include:</w:t>
      </w:r>
    </w:p>
    <w:p>
      <w:pPr>
        <w:spacing w:after="0" w:line="90" w:lineRule="exact"/>
        <w:rPr>
          <w:sz w:val="20"/>
          <w:szCs w:val="20"/>
          <w:color w:val="auto"/>
        </w:rPr>
      </w:pPr>
    </w:p>
    <w:p>
      <w:pPr>
        <w:ind w:left="900" w:right="3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loss was $36.9 million, or $0.63 per common share, in the third quarter of fiscal 2011 compared with a net loss of $25.7 million, or $0.43 per common share, in the third quarter of fiscal 2010. Net loss was $70.7 million, or $1.21 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left="92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share, in the first three quarters of fiscal 2011 compared with a net loss of $41.4 million, or $0.71 per common share, in the first three quarters of fiscal 2010.</w:t>
      </w:r>
    </w:p>
    <w:p>
      <w:pPr>
        <w:spacing w:after="0" w:line="51" w:lineRule="exact"/>
        <w:rPr>
          <w:sz w:val="20"/>
          <w:szCs w:val="20"/>
          <w:color w:val="auto"/>
        </w:rPr>
      </w:pPr>
    </w:p>
    <w:p>
      <w:pPr>
        <w:ind w:left="900" w:right="16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from discontinued operations was $11.4 million, or $0.19 per common share, in the third quarter of fiscal 2011 compared with a loss of $3.2 million, or $0.05 per common share, in the third quarter of fiscal 2010. Loss from discontinued operations was $19.5 million, or $0.33 per common share, in the first three quarters of fiscal 2011 compared with a loss of $11.5 million, or $0.20 per common share, in the first three quarters of fiscal 2010.</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slightly decreased 1.3% to $115.5 million in the third quarter of fiscal 2011 compared with $117.0 million in the third quarter of fiscal 2010. Revenue decrease 6.1% to $334.6 million in the first three quarters of fiscal 2011 compared with $356.2 million in the first three quarters of fiscal 2010.</w:t>
      </w:r>
    </w:p>
    <w:p>
      <w:pPr>
        <w:spacing w:after="0" w:line="59" w:lineRule="exact"/>
        <w:rPr>
          <w:rFonts w:ascii="Arial" w:cs="Arial" w:eastAsia="Arial" w:hAnsi="Arial"/>
          <w:sz w:val="18"/>
          <w:szCs w:val="18"/>
          <w:color w:val="auto"/>
        </w:rPr>
      </w:pPr>
    </w:p>
    <w:p>
      <w:pPr>
        <w:jc w:val="both"/>
        <w:ind w:left="900" w:right="10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North America segment revenue increased 7.6% to $42.5 million and the segment recorded an operating loss of $8.1 million in the third quarter of fiscal 2011 compared with an operating loss of $22.2 million in the third quarter of fiscal 2010; The segment revenue decreased 13.4% to $118.5 million in the first three quarters of fiscal 2011 compared with $136.8 million in the first three quarters of 2010.</w:t>
      </w:r>
    </w:p>
    <w:p>
      <w:pPr>
        <w:spacing w:after="0" w:line="25" w:lineRule="exact"/>
        <w:rPr>
          <w:rFonts w:ascii="Arial" w:cs="Arial" w:eastAsia="Arial" w:hAnsi="Arial"/>
          <w:sz w:val="16"/>
          <w:szCs w:val="16"/>
          <w:color w:val="auto"/>
        </w:rPr>
      </w:pPr>
    </w:p>
    <w:p>
      <w:pPr>
        <w:ind w:left="900" w:right="4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International segment revenue decreased 5.8% to $73.0 million and the segment recorded an operating loss of $2.0 million in the third quarter of fiscal 2011 compared with an operating loss of $3.6 million in the third quarter of fiscal 2010; The International revenue decreased by 1.5% to $216.1 million in the first three quarters of fiscal 2011 compared with $219.4 million in the first three quarters of 2010.</w:t>
      </w:r>
    </w:p>
    <w:p>
      <w:pPr>
        <w:spacing w:after="0" w:line="25"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used year to date in operating activities was $45.4 million through the end of the third quarter of fiscal 2011 compared with net cash provided in operating activities of $21.8 million during the first three quarters of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 by region comparing the third quarter and first three quarters of fiscal 2011 with the periods of fiscal 2010 and the related changes are shown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5"/>
              </w:rPr>
              <w:t>Three Quarters Ended</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April 1,</w:t>
            </w:r>
          </w:p>
        </w:tc>
        <w:tc>
          <w:tcPr>
            <w:tcW w:w="2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April 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44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60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6"/>
              </w:rPr>
              <w:t>April 1,</w:t>
            </w:r>
          </w:p>
        </w:tc>
        <w:tc>
          <w:tcPr>
            <w:tcW w:w="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April 2,</w:t>
            </w:r>
          </w:p>
        </w:tc>
        <w:tc>
          <w:tcPr>
            <w:tcW w:w="74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4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2011</w:t>
            </w:r>
          </w:p>
        </w:tc>
        <w:tc>
          <w:tcPr>
            <w:tcW w:w="280" w:type="dxa"/>
            <w:vAlign w:val="bottom"/>
          </w:tcPr>
          <w:p>
            <w:pPr>
              <w:spacing w:after="0"/>
              <w:rPr>
                <w:sz w:val="14"/>
                <w:szCs w:val="14"/>
                <w:color w:val="auto"/>
              </w:rPr>
            </w:pPr>
          </w:p>
        </w:tc>
        <w:tc>
          <w:tcPr>
            <w:tcW w:w="480" w:type="dxa"/>
            <w:vAlign w:val="bottom"/>
          </w:tcPr>
          <w:p>
            <w:pPr>
              <w:jc w:val="right"/>
              <w:ind w:right="4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480" w:type="dxa"/>
            <w:vAlign w:val="bottom"/>
            <w:gridSpan w:val="2"/>
            <w:shd w:val="clear" w:color="auto" w:fill="CCEEFF"/>
          </w:tcPr>
          <w:p>
            <w:pPr>
              <w:ind w:left="14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$ 39.5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$ 118.5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136.8</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1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Europe, Middle East and Russia</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23.6</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50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and Asia Pacific</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(10.5)%</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(5.8)%</w:t>
            </w: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88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80" w:type="dxa"/>
            <w:vAlign w:val="bottom"/>
            <w:gridSpan w:val="2"/>
            <w:shd w:val="clear" w:color="auto" w:fill="CCEEFF"/>
          </w:tcPr>
          <w:p>
            <w:pPr>
              <w:ind w:left="140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334.6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general business trends of strong price competition for new business in all regions and major customer consolidations continued to put pressure on revenue and gross margin in the third quarter of fiscal 2011. We continued to see pricing pressures in all markets, particularly where we compete for the business of large, carrier customers, especially in the Europe, Middle East and Russia (“EMER”) and Africa regions. In these markets we continued to see customer consolidation through mergers or acquisitions, leading to fewer, but larger customers. In those cases, vendors vigorously compete to retain market share, often resulting in significant price erosion. In North America, price competition for the large carrier business was as intense as in other markets. In order to counter pricing pressures, we continued to invest in product improvements to reduce unit costs and continued to negotiate favorable pricing with our suppliers.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Third quarter revenue decreased 1.5 million, or 1.3%, compared with the third quarter of fiscal 2010. North America revenue increased 7.6% in the third quarter of fiscal 2011 compared with the same period a year ago. This increase was led by our current product platform, and is an indicator that we are gaining traction in the transition of our customer base to this new product platform from our legacy products which are reaching the end of life. Third quarter revenue in the International segment was down $4.5 million or 5.8% compared with the same period a year ago, primarily due to a non-recurring large order from a customer in Africa in the third quarter of fiscal 2010. Business in Latin America and the Asia Pacific region was up 30% compared with the prior year, which partially offset the decline in Africa.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three quarters of fiscal 2011, the overall revenue was down $21.6 million, or 6.1%, compared with the same period in fiscal 2010. This decline principally occurred in the North America segment, and was the result of product transition to our current product platform from our legacy products. Our International segment decreased 1.5% compared with the same period of fiscal 2010. That decline resulted from significantly reduced sales in Africa and Asia Pacific, mostly because of lower prices, although a substantial increase in business from customers in Russia partially offset that decline.</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third quarter and first three quarters of fiscal 2011, none of our customers accounted for 10% or more of revenue. During the third quarter and first three quarters of fiscal 2010, MTN group in Africa accounted for 28% and 15%, of total revenue, respectively. MTN is an affiliated group of separate regional carriers and operators located in Africa.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loss in the third quarter of fiscal 2011 was $10.1 million compared with an operating loss of $25.8 million in the same period of fiscal 2010.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in the first three quarters of fiscal year 2011 was $30.4 million compared with an operating loss of $30.1 million in the same period of fiscal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charges were included in the Company’s operating loss during these periods and are set forth on a comparative basis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2"/>
              </w:rPr>
              <w:t>Quarter Ended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Three Quarters Ended</w:t>
            </w:r>
          </w:p>
        </w:tc>
      </w:tr>
      <w:tr>
        <w:trPr>
          <w:trHeight w:val="129"/>
        </w:trPr>
        <w:tc>
          <w:tcPr>
            <w:tcW w:w="5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April 1,</w:t>
            </w: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April 2,</w:t>
            </w:r>
          </w:p>
        </w:tc>
        <w:tc>
          <w:tcPr>
            <w:tcW w:w="50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April 1,</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April 2,</w:t>
            </w:r>
          </w:p>
        </w:tc>
        <w:tc>
          <w:tcPr>
            <w:tcW w:w="620" w:type="dxa"/>
            <w:vAlign w:val="bottom"/>
            <w:tcBorders>
              <w:top w:val="single" w:sz="8" w:color="auto"/>
            </w:tcBorders>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r>
      <w:tr>
        <w:trPr>
          <w:trHeight w:val="161"/>
        </w:trPr>
        <w:tc>
          <w:tcPr>
            <w:tcW w:w="57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3.7</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$ 13.4</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16.9</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16.9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associated with legacy products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(0.7)</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identifiable intangible assets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Amortization of purchased technology</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non-recurring charges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(0.5)</w:t>
            </w:r>
          </w:p>
        </w:tc>
      </w:tr>
      <w:tr>
        <w:trPr>
          <w:trHeight w:val="27"/>
        </w:trPr>
        <w:tc>
          <w:tcPr>
            <w:tcW w:w="5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22.6</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(12.6)</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$ 24.3</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35.3</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(11.2)</w:t>
            </w:r>
          </w:p>
        </w:tc>
      </w:tr>
      <w:tr>
        <w:trPr>
          <w:trHeight w:val="20"/>
        </w:trPr>
        <w:tc>
          <w:tcPr>
            <w:tcW w:w="5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Restructuring charges in the third and first three quarters of both fiscal years included severance and benefit charges and facilities costs related to the Company’s Fiscal 2011 and Fiscal 2009 Restructuring Plans.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third quarter of fiscal 2011, the Company incurred a charge of $3.3 million related to provisions for product excess and obsolete inventory associated with the end of life of our legacy products.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third quarter of fiscal 2010, the Company incurred $16.9 million of charges to converge our products onto a single platform. These charges included $7.9 million related to provisions for legacy product excess and obsolete inventory.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Amortization of intangible assets and purchased technology decreased in fiscal 2011 periods compared with fiscal 2010 periods due to lower intangible asset balances in fiscal 2011 resulting from impairment charges recorded in the fourth quarter of fiscal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3"/>
              </w:rPr>
              <w:t>Three Quarters Ended</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1"/>
                <w:szCs w:val="11"/>
                <w:color w:val="auto"/>
              </w:rPr>
            </w:pPr>
          </w:p>
        </w:tc>
        <w:tc>
          <w:tcPr>
            <w:tcW w:w="7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2"/>
              </w:rPr>
              <w:t>April 2,</w:t>
            </w:r>
          </w:p>
        </w:tc>
        <w:tc>
          <w:tcPr>
            <w:tcW w:w="600" w:type="dxa"/>
            <w:vAlign w:val="bottom"/>
            <w:gridSpan w:val="2"/>
          </w:tcPr>
          <w:p>
            <w:pPr>
              <w:jc w:val="right"/>
              <w:ind w:right="14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44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74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6"/>
              </w:rPr>
              <w:t>April 1,</w:t>
            </w:r>
          </w:p>
        </w:tc>
        <w:tc>
          <w:tcPr>
            <w:tcW w:w="140" w:type="dxa"/>
            <w:vAlign w:val="bottom"/>
          </w:tcPr>
          <w:p>
            <w:pPr>
              <w:spacing w:after="0"/>
              <w:rPr>
                <w:sz w:val="11"/>
                <w:szCs w:val="11"/>
                <w:color w:val="auto"/>
              </w:rPr>
            </w:pPr>
          </w:p>
        </w:tc>
        <w:tc>
          <w:tcPr>
            <w:tcW w:w="7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April 2,</w:t>
            </w:r>
          </w:p>
        </w:tc>
        <w:tc>
          <w:tcPr>
            <w:tcW w:w="58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115.5</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$117.0</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334.6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 (21.6)</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238.0</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26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(20.9)</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w w:val="97"/>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$ 97.3</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(0.7)</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of revenue</w:t>
            </w:r>
          </w:p>
        </w:tc>
        <w:tc>
          <w:tcPr>
            <w:tcW w:w="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general business trends of strong price competition for new business in all regions and major customer consolidations continue to put pressure on gross margin. Compared with the third quarter of fiscal 2010, our gross margin increased $14.3 million, or 82.7%, in the same period of fiscal 2011. Cost of product sales in North America segment for the third quarter of fiscal 2011 included a charge of $3.3 million, or 2.9% of revenue, related to provisions for excess and obsolete inventory associated with the end of life of our legacy products. Cost of product sales in North America segment for the third quarter of fiscal year 2010 included a charge of $16.9 million, or 14.4% of revenue, to converge our products onto a single platform, of which $7.9 million related to provisions for excess and obsolete inventory. Exclusive of these charges, the gross margin in North America segment improved in the third quarter of fiscal 2011 due to increased volumes, as well as improved gross margin coming from the transition to our new product line in this market. International segment gross margins declined during the same period due to continuing competitive price pressure in most markets.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Compared with the first three quarters of fiscal 2010, our gross margin as a percentage of revenue increased in the same period of fiscal 2011. Fiscal 2011 included a charge of $3.3 million, or 1.0% of revenue, related to provisions for excess and obsolete inventory associated with the end of life of our legacy products. Fiscal 2010 included a charge of $16.9 million, or 4.7% of revenue, to converge our products onto a single platform. Fiscal 2011 gross margin reflected continued pricing pressures in all markets, particularly where we compete for the business of large, carrier customers, especially in the EMER and Africa regions. In these markets we continue to see customer consolidation through mergers or acquisitions, leading to fewer, but larger customers. In those cases, vendors vigorously compete to retain market share, often resulting in significant price erosion. In North America, we find price competition for the large carrier business as intense as we do in other markets. In order to counter pricing pressures, we continue to invest in product improvements to reduce unit costs and to negotiate favorable pricing with our suppliers.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we shifted the manufacturing of our products primarily to contract manufacturers and planned to complete the transfer by the end of fiscal 2011. Accordingly, the costs associated with our internal operations organization are now expensed as incurred. Gross margin in the first three quarters of fiscal 2011 was negatively impacted by the immediate expensing of $6.0 million of such costs in the first quarter of fiscal 2011. During the second quarter of fiscal 2011, due to the closing of a facility by a contract manufacturer, we chose to bring final assembly of our current products for North America into our own facility temporarily while we continued to work on transfer of these activities to another contract manufacturer. We intend to have this final assembly activity transitioned to a new contract manufacturer by the end of fiscal 2011.</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Amortization of purchased technology was included in cost of product sales and services. Amortization expenses decreased $1.6 million and $5.0 million, respectively, in the third and first three quarters of fiscal 2011 compared with same fiscal 2010 periods due to lower intangible asset balances in fiscal 2011 resulting from impairment charges recorded in the fourth quarter of fiscal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Quarters Ended</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98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April 2,</w:t>
            </w:r>
          </w:p>
        </w:tc>
        <w:tc>
          <w:tcPr>
            <w:tcW w:w="56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74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6"/>
              </w:rPr>
              <w:t>April 1,</w:t>
            </w:r>
          </w:p>
        </w:tc>
        <w:tc>
          <w:tcPr>
            <w:tcW w:w="140" w:type="dxa"/>
            <w:vAlign w:val="bottom"/>
          </w:tcPr>
          <w:p>
            <w:pPr>
              <w:spacing w:after="0"/>
              <w:rPr>
                <w:sz w:val="11"/>
                <w:szCs w:val="11"/>
                <w:color w:val="auto"/>
              </w:rPr>
            </w:pPr>
          </w:p>
        </w:tc>
        <w:tc>
          <w:tcPr>
            <w:tcW w:w="7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April 2,</w:t>
            </w:r>
          </w:p>
        </w:tc>
        <w:tc>
          <w:tcPr>
            <w:tcW w:w="58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498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115.5</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$117.0</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(1.5)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334.6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(21.6)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600" w:type="dxa"/>
            <w:vAlign w:val="bottom"/>
            <w:gridSpan w:val="2"/>
          </w:tcPr>
          <w:p>
            <w:pPr>
              <w:jc w:val="center"/>
              <w:ind w:left="32"/>
              <w:spacing w:after="0"/>
              <w:rPr>
                <w:sz w:val="20"/>
                <w:szCs w:val="20"/>
                <w:color w:val="auto"/>
              </w:rPr>
            </w:pPr>
            <w:r>
              <w:rPr>
                <w:rFonts w:ascii="Arial" w:cs="Arial" w:eastAsia="Arial" w:hAnsi="Arial"/>
                <w:sz w:val="18"/>
                <w:szCs w:val="18"/>
                <w:color w:val="auto"/>
              </w:rPr>
              <w:t>$  7.6</w:t>
            </w:r>
          </w:p>
        </w:tc>
        <w:tc>
          <w:tcPr>
            <w:tcW w:w="280" w:type="dxa"/>
            <w:vAlign w:val="bottom"/>
          </w:tcPr>
          <w:p>
            <w:pPr>
              <w:spacing w:after="0"/>
              <w:rPr>
                <w:sz w:val="18"/>
                <w:szCs w:val="18"/>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color w:val="auto"/>
              </w:rPr>
              <w:t>$  2.3</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$ 23.6</w:t>
            </w:r>
          </w:p>
        </w:tc>
        <w:tc>
          <w:tcPr>
            <w:tcW w:w="26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w w:val="97"/>
              </w:rPr>
              <w:t>$  7.2</w:t>
            </w: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increase in research and development expenses in both the third quarter and first three quarters of fiscal 2011 compared with the same periods in fiscal 2010 was due primarily to investments in new product innovation by increasing headcount in our core business, and an increase in share-based compensation related to the performance share vestings that occurred upon the achievement of new product development milestones.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Selling and Administrative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Quarters Ended</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98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April 2,</w:t>
            </w:r>
          </w:p>
        </w:tc>
        <w:tc>
          <w:tcPr>
            <w:tcW w:w="56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74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6"/>
              </w:rPr>
              <w:t>April 1,</w:t>
            </w:r>
          </w:p>
        </w:tc>
        <w:tc>
          <w:tcPr>
            <w:tcW w:w="140" w:type="dxa"/>
            <w:vAlign w:val="bottom"/>
          </w:tcPr>
          <w:p>
            <w:pPr>
              <w:spacing w:after="0"/>
              <w:rPr>
                <w:sz w:val="11"/>
                <w:szCs w:val="11"/>
                <w:color w:val="auto"/>
              </w:rPr>
            </w:pPr>
          </w:p>
        </w:tc>
        <w:tc>
          <w:tcPr>
            <w:tcW w:w="7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April 2,</w:t>
            </w:r>
          </w:p>
        </w:tc>
        <w:tc>
          <w:tcPr>
            <w:tcW w:w="58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498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30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115.5</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$117.0</w:t>
            </w: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(1.5)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334.6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(21.6)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Selling and administrative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600" w:type="dxa"/>
            <w:vAlign w:val="bottom"/>
            <w:gridSpan w:val="2"/>
          </w:tcPr>
          <w:p>
            <w:pPr>
              <w:jc w:val="center"/>
              <w:ind w:left="32"/>
              <w:spacing w:after="0"/>
              <w:rPr>
                <w:sz w:val="20"/>
                <w:szCs w:val="20"/>
                <w:color w:val="auto"/>
              </w:rPr>
            </w:pPr>
            <w:r>
              <w:rPr>
                <w:rFonts w:ascii="Arial" w:cs="Arial" w:eastAsia="Arial" w:hAnsi="Arial"/>
                <w:sz w:val="18"/>
                <w:szCs w:val="18"/>
                <w:color w:val="auto"/>
                <w:w w:val="95"/>
              </w:rPr>
              <w:t>$ 33.5</w:t>
            </w:r>
          </w:p>
        </w:tc>
        <w:tc>
          <w:tcPr>
            <w:tcW w:w="280" w:type="dxa"/>
            <w:vAlign w:val="bottom"/>
          </w:tcPr>
          <w:p>
            <w:pPr>
              <w:spacing w:after="0"/>
              <w:rPr>
                <w:sz w:val="18"/>
                <w:szCs w:val="18"/>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color w:val="auto"/>
              </w:rPr>
              <w:t>$ (6.8)</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$ 96.4</w:t>
            </w:r>
          </w:p>
        </w:tc>
        <w:tc>
          <w:tcPr>
            <w:tcW w:w="260" w:type="dxa"/>
            <w:vAlign w:val="bottom"/>
          </w:tcPr>
          <w:p>
            <w:pPr>
              <w:spacing w:after="0"/>
              <w:rPr>
                <w:sz w:val="18"/>
                <w:szCs w:val="18"/>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 (15.7)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been engaged in expense reduction throughout fiscal 2011. In the third quarter and first three quarters of fiscal 2011, our selling and administrative expenses were $6.8 million and $15.7 million, respectively, lower than they were in the same periods in the previous year. These reductions resulted primarily from decreased personnel expenses because of reductions in force, and decreased spending on rebranding and information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Quarters Ended</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April 1,</w:t>
            </w:r>
          </w:p>
        </w:tc>
        <w:tc>
          <w:tcPr>
            <w:tcW w:w="12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April 2,</w:t>
            </w:r>
          </w:p>
        </w:tc>
        <w:tc>
          <w:tcPr>
            <w:tcW w:w="580" w:type="dxa"/>
            <w:vAlign w:val="bottom"/>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April 1,</w:t>
            </w:r>
          </w:p>
        </w:tc>
        <w:tc>
          <w:tcPr>
            <w:tcW w:w="1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April 2,</w:t>
            </w:r>
          </w:p>
        </w:tc>
        <w:tc>
          <w:tcPr>
            <w:tcW w:w="46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532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480" w:type="dxa"/>
            <w:vAlign w:val="bottom"/>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1"/>
              </w:rPr>
              <w:t>Change</w:t>
            </w:r>
          </w:p>
        </w:tc>
        <w:tc>
          <w:tcPr>
            <w:tcW w:w="2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480" w:type="dxa"/>
            <w:vAlign w:val="bottom"/>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5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(10.3)</w:t>
            </w: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 (26.4)</w:t>
            </w:r>
          </w:p>
        </w:tc>
        <w:tc>
          <w:tcPr>
            <w:tcW w:w="8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$ 16.1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(61.0)%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(36.2)</w:t>
            </w: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(31.5)</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(4.7)</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14.9%</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gridSpan w:val="2"/>
          </w:tcPr>
          <w:p>
            <w:pPr>
              <w:spacing w:after="0"/>
              <w:rPr>
                <w:sz w:val="20"/>
                <w:szCs w:val="20"/>
                <w:color w:val="auto"/>
              </w:rPr>
            </w:pPr>
            <w:r>
              <w:rPr>
                <w:rFonts w:ascii="Arial" w:cs="Arial" w:eastAsia="Arial" w:hAnsi="Arial"/>
                <w:sz w:val="18"/>
                <w:szCs w:val="18"/>
                <w:color w:val="auto"/>
              </w:rPr>
              <w:t>$ 15.2</w:t>
            </w:r>
          </w:p>
        </w:tc>
        <w:tc>
          <w:tcPr>
            <w:tcW w:w="760" w:type="dxa"/>
            <w:vAlign w:val="bottom"/>
            <w:gridSpan w:val="3"/>
          </w:tcPr>
          <w:p>
            <w:pPr>
              <w:ind w:left="120"/>
              <w:spacing w:after="0"/>
              <w:rPr>
                <w:sz w:val="20"/>
                <w:szCs w:val="20"/>
                <w:color w:val="auto"/>
              </w:rPr>
            </w:pPr>
            <w:r>
              <w:rPr>
                <w:rFonts w:ascii="Arial" w:cs="Arial" w:eastAsia="Arial" w:hAnsi="Arial"/>
                <w:sz w:val="18"/>
                <w:szCs w:val="18"/>
                <w:color w:val="auto"/>
              </w:rPr>
              <w:t>$ (3.9)</w:t>
            </w:r>
          </w:p>
        </w:tc>
        <w:tc>
          <w:tcPr>
            <w:tcW w:w="8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$ 19.1</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N/M</w:t>
            </w:r>
          </w:p>
        </w:tc>
        <w:tc>
          <w:tcPr>
            <w:tcW w:w="480" w:type="dxa"/>
            <w:vAlign w:val="bottom"/>
          </w:tcPr>
          <w:p>
            <w:pPr>
              <w:spacing w:after="0"/>
              <w:rPr>
                <w:sz w:val="20"/>
                <w:szCs w:val="20"/>
                <w:color w:val="auto"/>
              </w:rPr>
            </w:pPr>
            <w:r>
              <w:rPr>
                <w:rFonts w:ascii="Arial" w:cs="Arial" w:eastAsia="Arial" w:hAnsi="Arial"/>
                <w:sz w:val="18"/>
                <w:szCs w:val="18"/>
                <w:color w:val="auto"/>
                <w:w w:val="91"/>
              </w:rPr>
              <w:t>$ 15.0</w:t>
            </w:r>
          </w:p>
        </w:tc>
        <w:tc>
          <w:tcPr>
            <w:tcW w:w="140" w:type="dxa"/>
            <w:vAlign w:val="bottom"/>
          </w:tcPr>
          <w:p>
            <w:pPr>
              <w:spacing w:after="0"/>
              <w:rPr>
                <w:sz w:val="19"/>
                <w:szCs w:val="19"/>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 (1.6)</w:t>
            </w:r>
          </w:p>
        </w:tc>
        <w:tc>
          <w:tcPr>
            <w:tcW w:w="760" w:type="dxa"/>
            <w:vAlign w:val="bottom"/>
            <w:gridSpan w:val="2"/>
          </w:tcPr>
          <w:p>
            <w:pPr>
              <w:spacing w:after="0"/>
              <w:rPr>
                <w:sz w:val="20"/>
                <w:szCs w:val="20"/>
                <w:color w:val="auto"/>
              </w:rPr>
            </w:pPr>
            <w:r>
              <w:rPr>
                <w:rFonts w:ascii="Arial" w:cs="Arial" w:eastAsia="Arial" w:hAnsi="Arial"/>
                <w:sz w:val="18"/>
                <w:szCs w:val="18"/>
                <w:color w:val="auto"/>
              </w:rPr>
              <w:t>$ 16.6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determination of our provision for income taxes for the third quarter and first three quarters of fiscal 2011 and fiscal 2010 was primarily based on our estimated annual effective tax rate adjusted for losses in separate jurisdictions for which no tax benefit can be recognized. The provision for income taxes for the third quarter of fiscal 2011 primarily consisted of an $11.3 million increase in the valuation allowance for Singapore deferred tax assets as of July 2, 2010 and a $4.6 million reversal of tax benefits recorded in the first two quarters of fiscal 2011 in association with the increase of Singapore valuation allowance. The provision for income taxes for the first three quarters of fiscal 2011 primarily consisted of an $11.3 million increase in the valuation allowance for Singapore deferred tax assets. The increase in the valuation allowance in Singapore was based on our analysis of evidence in the third quarter, and was determined in the reforecasting process that the future income on which the asset was based had changed.</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Discussion of Business Segment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Quarters Ended</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4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April 2,</w:t>
            </w:r>
          </w:p>
        </w:tc>
        <w:tc>
          <w:tcPr>
            <w:tcW w:w="560" w:type="dxa"/>
            <w:vAlign w:val="bottom"/>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6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April 1,</w:t>
            </w:r>
          </w:p>
        </w:tc>
        <w:tc>
          <w:tcPr>
            <w:tcW w:w="14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April 2,</w:t>
            </w:r>
          </w:p>
        </w:tc>
        <w:tc>
          <w:tcPr>
            <w:tcW w:w="60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44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76"/>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1"/>
              </w:rPr>
              <w:t>Change</w:t>
            </w:r>
          </w:p>
        </w:tc>
        <w:tc>
          <w:tcPr>
            <w:tcW w:w="30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r>
      <w:tr>
        <w:trPr>
          <w:trHeight w:val="20"/>
        </w:trPr>
        <w:tc>
          <w:tcPr>
            <w:tcW w:w="3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42.5</w:t>
            </w:r>
          </w:p>
        </w:tc>
        <w:tc>
          <w:tcPr>
            <w:tcW w:w="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$ 39.5</w:t>
            </w:r>
          </w:p>
        </w:tc>
        <w:tc>
          <w:tcPr>
            <w:tcW w:w="8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7"/>
              </w:rPr>
              <w:t>$  3.0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$118.5</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$136.8</w:t>
            </w:r>
          </w:p>
        </w:tc>
        <w:tc>
          <w:tcPr>
            <w:tcW w:w="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(18.3)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780" w:type="dxa"/>
            <w:vAlign w:val="bottom"/>
            <w:gridSpan w:val="3"/>
          </w:tcPr>
          <w:p>
            <w:pPr>
              <w:ind w:left="120"/>
              <w:spacing w:after="0"/>
              <w:rPr>
                <w:sz w:val="20"/>
                <w:szCs w:val="20"/>
                <w:color w:val="auto"/>
              </w:rPr>
            </w:pPr>
            <w:r>
              <w:rPr>
                <w:rFonts w:ascii="Arial" w:cs="Arial" w:eastAsia="Arial" w:hAnsi="Arial"/>
                <w:sz w:val="18"/>
                <w:szCs w:val="18"/>
                <w:color w:val="auto"/>
              </w:rPr>
              <w:t>$ (22.2)</w:t>
            </w:r>
          </w:p>
        </w:tc>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$ 14.1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(63.5)%</w:t>
            </w:r>
          </w:p>
        </w:tc>
        <w:tc>
          <w:tcPr>
            <w:tcW w:w="660" w:type="dxa"/>
            <w:vAlign w:val="bottom"/>
            <w:gridSpan w:val="2"/>
          </w:tcPr>
          <w:p>
            <w:pPr>
              <w:spacing w:after="0"/>
              <w:rPr>
                <w:sz w:val="20"/>
                <w:szCs w:val="20"/>
                <w:color w:val="auto"/>
              </w:rPr>
            </w:pPr>
            <w:r>
              <w:rPr>
                <w:rFonts w:ascii="Arial" w:cs="Arial" w:eastAsia="Arial" w:hAnsi="Arial"/>
                <w:sz w:val="18"/>
                <w:szCs w:val="18"/>
                <w:color w:val="auto"/>
              </w:rPr>
              <w:t>$ (18.4)</w:t>
            </w: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 (34.1)</w:t>
            </w:r>
          </w:p>
        </w:tc>
        <w:tc>
          <w:tcPr>
            <w:tcW w:w="900" w:type="dxa"/>
            <w:vAlign w:val="bottom"/>
            <w:gridSpan w:val="3"/>
          </w:tcPr>
          <w:p>
            <w:pPr>
              <w:ind w:left="120"/>
              <w:spacing w:after="0"/>
              <w:rPr>
                <w:sz w:val="20"/>
                <w:szCs w:val="20"/>
                <w:color w:val="auto"/>
              </w:rPr>
            </w:pPr>
            <w:r>
              <w:rPr>
                <w:rFonts w:ascii="Arial" w:cs="Arial" w:eastAsia="Arial" w:hAnsi="Arial"/>
                <w:sz w:val="18"/>
                <w:szCs w:val="18"/>
                <w:color w:val="auto"/>
              </w:rPr>
              <w:t>$ 15.7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(46.1)%</w:t>
            </w:r>
          </w:p>
        </w:tc>
      </w:tr>
    </w:tbl>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North America revenue increased 7.6% in the third quarter of fiscal 2011 compared with the same period a year ago. This increase was led by our current product platform, and is an indicator that we are gaining traction in the transition of our customer base from our legacy products which are reaching end of life to this new product platform. North America revenue decreased 13.4% in the first three quarters of fiscal 2011 compared with the same period a year ago. The year to date decline is primarily from reduced sales of our legacy product lines when compared with fiscal 2010 in the first half of the fiscal year. While we continued last time buy activity in those product lines during fiscal 2011, we are also in the process of transitioning our North America customers to our current product. Many of our customers are now completing their first deployments of the current product. We expect orders for this line of products to increase in future periods as market acceptance gains traction.</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North America segment operating loss for the third quarter and first three quarters of fiscal 2011 included $3.3 million and $10.2 million, respectively, of restructuring charges, $3.3 million each of provisions for excess and obsolete inventories, $0.9 million and $2.6 million, respectively, for amortization of developed technology and intangibles, and $1.0 million and $2.5 million, respectively, for share-based compensation.</w:t>
      </w:r>
    </w:p>
    <w:p>
      <w:pPr>
        <w:spacing w:after="0" w:line="10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North America segment operating loss for the third quarter and first three quarters of fiscal 2010 included $16.9 million each for product transition charges, $2.8 million and $6.1 million, respectively, for amortization of developed technology and intangibles, $0.5 million and $2.0 million, respectively, of restructuring charges, and $0.3 million and $1.7 million, respectively, for share-based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Quarters Ended</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1"/>
                <w:szCs w:val="11"/>
                <w:color w:val="auto"/>
              </w:rPr>
            </w:pPr>
          </w:p>
        </w:tc>
        <w:tc>
          <w:tcPr>
            <w:tcW w:w="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April 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6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April 1,</w:t>
            </w:r>
          </w:p>
        </w:tc>
        <w:tc>
          <w:tcPr>
            <w:tcW w:w="14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2"/>
              </w:rPr>
              <w:t>April 2,</w:t>
            </w:r>
          </w:p>
        </w:tc>
        <w:tc>
          <w:tcPr>
            <w:tcW w:w="76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44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9"/>
              <w:spacing w:after="0"/>
              <w:rPr>
                <w:sz w:val="20"/>
                <w:szCs w:val="20"/>
                <w:color w:val="auto"/>
              </w:rPr>
            </w:pPr>
            <w:r>
              <w:rPr>
                <w:rFonts w:ascii="Arial" w:cs="Arial" w:eastAsia="Arial" w:hAnsi="Arial"/>
                <w:sz w:val="14"/>
                <w:szCs w:val="14"/>
                <w:b w:val="1"/>
                <w:bCs w:val="1"/>
                <w:color w:val="auto"/>
                <w:w w:val="76"/>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1"/>
              </w:rPr>
              <w:t>Change</w:t>
            </w:r>
          </w:p>
        </w:tc>
        <w:tc>
          <w:tcPr>
            <w:tcW w:w="30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64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73.0</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$ 77.5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$216.1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62"/>
              <w:spacing w:after="0"/>
              <w:rPr>
                <w:sz w:val="20"/>
                <w:szCs w:val="20"/>
                <w:color w:val="auto"/>
              </w:rPr>
            </w:pPr>
            <w:r>
              <w:rPr>
                <w:rFonts w:ascii="Arial" w:cs="Arial" w:eastAsia="Arial" w:hAnsi="Arial"/>
                <w:sz w:val="18"/>
                <w:szCs w:val="18"/>
                <w:color w:val="auto"/>
                <w:w w:val="90"/>
              </w:rPr>
              <w:t>$219.4</w:t>
            </w:r>
          </w:p>
        </w:tc>
        <w:tc>
          <w:tcPr>
            <w:tcW w:w="10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(3.3)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900" w:type="dxa"/>
            <w:vAlign w:val="bottom"/>
            <w:gridSpan w:val="2"/>
          </w:tcPr>
          <w:p>
            <w:pPr>
              <w:ind w:left="180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 (3.6)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(46.5%)</w:t>
            </w:r>
          </w:p>
        </w:tc>
        <w:tc>
          <w:tcPr>
            <w:tcW w:w="660" w:type="dxa"/>
            <w:vAlign w:val="bottom"/>
            <w:gridSpan w:val="2"/>
          </w:tcPr>
          <w:p>
            <w:pPr>
              <w:spacing w:after="0"/>
              <w:rPr>
                <w:sz w:val="20"/>
                <w:szCs w:val="20"/>
                <w:color w:val="auto"/>
              </w:rPr>
            </w:pPr>
            <w:r>
              <w:rPr>
                <w:rFonts w:ascii="Arial" w:cs="Arial" w:eastAsia="Arial" w:hAnsi="Arial"/>
                <w:sz w:val="18"/>
                <w:szCs w:val="18"/>
                <w:color w:val="auto"/>
              </w:rPr>
              <w:t>$ (12.0)</w:t>
            </w:r>
          </w:p>
        </w:tc>
        <w:tc>
          <w:tcPr>
            <w:tcW w:w="640" w:type="dxa"/>
            <w:vAlign w:val="bottom"/>
            <w:gridSpan w:val="2"/>
          </w:tcPr>
          <w:p>
            <w:pPr>
              <w:jc w:val="center"/>
              <w:ind w:left="62"/>
              <w:spacing w:after="0"/>
              <w:rPr>
                <w:sz w:val="20"/>
                <w:szCs w:val="20"/>
                <w:color w:val="auto"/>
              </w:rPr>
            </w:pPr>
            <w:r>
              <w:rPr>
                <w:rFonts w:ascii="Arial" w:cs="Arial" w:eastAsia="Arial" w:hAnsi="Arial"/>
                <w:sz w:val="18"/>
                <w:szCs w:val="18"/>
                <w:color w:val="auto"/>
              </w:rPr>
              <w:t>$  4.0</w:t>
            </w:r>
          </w:p>
        </w:tc>
        <w:tc>
          <w:tcPr>
            <w:tcW w:w="1060" w:type="dxa"/>
            <w:vAlign w:val="bottom"/>
            <w:gridSpan w:val="3"/>
          </w:tcPr>
          <w:p>
            <w:pPr>
              <w:ind w:left="280"/>
              <w:spacing w:after="0"/>
              <w:rPr>
                <w:sz w:val="20"/>
                <w:szCs w:val="20"/>
                <w:color w:val="auto"/>
              </w:rPr>
            </w:pPr>
            <w:r>
              <w:rPr>
                <w:rFonts w:ascii="Arial" w:cs="Arial" w:eastAsia="Arial" w:hAnsi="Arial"/>
                <w:sz w:val="18"/>
                <w:szCs w:val="18"/>
                <w:color w:val="auto"/>
              </w:rPr>
              <w:t>$ (16.0)</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International segment revenue decreased $4.5 million or 5.9% in the third quarter of fiscal 2011 compared with the same period a year ago, primarily due to a non-recurring large order from a customer in Africa in the third quarter of fiscal 2010. Business in Latin America and the Asia Pacific region was up 30% compared with the prior year, which partially offset the decline in Africa.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three quarters of fiscal 2011, our International segment revenue decreased $3.3 million or 1.5% when compared with the same period of fiscal 2010. That decline resulted from significantly reduced sales in Africa and Asia Pacific, mostly because of lower prices, although a substantial increase in business from customers in Russia partially offset that decline.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International segment operating loss for the third quarter and first three quarters of fiscal 2011 included $1.1 million and $3.1 million, respectively, of restructuring charges, and $0.3 million and $0.9 million, respectively, for share-based compensation.</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International segment operating loss for the third quarter and first three quarters of fiscal 2010 included $0.3 million and $3.5 million, respectively, for amortization of developed technology and intangibles, and $0.2 million and $1.3 million, respectively, of restructuring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Quarter Ended</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8"/>
              </w:rPr>
              <w:t>Three Quarters Ended</w:t>
            </w:r>
          </w:p>
        </w:tc>
      </w:tr>
      <w:tr>
        <w:trPr>
          <w:trHeight w:val="129"/>
        </w:trPr>
        <w:tc>
          <w:tcPr>
            <w:tcW w:w="7040" w:type="dxa"/>
            <w:vAlign w:val="bottom"/>
          </w:tcPr>
          <w:p>
            <w:pPr>
              <w:spacing w:after="0"/>
              <w:rPr>
                <w:sz w:val="11"/>
                <w:szCs w:val="11"/>
                <w:color w:val="auto"/>
              </w:rPr>
            </w:pPr>
          </w:p>
        </w:tc>
        <w:tc>
          <w:tcPr>
            <w:tcW w:w="5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April 1,</w:t>
            </w: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April 2,</w:t>
            </w:r>
          </w:p>
        </w:tc>
        <w:tc>
          <w:tcPr>
            <w:tcW w:w="50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April 1,</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April 2,</w:t>
            </w:r>
          </w:p>
        </w:tc>
        <w:tc>
          <w:tcPr>
            <w:tcW w:w="58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r>
      <w:tr>
        <w:trPr>
          <w:trHeight w:val="161"/>
        </w:trPr>
        <w:tc>
          <w:tcPr>
            <w:tcW w:w="70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jc w:val="right"/>
              <w:ind w:right="6"/>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jc w:val="right"/>
              <w:ind w:right="2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58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20"/>
        </w:trPr>
        <w:tc>
          <w:tcPr>
            <w:tcW w:w="7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$(11.4)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(3.2)</w:t>
            </w:r>
          </w:p>
        </w:tc>
        <w:tc>
          <w:tcPr>
            <w:tcW w:w="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(8.2)</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(19.5)</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(8.0)</w:t>
            </w:r>
          </w:p>
        </w:tc>
      </w:tr>
    </w:tbl>
    <w:p>
      <w:pPr>
        <w:spacing w:after="0" w:line="15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discontinued operations consist of the WiMAX business. The increased loss in fiscal 2011 periods was due principally to provisions for excess and obsolete inventories and noncancellable purchase commitments, partially offset by higher revenue during the first half of fiscal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April 1, 2011, our total cash and cash equivalents was $95.7 million. Approximately $36.9 million or 39% of our total cash and cash equivalents was held by entities domiciled in the United States. The remaining balance of $58.8 million or 61% was held by entities outside the United States, primarily in Singapore, and could be subject to additional taxation if it were to be repatriated to the United States.</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April 1, 2011, our principal sources of liquidity consisted of the $95.7 million in cash and cash equivalents, $25.3 million of available credit under our current $40.0 million credit facility with Silicon Valley Bank, and cash collections from customers. Historically our primary sources of liquidity have been cash flows from operations, credit facilities and cash proceeds from sale of our equity securities. During the first three quarters of fiscal 2011, our total cash and cash equivalents decreased by $46.0 million primarily due to cash used in operating activities. During the first three quarters of fiscal 2010, we had positive operating cash flows of $3.7 million.</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Cash used in operating activities was $45.4 million in the first three quarters of fiscal 2011 primarily due to the net loss after non-cash adjustments of $31.4 million and a year-to-date increase in receivables of approximately $34.6 million, partially offset by a year-to-date increase in accounts payable and accrued liabilities of $15.2 million. Our cash collections during the first nine months of fiscal 2011 were lower than the cash collections in fiscal 2010 due to lower revenues and delayed product shipments during the first half of fiscal 2011. This limited our ability to collect receivables at the end of each quarter. The shipment delays in the first half of fiscal 2011 were caused by the transition to outsourced manufacturing and the global parts shortages. In addition, longer payment terms for WiMAX shipments in the first half of fiscal 2011 have resulted in an increase in our accounts receivable balances at April 1, 2011. During the second quarter of fiscal 2011, we were able to re-negotiate longer payment terms with two of our largest contract manufacturers. The result of higher volume and more favorable payment terms increased our accounts payable balance at the end of the third quarter of fiscal 2011. During the first three quarters of fiscal 2011, we incurred $12.7 million in cash payments on restructuring liabilities related to the Company’s restructuring programs.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continue using cash in operating activities in the fourth quarter of fiscal 2011, primarily related to discontinued operations and restructuring.</w:t>
      </w:r>
    </w:p>
    <w:p>
      <w:pPr>
        <w:spacing w:after="0" w:line="19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accommodate our customers’ requests in granting them credit, we regularly accept longer term letters of credit from some customers. These letters of credit are generally discounted without recourse shortly after shipment occurs in order to meet immediate liquidity requirements and to reduce our credit and sovereign risk.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our existing cash and cash equivalents, the available line of credit and future cash collections from customers will be sufficient to meet our working capital requirements for the next 12 months and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April 1, 2011, we had $25.3 million of credit available under our $40.0 million revolving credit facility with Silicon Valley Bank as mentioned above. The total amount of revolving credit available was $40.0 million less $6.0 million in outstanding short term loans which mature by September 30, 2011, and $8.7 million in outstanding standby letters of credit issued under the facility.</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commitment of $40.0 million under the facility expires in September 2011 and provides for (1) demand borrowings at the prime rate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(2) fixed term Eurodollar loans for up to six months at LIBOR plus a spread of between 2.00% to 2.75% based on the company’s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ratio and (3) the issuance of standby or commercial letters of credit. The facility contains a minimum liquidity ratio covenant and a minimum profitability covenant and is secured by the company’s assets.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Based on covenants included as part of the credit facility we must maintain, as measured at the last day of each fiscal quarter, (1) no less than a minimum liquidity ratio of 2.50 to 1 (defined as the ratio of total domestic unrestricted cash and cash equivalents plus short-term and long-term marketable securities to total obligations outstanding with the bank) and (2) minimum consolidated EBITDA measured for each fiscal quarter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4"/>
          </w:tcPr>
          <w:p>
            <w:pPr>
              <w:ind w:left="740"/>
              <w:spacing w:after="0"/>
              <w:rPr>
                <w:sz w:val="20"/>
                <w:szCs w:val="20"/>
                <w:color w:val="auto"/>
              </w:rPr>
            </w:pPr>
            <w:r>
              <w:rPr>
                <w:rFonts w:ascii="Arial" w:cs="Arial" w:eastAsia="Arial" w:hAnsi="Arial"/>
                <w:sz w:val="14"/>
                <w:szCs w:val="14"/>
                <w:b w:val="1"/>
                <w:bCs w:val="1"/>
                <w:color w:val="auto"/>
              </w:rPr>
              <w:t>Minimum EBITDA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October 1, 2010</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Quarter ending January 1, 2011</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April 1, 2011</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Quarter ending July 1, 2011</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Each Quarter Thereafter</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1, 2011, we were in compliance with these financial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have a liability for restructuring activities totaling $6.9 million as of April 1, 2011, $6.0 million of which is classified as current liability and expected to be paid out in cash over the next year. Additionally, during the remainder of fiscal 2011, we expect to incur approximately $4.5 million of additional charges from our restructuring activities. We expect to fund these future payments with available cash and cash flow provided by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amounts disclosed in our Fiscal 2010 Form 10-K include our commercial commitments and contractual obligations. During the quarter ended April 1, 2011,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2010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information about our critical accounting estimates, see the “Critical Accounting Estimates” section of “Item 7. Management’s Discussion and Analysis of Financial Condition and Results of Operations” in our Annual Report on Form 10-K for the fiscal year ended July 2,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described in “Note 2 — New Accounting Pronouncements” in the Notes to Condensed Consolidated Financial Statements, there are accounting pronouncements that have recently been issued but have not yet been implemented by us. Note 2 describes the potential impact that these pronouncements are expected to have on our financial position, results of operations and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Descriptions of our exchange rate risk are incorporated by reference from Part I, Item 1, Financial Statements — Notes to Condensed Consolidated Financial Statements — “Note 14 – Risk Management, Derivative Financial Instruments and Hedging Activities” in response to this item.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bank debt.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and Cash Equivalents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$95.7 million in total cash and cash equivalents as of April 1, 2011. Cash equivalents totaled $58.5 million as of April 1, 2011.</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April 1, 2011 was one day, and these investments had an average yield of 0.19% per annum. A 10% change in interest rates on our cash and cash equivalents is not expected to have a material impact on our financial position, results of operations or cash flows.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have been recorded at fair value on our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Borrowings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the third quarter of fiscal 2011, we had $6.0 million of short-term borrowings outstanding under our $40.0 million revolving credit facility that incurred interest at the prime rate. During the first three quarters of fiscal 2011, our weighted average interest rate was 3.25% and we recorded total interest expense of $0.1 million on these borrowings.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Based on this evaluation, the Chief Executive Officer and Chief Financial Officer concluded that our disclosure controls and procedures were effective as of April 1,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Internal Control over Financial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13 – Legal Proceedings” in response to this item.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2010 Form 10-K.</w:t>
      </w:r>
    </w:p>
    <w:p>
      <w:pPr>
        <w:spacing w:after="0" w:line="132"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We do not believe that there have been any other material additions or changes to the risk factors previously disclosed in our Fiscal 2010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7"/>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274"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AVIAT NETWORKS,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pacing w:after="0" w:line="30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J. Madigan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duly authorized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340" w:type="dxa"/>
            <w:vAlign w:val="bottom"/>
          </w:tcPr>
          <w:p>
            <w:pPr>
              <w:jc w:val="center"/>
              <w:ind w:right="976"/>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36"/>
              <w:spacing w:after="0"/>
              <w:rPr>
                <w:sz w:val="20"/>
                <w:szCs w:val="20"/>
                <w:color w:val="auto"/>
              </w:rPr>
            </w:pPr>
            <w:r>
              <w:rPr>
                <w:rFonts w:ascii="Arial" w:cs="Arial" w:eastAsia="Arial" w:hAnsi="Arial"/>
                <w:sz w:val="18"/>
                <w:szCs w:val="18"/>
                <w:color w:val="auto"/>
              </w:rPr>
              <w:t>30</w:t>
            </w:r>
          </w:p>
        </w:tc>
      </w:tr>
    </w:tbl>
    <w:p>
      <w:pPr>
        <w:jc w:val="right"/>
        <w:ind w:right="5536"/>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Charles D. Kissner, Chief Executive Officer and Chairman of the Board of Aviat Networks, Inc.,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1, 2011,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5"/>
          <w:szCs w:val="15"/>
          <w:color w:val="auto"/>
        </w:rPr>
        <w:t>/s/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10795</wp:posOffset>
            </wp:positionV>
            <wp:extent cx="37731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Charles D. Kissner</w:t>
      </w:r>
    </w:p>
    <w:p>
      <w:pPr>
        <w:spacing w:after="0" w:line="15"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Chairman of the Board</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L. Cronan III, Senior Vice President and Chief Financial Officer of Aviat Networks, Inc.,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1, 2011,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6"/>
          <w:szCs w:val="16"/>
          <w:color w:val="auto"/>
        </w:rPr>
        <w:t>/s/ Thomas L. Cronan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10795</wp:posOffset>
            </wp:positionV>
            <wp:extent cx="3773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L. Cronan III</w:t>
      </w:r>
    </w:p>
    <w:p>
      <w:pPr>
        <w:spacing w:after="0" w:line="15"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April 1, 2011, as filed with the Securities and Exchange Commission on the date hereof (the “Report”), we, Charles D. Kissner, Chief Executive Officer and Chairman of the Board of Aviat Networks, and Thomas L. Cronan III, Senior Vice President and Chief Financial Officer of Aviat Networks, hereby certify, pursuant to Section 906 of the Sarbanes-Oxley Act of 2002, 18 U.S.C. §1350, that:</w:t>
      </w:r>
    </w:p>
    <w:p>
      <w:pPr>
        <w:spacing w:after="0" w:line="6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172"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5"/>
          <w:szCs w:val="15"/>
          <w:color w:val="auto"/>
        </w:rPr>
        <w:t>/s/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10795</wp:posOffset>
            </wp:positionV>
            <wp:extent cx="3773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Charles D. Kissner</w:t>
      </w:r>
    </w:p>
    <w:p>
      <w:pPr>
        <w:spacing w:after="0" w:line="15"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Chairman of the Board</w:t>
      </w:r>
    </w:p>
    <w:p>
      <w:pPr>
        <w:spacing w:after="0" w:line="232"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6"/>
          <w:szCs w:val="16"/>
          <w:color w:val="auto"/>
        </w:rPr>
        <w:t>/s/ Thomas L. Cronan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10795</wp:posOffset>
            </wp:positionV>
            <wp:extent cx="3773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L. Cronan III</w:t>
      </w:r>
    </w:p>
    <w:p>
      <w:pPr>
        <w:spacing w:after="0" w:line="15"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emdash "/>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2019-12-11T04:58:51Z</dcterms:created>
  <dcterms:modified xsi:type="dcterms:W3CDTF">2019-12-11T04:58:51Z</dcterms:modified>
</cp:coreProperties>
</file>