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1460" w:right="1460" w:hanging="428"/>
        <w:spacing w:after="0" w:line="238" w:lineRule="auto"/>
        <w:tabs>
          <w:tab w:leader="none" w:pos="1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March 27, 2026</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79" w:lineRule="exact"/>
        <w:rPr>
          <w:sz w:val="24"/>
          <w:szCs w:val="24"/>
          <w:color w:val="auto"/>
        </w:rPr>
      </w:pPr>
    </w:p>
    <w:p>
      <w:pPr>
        <w:ind w:left="1460" w:right="1440" w:hanging="428"/>
        <w:spacing w:after="0" w:line="238" w:lineRule="auto"/>
        <w:tabs>
          <w:tab w:leader="none" w:pos="1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2"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Commission File Number 001-33278</w:t>
      </w:r>
    </w:p>
    <w:p>
      <w:pPr>
        <w:spacing w:after="0" w:line="8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AVIAT NETWORKS, INC.</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ectPr>
          <w:pgSz w:w="11900" w:h="16838" w:orient="portrait"/>
          <w:cols w:equalWidth="0" w:num="1">
            <w:col w:w="11240"/>
          </w:cols>
          <w:pgMar w:left="320" w:top="1033" w:right="339" w:bottom="1440" w:gutter="0" w:footer="0" w:header="0"/>
        </w:sectPr>
      </w:pPr>
    </w:p>
    <w:p>
      <w:pPr>
        <w:spacing w:after="0" w:line="137"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20-5961564</w:t>
      </w:r>
    </w:p>
    <w:p>
      <w:pPr>
        <w:spacing w:after="0" w:line="200" w:lineRule="exact"/>
        <w:rPr>
          <w:sz w:val="24"/>
          <w:szCs w:val="24"/>
          <w:color w:val="auto"/>
        </w:rPr>
      </w:pPr>
    </w:p>
    <w:p>
      <w:pPr>
        <w:sectPr>
          <w:pgSz w:w="11900" w:h="16838" w:orient="portrait"/>
          <w:cols w:equalWidth="0" w:num="2">
            <w:col w:w="7460" w:space="720"/>
            <w:col w:w="3060"/>
          </w:cols>
          <w:pgMar w:left="320" w:top="1033" w:right="339" w:bottom="1440" w:gutter="0" w:footer="0" w:header="0"/>
          <w:type w:val="continuous"/>
        </w:sectPr>
      </w:pPr>
    </w:p>
    <w:p>
      <w:pPr>
        <w:spacing w:after="0" w:line="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(I.R.S. Employer Identification No.)</w:t>
      </w:r>
    </w:p>
    <w:p>
      <w:pPr>
        <w:spacing w:after="0" w:line="107" w:lineRule="exact"/>
        <w:rPr>
          <w:sz w:val="24"/>
          <w:szCs w:val="24"/>
          <w:color w:val="auto"/>
        </w:rPr>
      </w:pPr>
    </w:p>
    <w:p>
      <w:pPr>
        <w:sectPr>
          <w:pgSz w:w="11900" w:h="16838" w:orient="portrait"/>
          <w:cols w:equalWidth="0" w:num="2">
            <w:col w:w="6640" w:space="720"/>
            <w:col w:w="3880"/>
          </w:cols>
          <w:pgMar w:left="320" w:top="1033" w:right="3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b w:val="1"/>
          <w:bCs w:val="1"/>
          <w:color w:val="auto"/>
        </w:rPr>
        <w:t>200 Parker Drive, Suite C100A,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Austin,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78728</w:t>
      </w:r>
    </w:p>
    <w:p>
      <w:pPr>
        <w:spacing w:after="0" w:line="31" w:lineRule="exact"/>
        <w:rPr>
          <w:sz w:val="24"/>
          <w:szCs w:val="24"/>
          <w:color w:val="auto"/>
        </w:rPr>
      </w:pPr>
    </w:p>
    <w:p>
      <w:pPr>
        <w:sectPr>
          <w:pgSz w:w="11900" w:h="16838" w:orient="portrait"/>
          <w:cols w:equalWidth="0" w:num="4">
            <w:col w:w="3760" w:space="320"/>
            <w:col w:w="560" w:space="200"/>
            <w:col w:w="2820" w:space="720"/>
            <w:col w:w="2860"/>
          </w:cols>
          <w:pgMar w:left="320" w:top="1033" w:right="339"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(Zip Code)</w:t>
      </w:r>
    </w:p>
    <w:p>
      <w:pPr>
        <w:spacing w:after="0" w:line="115" w:lineRule="exact"/>
        <w:rPr>
          <w:sz w:val="24"/>
          <w:szCs w:val="24"/>
          <w:color w:val="auto"/>
        </w:rPr>
      </w:pPr>
    </w:p>
    <w:p>
      <w:pPr>
        <w:sectPr>
          <w:pgSz w:w="11900" w:h="16838" w:orient="portrait"/>
          <w:cols w:equalWidth="0" w:num="2">
            <w:col w:w="7520" w:space="720"/>
            <w:col w:w="3000"/>
          </w:cols>
          <w:pgMar w:left="320" w:top="1033"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(408) 941-7100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ectPr>
          <w:pgSz w:w="11900" w:h="16838" w:orient="portrait"/>
          <w:cols w:equalWidth="0" w:num="1">
            <w:col w:w="11240"/>
          </w:cols>
          <w:pgMar w:left="320" w:top="1033" w:right="339" w:bottom="1440" w:gutter="0" w:footer="0" w:header="0"/>
          <w:type w:val="continuous"/>
        </w:sectPr>
      </w:pPr>
    </w:p>
    <w:p>
      <w:pPr>
        <w:spacing w:after="0" w:line="70"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8"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30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4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50"/>
        </w:trPr>
        <w:tc>
          <w:tcPr>
            <w:tcW w:w="3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Common Stock</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AVNW</w:t>
            </w:r>
          </w:p>
        </w:tc>
        <w:tc>
          <w:tcPr>
            <w:tcW w:w="3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70"/>
        </w:trPr>
        <w:tc>
          <w:tcPr>
            <w:tcW w:w="302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Preferred Share Purchase Rights</w:t>
            </w:r>
          </w:p>
        </w:tc>
        <w:tc>
          <w:tcPr>
            <w:tcW w:w="2300" w:type="dxa"/>
            <w:vAlign w:val="bottom"/>
          </w:tcPr>
          <w:p>
            <w:pPr>
              <w:spacing w:after="0"/>
              <w:rPr>
                <w:sz w:val="23"/>
                <w:szCs w:val="23"/>
                <w:color w:val="auto"/>
              </w:rPr>
            </w:pPr>
          </w:p>
        </w:tc>
        <w:tc>
          <w:tcPr>
            <w:tcW w:w="39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1020" w:type="dxa"/>
        <w:tblCellMar>
          <w:top w:w="0" w:type="dxa"/>
          <w:left w:w="0" w:type="dxa"/>
          <w:bottom w:w="0" w:type="dxa"/>
          <w:right w:w="0" w:type="dxa"/>
        </w:tblCellMar>
      </w:tblPr>
      <w:tr>
        <w:trPr>
          <w:trHeight w:val="229"/>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2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172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outstanding of the registrant’s common stock as of April 30, 2026 was 12,939,463.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27, 2026</w:t>
      </w:r>
    </w:p>
    <w:p>
      <w:pPr>
        <w:spacing w:after="0" w:line="1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6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0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10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30"/>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30"/>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Condensed Consolidated Statements of Equity (Unaudited)</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24</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28</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29</w:t>
            </w:r>
          </w:p>
        </w:tc>
      </w:tr>
      <w:tr>
        <w:trPr>
          <w:trHeight w:val="229"/>
        </w:trPr>
        <w:tc>
          <w:tcPr>
            <w:tcW w:w="106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30"/>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1A. 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29"/>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31</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29"/>
        </w:trPr>
        <w:tc>
          <w:tcPr>
            <w:tcW w:w="1060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30"/>
        </w:trPr>
        <w:tc>
          <w:tcPr>
            <w:tcW w:w="10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0000FF"/>
              </w:rPr>
              <w:t>Item 6. Exhibits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38"/>
        </w:trPr>
        <w:tc>
          <w:tcPr>
            <w:tcW w:w="106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2" w:name="page3"/>
    <w:bookmarkEnd w:id="2"/>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500" w:type="dxa"/>
            <w:vAlign w:val="bottom"/>
            <w:gridSpan w:val="4"/>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56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71"/>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211"/>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r>
      <w:tr>
        <w:trPr>
          <w:trHeight w:val="214"/>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68,405</w:t>
            </w:r>
          </w:p>
        </w:tc>
        <w:tc>
          <w:tcPr>
            <w:tcW w:w="100" w:type="dxa"/>
            <w:vAlign w:val="bottom"/>
          </w:tcPr>
          <w:p>
            <w:pPr>
              <w:spacing w:after="0"/>
              <w:rPr>
                <w:sz w:val="19"/>
                <w:szCs w:val="19"/>
                <w:color w:val="auto"/>
              </w:rPr>
            </w:pPr>
          </w:p>
        </w:tc>
        <w:tc>
          <w:tcPr>
            <w:tcW w:w="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76,824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224,699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220,252</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94,096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99,014</w:t>
            </w:r>
          </w:p>
        </w:tc>
      </w:tr>
      <w:tr>
        <w:trPr>
          <w:trHeight w:val="223"/>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318,795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319,266</w:t>
            </w:r>
          </w:p>
        </w:tc>
      </w:tr>
      <w:tr>
        <w:trPr>
          <w:trHeight w:val="21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158,540</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60,756</w:t>
            </w:r>
          </w:p>
        </w:tc>
      </w:tr>
      <w:tr>
        <w:trPr>
          <w:trHeight w:val="223"/>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217,748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219,296</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99,970</w:t>
            </w:r>
          </w:p>
        </w:tc>
      </w:tr>
      <w:tr>
        <w:trPr>
          <w:trHeight w:val="20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28,334</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68,348</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r>
      <w:tr>
        <w:trPr>
          <w:trHeight w:val="223"/>
        </w:trPr>
        <w:tc>
          <w:tcPr>
            <w:tcW w:w="5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87,632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98,274</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(6,603)</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5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 per share of common stock outstanding:</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30"/>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w:t>
            </w:r>
          </w:p>
        </w:tc>
      </w:tr>
      <w:tr>
        <w:trPr>
          <w:trHeight w:val="229"/>
        </w:trPr>
        <w:tc>
          <w:tcPr>
            <w:tcW w:w="5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40" w:type="dxa"/>
            <w:vAlign w:val="bottom"/>
            <w:gridSpan w:val="5"/>
          </w:tcPr>
          <w:p>
            <w:pPr>
              <w:ind w:left="6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2640" w:type="dxa"/>
            <w:vAlign w:val="bottom"/>
            <w:gridSpan w:val="4"/>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9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2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2"/>
          </w:tcPr>
          <w:p>
            <w:pPr>
              <w:ind w:left="12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53"/>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r>
      <w:tr>
        <w:trPr>
          <w:trHeight w:val="214"/>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cumulative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March 27,</w:t>
            </w:r>
          </w:p>
        </w:tc>
        <w:tc>
          <w:tcPr>
            <w:tcW w:w="300" w:type="dxa"/>
            <w:vAlign w:val="bottom"/>
          </w:tcPr>
          <w:p>
            <w:pPr>
              <w:spacing w:after="0"/>
              <w:rPr>
                <w:sz w:val="16"/>
                <w:szCs w:val="16"/>
                <w:color w:val="auto"/>
              </w:rPr>
            </w:pPr>
          </w:p>
        </w:tc>
        <w:tc>
          <w:tcPr>
            <w:tcW w:w="124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June 27,</w:t>
            </w:r>
          </w:p>
        </w:tc>
        <w:tc>
          <w:tcPr>
            <w:tcW w:w="0" w:type="dxa"/>
            <w:vAlign w:val="bottom"/>
          </w:tcPr>
          <w:p>
            <w:pPr>
              <w:spacing w:after="0"/>
              <w:rPr>
                <w:sz w:val="1"/>
                <w:szCs w:val="1"/>
                <w:color w:val="auto"/>
              </w:rPr>
            </w:pPr>
          </w:p>
        </w:tc>
      </w:tr>
      <w:tr>
        <w:trPr>
          <w:trHeight w:val="212"/>
        </w:trPr>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share and par value amounts)</w:t>
            </w:r>
          </w:p>
        </w:tc>
        <w:tc>
          <w:tcPr>
            <w:tcW w:w="240" w:type="dxa"/>
            <w:vAlign w:val="bottom"/>
          </w:tcPr>
          <w:p>
            <w:pPr>
              <w:spacing w:after="0"/>
              <w:rPr>
                <w:sz w:val="18"/>
                <w:szCs w:val="18"/>
                <w:color w:val="auto"/>
              </w:rPr>
            </w:pPr>
          </w:p>
        </w:tc>
        <w:tc>
          <w:tcPr>
            <w:tcW w:w="130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7"/>
        </w:trPr>
        <w:tc>
          <w:tcPr>
            <w:tcW w:w="8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59,690</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allowances of $5,707 and $3,583</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105,870</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0" w:type="dxa"/>
            <w:vAlign w:val="bottom"/>
          </w:tcPr>
          <w:p>
            <w:pPr>
              <w:spacing w:after="0"/>
              <w:rPr>
                <w:sz w:val="1"/>
                <w:szCs w:val="1"/>
                <w:color w:val="auto"/>
              </w:rPr>
            </w:pPr>
          </w:p>
        </w:tc>
      </w:tr>
      <w:tr>
        <w:trPr>
          <w:trHeight w:val="223"/>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463,575</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19,655</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26,897</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88,149</w:t>
            </w: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14,454</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633,296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112,063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148,093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38,897</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18,624</w:t>
            </w:r>
          </w:p>
        </w:tc>
        <w:tc>
          <w:tcPr>
            <w:tcW w:w="0" w:type="dxa"/>
            <w:vAlign w:val="bottom"/>
          </w:tcPr>
          <w:p>
            <w:pPr>
              <w:spacing w:after="0"/>
              <w:rPr>
                <w:sz w:val="1"/>
                <w:szCs w:val="1"/>
                <w:color w:val="auto"/>
              </w:rPr>
            </w:pPr>
          </w:p>
        </w:tc>
      </w:tr>
      <w:tr>
        <w:trPr>
          <w:trHeight w:val="223"/>
        </w:trPr>
        <w:tc>
          <w:tcPr>
            <w:tcW w:w="8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282,196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68,966</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for uncertain tax positions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344,769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370,113</w:t>
            </w:r>
          </w:p>
        </w:tc>
        <w:tc>
          <w:tcPr>
            <w:tcW w:w="0" w:type="dxa"/>
            <w:vAlign w:val="bottom"/>
          </w:tcPr>
          <w:p>
            <w:pPr>
              <w:spacing w:after="0"/>
              <w:rPr>
                <w:sz w:val="1"/>
                <w:szCs w:val="1"/>
                <w:color w:val="auto"/>
              </w:rPr>
            </w:pPr>
          </w:p>
        </w:tc>
      </w:tr>
      <w:tr>
        <w:trPr>
          <w:trHeight w:val="21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$0.01 par value, 50.0 million shares authorized, none issued</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00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 million shares authorized, 12.9 million and 12.7 million shares</w:t>
            </w:r>
          </w:p>
        </w:tc>
        <w:tc>
          <w:tcPr>
            <w:tcW w:w="24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49"/>
        </w:trPr>
        <w:tc>
          <w:tcPr>
            <w:tcW w:w="800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issued and outstanding as of March 27, 2026 and June 27, 2025, respectively</w:t>
            </w:r>
          </w:p>
        </w:tc>
        <w:tc>
          <w:tcPr>
            <w:tcW w:w="240" w:type="dxa"/>
            <w:vAlign w:val="bottom"/>
            <w:shd w:val="clear" w:color="auto" w:fill="CCEEFF"/>
          </w:tcPr>
          <w:p>
            <w:pPr>
              <w:spacing w:after="0"/>
              <w:rPr>
                <w:sz w:val="12"/>
                <w:szCs w:val="12"/>
                <w:color w:val="auto"/>
              </w:rPr>
            </w:pPr>
          </w:p>
        </w:tc>
        <w:tc>
          <w:tcPr>
            <w:tcW w:w="13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800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Treasury stock 0.3 million and 0.2 million shares as of March 27, 2026 and June 27, 2025, respectively</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870,340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866,119</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(577,172)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(18,815)</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271,776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263,183</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633,296</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ectPr>
          <w:pgSz w:w="11900" w:h="16838" w:orient="portrait"/>
          <w:cols w:equalWidth="0" w:num="1">
            <w:col w:w="11200"/>
          </w:cols>
          <w:pgMar w:left="340" w:top="10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9"/>
        </w:trPr>
        <w:tc>
          <w:tcPr>
            <w:tcW w:w="8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260" w:type="dxa"/>
            <w:vAlign w:val="bottom"/>
          </w:tcPr>
          <w:p>
            <w:pPr>
              <w:spacing w:after="0"/>
              <w:rPr>
                <w:sz w:val="13"/>
                <w:szCs w:val="13"/>
                <w:color w:val="auto"/>
              </w:rPr>
            </w:pPr>
          </w:p>
        </w:tc>
        <w:tc>
          <w:tcPr>
            <w:tcW w:w="1280" w:type="dxa"/>
            <w:vAlign w:val="bottom"/>
          </w:tcPr>
          <w:p>
            <w:pPr>
              <w:jc w:val="right"/>
              <w:ind w:right="33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r>
      <w:tr>
        <w:trPr>
          <w:trHeight w:val="214"/>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Provision for uncollectible receivables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 write-downs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(gain) on marketable securities</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non-cash operating activities, net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(24,899)</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Unbilled receivables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(11,693)</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(30,947)</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40,904</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26,975</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8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w:t>
            </w:r>
          </w:p>
        </w:tc>
      </w:tr>
      <w:tr>
        <w:trPr>
          <w:trHeight w:val="223"/>
        </w:trPr>
        <w:tc>
          <w:tcPr>
            <w:tcW w:w="80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asset held for sale</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(18,150)</w:t>
            </w:r>
          </w:p>
        </w:tc>
      </w:tr>
      <w:tr>
        <w:trPr>
          <w:trHeight w:val="223"/>
        </w:trPr>
        <w:tc>
          <w:tcPr>
            <w:tcW w:w="80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(26,264)</w:t>
            </w:r>
          </w:p>
        </w:tc>
      </w:tr>
      <w:tr>
        <w:trPr>
          <w:trHeight w:val="21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revolver</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revolver</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r>
      <w:tr>
        <w:trPr>
          <w:trHeight w:val="229"/>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term loan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of term loan</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(49,687)</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r>
      <w:tr>
        <w:trPr>
          <w:trHeight w:val="230"/>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deferred consideration for acquisitions</w:t>
            </w: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for repurchase of common stock - treasury shares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r>
      <w:tr>
        <w:trPr>
          <w:trHeight w:val="229"/>
        </w:trPr>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taxes related to net settlement of equity awards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30"/>
        </w:trPr>
        <w:tc>
          <w:tcPr>
            <w:tcW w:w="8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plans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23"/>
        </w:trPr>
        <w:tc>
          <w:tcPr>
            <w:tcW w:w="80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17,585</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(13,255)</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64,934</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80,246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51,679</w:t>
            </w:r>
          </w:p>
        </w:tc>
      </w:tr>
      <w:tr>
        <w:trPr>
          <w:trHeight w:val="20"/>
        </w:trPr>
        <w:tc>
          <w:tcPr>
            <w:tcW w:w="8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ectPr>
          <w:pgSz w:w="11900" w:h="16838" w:orient="portrait"/>
          <w:cols w:equalWidth="0" w:num="1">
            <w:col w:w="11200"/>
          </w:cols>
          <w:pgMar w:left="340" w:top="10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32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27, 2026</w:t>
            </w: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24"/>
                <w:szCs w:val="24"/>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1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40" w:type="dxa"/>
            <w:vAlign w:val="bottom"/>
          </w:tcPr>
          <w:p>
            <w:pPr>
              <w:jc w:val="center"/>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9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0"/>
        </w:trPr>
        <w:tc>
          <w:tcPr>
            <w:tcW w:w="3160" w:type="dxa"/>
            <w:vAlign w:val="bottom"/>
            <w:gridSpan w:val="2"/>
            <w:vMerge w:val="continue"/>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26, 2025</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12,893</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868,423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(571,292)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(18,573)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271,611</w:t>
            </w:r>
          </w:p>
        </w:tc>
        <w:tc>
          <w:tcPr>
            <w:tcW w:w="0" w:type="dxa"/>
            <w:vAlign w:val="bottom"/>
          </w:tcPr>
          <w:p>
            <w:pPr>
              <w:spacing w:after="0"/>
              <w:rPr>
                <w:sz w:val="1"/>
                <w:szCs w:val="1"/>
                <w:color w:val="auto"/>
              </w:rPr>
            </w:pPr>
          </w:p>
        </w:tc>
      </w:tr>
      <w:tr>
        <w:trPr>
          <w:trHeight w:val="21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(2,065)</w:t>
            </w: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0" w:type="dxa"/>
            <w:vAlign w:val="bottom"/>
          </w:tcPr>
          <w:p>
            <w:pPr>
              <w:spacing w:after="0"/>
              <w:rPr>
                <w:sz w:val="1"/>
                <w:szCs w:val="1"/>
                <w:color w:val="auto"/>
              </w:rPr>
            </w:pPr>
          </w:p>
        </w:tc>
      </w:tr>
      <w:tr>
        <w:trPr>
          <w:trHeight w:val="162"/>
        </w:trPr>
        <w:tc>
          <w:tcPr>
            <w:tcW w:w="3160" w:type="dxa"/>
            <w:vAlign w:val="bottom"/>
            <w:gridSpan w:val="2"/>
          </w:tcPr>
          <w:p>
            <w:pPr>
              <w:ind w:left="2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340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0" w:type="dxa"/>
            <w:vAlign w:val="bottom"/>
          </w:tcPr>
          <w:p>
            <w:pPr>
              <w:spacing w:after="0"/>
              <w:rPr>
                <w:sz w:val="1"/>
                <w:szCs w:val="1"/>
                <w:color w:val="auto"/>
              </w:rPr>
            </w:pPr>
          </w:p>
        </w:tc>
      </w:tr>
      <w:tr>
        <w:trPr>
          <w:trHeight w:val="213"/>
        </w:trPr>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 plans</w:t>
            </w: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60" w:type="dxa"/>
            <w:vAlign w:val="bottom"/>
            <w:gridSpan w:val="2"/>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140" w:type="dxa"/>
            <w:vAlign w:val="bottom"/>
            <w:gridSpan w:val="4"/>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of equity awards</w:t>
            </w:r>
          </w:p>
        </w:tc>
        <w:tc>
          <w:tcPr>
            <w:tcW w:w="1140" w:type="dxa"/>
            <w:vAlign w:val="bottom"/>
            <w:gridSpan w:val="4"/>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Stock repurchase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w:t>
            </w:r>
          </w:p>
        </w:tc>
        <w:tc>
          <w:tcPr>
            <w:tcW w:w="0" w:type="dxa"/>
            <w:vAlign w:val="bottom"/>
          </w:tcPr>
          <w:p>
            <w:pPr>
              <w:spacing w:after="0"/>
              <w:rPr>
                <w:sz w:val="1"/>
                <w:szCs w:val="1"/>
                <w:color w:val="auto"/>
              </w:rPr>
            </w:pPr>
          </w:p>
        </w:tc>
      </w:tr>
      <w:tr>
        <w:trPr>
          <w:trHeight w:val="209"/>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27, 2026</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12,919</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(7,576)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870,340</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(573,357)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(17,760)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271,776</w:t>
            </w: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28, 2025</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8"/>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120" w:type="dxa"/>
            <w:vAlign w:val="bottom"/>
          </w:tcPr>
          <w:p>
            <w:pPr>
              <w:spacing w:after="0"/>
              <w:rPr>
                <w:sz w:val="24"/>
                <w:szCs w:val="24"/>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14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40" w:type="dxa"/>
            <w:vAlign w:val="bottom"/>
          </w:tcPr>
          <w:p>
            <w:pPr>
              <w:jc w:val="center"/>
              <w:ind w:right="8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9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9"/>
        </w:trPr>
        <w:tc>
          <w:tcPr>
            <w:tcW w:w="3160" w:type="dxa"/>
            <w:vAlign w:val="bottom"/>
            <w:gridSpan w:val="2"/>
            <w:vMerge w:val="continue"/>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9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27, 2024</w:t>
            </w: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12,684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(6,978)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862,918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(585,897)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(20,583)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249,587</w:t>
            </w:r>
          </w:p>
        </w:tc>
        <w:tc>
          <w:tcPr>
            <w:tcW w:w="0" w:type="dxa"/>
            <w:vAlign w:val="bottom"/>
          </w:tcPr>
          <w:p>
            <w:pPr>
              <w:spacing w:after="0"/>
              <w:rPr>
                <w:sz w:val="1"/>
                <w:szCs w:val="1"/>
                <w:color w:val="auto"/>
              </w:rPr>
            </w:pPr>
          </w:p>
        </w:tc>
      </w:tr>
      <w:tr>
        <w:trPr>
          <w:trHeight w:val="21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3,528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w:t>
            </w:r>
          </w:p>
        </w:tc>
        <w:tc>
          <w:tcPr>
            <w:tcW w:w="0" w:type="dxa"/>
            <w:vAlign w:val="bottom"/>
          </w:tcPr>
          <w:p>
            <w:pPr>
              <w:spacing w:after="0"/>
              <w:rPr>
                <w:sz w:val="1"/>
                <w:szCs w:val="1"/>
                <w:color w:val="auto"/>
              </w:rPr>
            </w:pPr>
          </w:p>
        </w:tc>
      </w:tr>
      <w:tr>
        <w:trPr>
          <w:trHeight w:val="219"/>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0" w:type="dxa"/>
            <w:vAlign w:val="bottom"/>
          </w:tcPr>
          <w:p>
            <w:pPr>
              <w:spacing w:after="0"/>
              <w:rPr>
                <w:sz w:val="1"/>
                <w:szCs w:val="1"/>
                <w:color w:val="auto"/>
              </w:rPr>
            </w:pPr>
          </w:p>
        </w:tc>
      </w:tr>
      <w:tr>
        <w:trPr>
          <w:trHeight w:val="162"/>
        </w:trPr>
        <w:tc>
          <w:tcPr>
            <w:tcW w:w="316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 plans</w:t>
            </w: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160" w:type="dxa"/>
            <w:vAlign w:val="bottom"/>
            <w:gridSpan w:val="2"/>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of equity awards</w:t>
            </w:r>
          </w:p>
        </w:tc>
        <w:tc>
          <w:tcPr>
            <w:tcW w:w="10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Stock repurchase</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1,988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0" w:type="dxa"/>
            <w:vAlign w:val="bottom"/>
          </w:tcPr>
          <w:p>
            <w:pPr>
              <w:spacing w:after="0"/>
              <w:rPr>
                <w:sz w:val="1"/>
                <w:szCs w:val="1"/>
                <w:color w:val="auto"/>
              </w:rPr>
            </w:pPr>
          </w:p>
        </w:tc>
      </w:tr>
      <w:tr>
        <w:trPr>
          <w:trHeight w:val="210"/>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28,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12,692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(7,077)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864,910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(582,369)</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(19,475)</w:t>
            </w:r>
          </w:p>
        </w:tc>
        <w:tc>
          <w:tcPr>
            <w:tcW w:w="10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256,116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89" w:right="359" w:bottom="1440" w:gutter="0" w:footer="0" w:header="0"/>
        </w:sectPr>
      </w:pPr>
    </w:p>
    <w:bookmarkStart w:id="7" w:name="page8"/>
    <w:bookmarkEnd w:id="7"/>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12"/>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 March 27, 2026</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24"/>
                <w:szCs w:val="24"/>
                <w:color w:val="auto"/>
              </w:rPr>
            </w:pPr>
          </w:p>
        </w:tc>
        <w:tc>
          <w:tcPr>
            <w:tcW w:w="11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12"/>
                <w:szCs w:val="12"/>
                <w:color w:val="auto"/>
              </w:rPr>
            </w:pPr>
          </w:p>
        </w:tc>
        <w:tc>
          <w:tcPr>
            <w:tcW w:w="11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34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42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9"/>
        </w:trPr>
        <w:tc>
          <w:tcPr>
            <w:tcW w:w="31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27, 2025</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12,740</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866,119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(577,172)</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(18,815)</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263,183</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3,815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ind w:left="16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9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plans</w:t>
            </w: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120" w:type="dxa"/>
            <w:vAlign w:val="bottom"/>
            <w:shd w:val="clear" w:color="auto" w:fill="CCEEFF"/>
          </w:tcPr>
          <w:p>
            <w:pPr>
              <w:ind w:left="16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(810)</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of equity awards</w:t>
            </w:r>
          </w:p>
        </w:tc>
        <w:tc>
          <w:tcPr>
            <w:tcW w:w="102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repurchase</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4,483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27, 2026</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12,919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870,340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(573,357)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(17,760)</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271,776</w:t>
            </w: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53"/>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12"/>
          </w:tcPr>
          <w:p>
            <w:pPr>
              <w:ind w:left="580"/>
              <w:spacing w:after="0"/>
              <w:rPr>
                <w:sz w:val="20"/>
                <w:szCs w:val="20"/>
                <w:color w:val="auto"/>
              </w:rPr>
            </w:pPr>
            <w:r>
              <w:rPr>
                <w:rFonts w:ascii="Times New Roman" w:cs="Times New Roman" w:eastAsia="Times New Roman" w:hAnsi="Times New Roman"/>
                <w:sz w:val="14"/>
                <w:szCs w:val="14"/>
                <w:b w:val="1"/>
                <w:bCs w:val="1"/>
                <w:color w:val="auto"/>
              </w:rPr>
              <w:t>Nine Months Ended March 28, 2025</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24"/>
                <w:szCs w:val="24"/>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12"/>
                <w:szCs w:val="12"/>
                <w:color w:val="auto"/>
              </w:rPr>
            </w:pPr>
          </w:p>
        </w:tc>
        <w:tc>
          <w:tcPr>
            <w:tcW w:w="11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30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ind w:right="40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28, 2024</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12,622</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(6,479)</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860,071</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(578,513)</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255,885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ind w:left="200"/>
              <w:spacing w:after="0" w:line="162" w:lineRule="exact"/>
              <w:rPr>
                <w:sz w:val="20"/>
                <w:szCs w:val="20"/>
                <w:color w:val="auto"/>
              </w:rPr>
            </w:pPr>
            <w:r>
              <w:rPr>
                <w:rFonts w:ascii="Times New Roman" w:cs="Times New Roman" w:eastAsia="Times New Roman" w:hAnsi="Times New Roman"/>
                <w:sz w:val="16"/>
                <w:szCs w:val="16"/>
                <w:color w:val="auto"/>
              </w:rPr>
              <w:t>Issuance of common stock under employee</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4"/>
                <w:szCs w:val="14"/>
                <w:color w:val="auto"/>
              </w:rPr>
            </w:pP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plans</w:t>
            </w:r>
          </w:p>
        </w:tc>
        <w:tc>
          <w:tcPr>
            <w:tcW w:w="10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120" w:type="dxa"/>
            <w:vAlign w:val="bottom"/>
            <w:shd w:val="clear" w:color="auto" w:fill="CCEEFF"/>
          </w:tcPr>
          <w:p>
            <w:pPr>
              <w:ind w:left="200"/>
              <w:spacing w:after="0" w:line="165" w:lineRule="exact"/>
              <w:rPr>
                <w:sz w:val="20"/>
                <w:szCs w:val="20"/>
                <w:color w:val="auto"/>
              </w:rPr>
            </w:pPr>
            <w:r>
              <w:rPr>
                <w:rFonts w:ascii="Times New Roman" w:cs="Times New Roman" w:eastAsia="Times New Roman" w:hAnsi="Times New Roman"/>
                <w:sz w:val="16"/>
                <w:szCs w:val="16"/>
                <w:color w:val="auto"/>
              </w:rPr>
              <w:t>Shares withheld for taxes related to vesting</w:t>
            </w:r>
          </w:p>
        </w:tc>
        <w:tc>
          <w:tcPr>
            <w:tcW w:w="106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(942)</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of equity awards</w:t>
            </w:r>
          </w:p>
        </w:tc>
        <w:tc>
          <w:tcPr>
            <w:tcW w:w="106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repurchase</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28, 2025</w:t>
            </w:r>
          </w:p>
        </w:tc>
        <w:tc>
          <w:tcPr>
            <w:tcW w:w="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12,692</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(7,077)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864,910</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(582,369)</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(19,475)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gridSpan w:val="2"/>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256,116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sectPr>
      </w:pPr>
    </w:p>
    <w:bookmarkStart w:id="8" w:name="page9"/>
    <w:bookmarkEnd w:id="8"/>
    <w:p>
      <w:pPr>
        <w:ind w:left="4560"/>
        <w:spacing w:after="0"/>
        <w:rPr>
          <w:sz w:val="20"/>
          <w:szCs w:val="20"/>
          <w:color w:val="auto"/>
        </w:rPr>
      </w:pPr>
      <w:r>
        <w:rPr>
          <w:rFonts w:ascii="Times New Roman" w:cs="Times New Roman" w:eastAsia="Times New Roman" w:hAnsi="Times New Roman"/>
          <w:sz w:val="18"/>
          <w:szCs w:val="18"/>
          <w:b w:val="1"/>
          <w:bCs w:val="1"/>
          <w:color w:val="auto"/>
        </w:rPr>
        <w:t>AVIAT NETWORKS, INC.</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Aviat Networks, Inc. (“Aviat,” the “Company,” “we,” “us,” and “our”) designs, manufactures, and sells wireless networking and access networking solutions and services to mobile and fixed telephone service providers, private network operators, government agencies, transportation and utility companies, public safety agencies and broadcast system operators across the globe. Aviat’s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Aviat has made estimates, assumptions and judgments affecting the amounts reported in its unaudited condensed consolidated financial statements and the accompanying notes, as discussed in greater detail below. Accordingly, the statements do not include all information and footnotes required by U.S. GAAP for annual consolidated financial statements. In the opinion of the Company’s management, such interim financial statements reflect all adjustments (consisting of normal recurring adjustments) considered necessary for a fair statement of its financial position, results of operations and cash flows for such periods. The results for the nine months ended March 27, 2026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Aviat’s Annual Report on Form 10-K for the fiscal year ended June 27, 2025.</w:t>
      </w:r>
    </w:p>
    <w:p>
      <w:pPr>
        <w:spacing w:after="0" w:line="13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wholly-owned and majority-owned subsidiaries. All intercompany transactions and accounts have been eliminated. Certain amounts in the financial statements have been reclassified for comparative purposes to conform to the current period financial statement presentation.</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Aviat’s fiscal year includes 52 or 53 weeks and ends on the Friday nearest to June 30. The three months ended March 27, 2026 and March 28, 2025 both consisted of 13 weeks. Fiscal year 2026 contains 53 weeks and will end on July 3, 2026. Fiscal year 2025 contained 52 weeks and ended on June 27,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accordance with U.S. GAAP requires the Company to make estimates, assumptions and judgments affecting the amounts reported and related disclosures. Estimates are based upon historical factors, current circumstances and the experience and judgment of the Company’s management. The Company evaluates estimates and assumptions on an ongoing basis and may employ outside experts to assist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goodwill and identified intangible assets in business combinations, valuation allowances for deferred tax assets, uncertainties in income taxes, contingencies and recoverability of long-lived assets. Actual results may differ materially from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as of and for the nine months ended March 27, 2026, as compared to the significant accounting policies described in the Company’s Annual Report on Form 10-K for the fiscal year ended June 27,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Segment Reporting (Topic 280):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The ASU expands reportable segment disclosure requirements, primarily through enhanced disclosures about significant segment expenses that are regularly presented to the chief operating decision maker. The disclosures required under ASU 2023-07 are also required for public entities with a single reportable segment. ASU 2023-07 is effective for the Company’s annual reporting beginning in fiscal 2025 and for interim periods beginning in fiscal 2026. The Company adopted ASU 2023-07 for the year ended June 27, 2025. The adoption of this standard did not have a material impact on the Company’s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Not Yet Adopted</w:t>
      </w:r>
    </w:p>
    <w:p>
      <w:pPr>
        <w:spacing w:after="0" w:line="17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modernizes the accounting for internal-use software. The ASU requires entities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whether significant development uncertainty has been resolved before starting to capitalize software costs. ASU 2025-06 is effective for annual and interim reporting periods beginning after December 15, 2027, and can be applied prospectively, retrospectively, or using a modified transition method, with early adoption permitted. The Company is currently evaluating the impact of this ASU on its consolidated financial statements and disclosures.</w:t>
      </w:r>
    </w:p>
    <w:p>
      <w:pPr>
        <w:spacing w:after="0" w:line="1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The ASU requires disclosures about specific types of expenses included in the expense captions presented on the face of the income statement as well as disclosures about selling expenses. ASU 2024-03 is effective for the Company’s annual reporting beginning in fiscal 2028 and for interim periods beginning in fiscal 2029. The Company is currently evaluating the impact of this ASU on its consolidated financial statements and disclosures.</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ASU enhances the transparency and usefulness of income tax information through improvements to disclosures primarily related to the rate reconciliation and income taxes paid information. ASU 2023-09 is effective for the Company’s annual reporting beginning in fiscal 2026. The Company is currently evaluating the impact of this ASU on its consolidated financial statements and disclosures.</w:t>
      </w:r>
    </w:p>
    <w:p>
      <w:pPr>
        <w:spacing w:after="0" w:line="12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ASUs issued by the FASB. The Company determined at this time that all other ASUs issued but not yet adopted are either not applicable or are expected to have a minimal impact on its financial position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(Loss) Income Per Share of Common Stock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(loss) income per share:</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3120" w:type="dxa"/>
            <w:vAlign w:val="bottom"/>
            <w:gridSpan w:val="4"/>
          </w:tcPr>
          <w:p>
            <w:pPr>
              <w:jc w:val="right"/>
              <w:ind w:right="932"/>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6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3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392"/>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r>
      <w:tr>
        <w:trPr>
          <w:trHeight w:val="214"/>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1"/>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r>
      <w:tr>
        <w:trPr>
          <w:trHeight w:val="23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potentially dilutive equivalent shares</w:t>
            </w:r>
          </w:p>
        </w:tc>
        <w:tc>
          <w:tcPr>
            <w:tcW w:w="2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76"/>
        </w:trPr>
        <w:tc>
          <w:tcPr>
            <w:tcW w:w="46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b w:val="1"/>
                <w:bCs w:val="1"/>
                <w:color w:val="auto"/>
              </w:rPr>
              <w:t>Net (loss) income per share of common stock</w:t>
            </w: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29"/>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both"/>
        <w:ind w:firstLine="486"/>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weighted-average equity awards that were excluded from the diluted net (loss) income per share calculations since they were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920" w:type="dxa"/>
            <w:vAlign w:val="bottom"/>
            <w:tcBorders>
              <w:bottom w:val="single" w:sz="8" w:color="auto"/>
            </w:tcBorders>
            <w:gridSpan w:val="4"/>
          </w:tcPr>
          <w:p>
            <w:pPr>
              <w:ind w:left="9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Borders>
              <w:bottom w:val="single" w:sz="8" w:color="auto"/>
            </w:tcBorders>
            <w:gridSpan w:val="6"/>
          </w:tcPr>
          <w:p>
            <w:pPr>
              <w:ind w:left="98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220" w:type="dxa"/>
            <w:vAlign w:val="bottom"/>
          </w:tcPr>
          <w:p>
            <w:pPr>
              <w:jc w:val="center"/>
              <w:ind w:left="3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27,</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ind w:left="319"/>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right"/>
              <w:ind w:right="38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ind w:left="46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70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CCEEFF"/>
            </w:tcBorders>
            <w:shd w:val="clear" w:color="auto" w:fill="CCEEFF"/>
          </w:tcPr>
          <w:p>
            <w:pPr>
              <w:spacing w:after="0"/>
              <w:rPr>
                <w:sz w:val="19"/>
                <w:szCs w:val="19"/>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2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stock units and performance stock units</w:t>
            </w:r>
          </w:p>
        </w:tc>
        <w:tc>
          <w:tcPr>
            <w:tcW w:w="1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shares of common stock excluded</w:t>
            </w:r>
          </w:p>
        </w:tc>
        <w:tc>
          <w:tcPr>
            <w:tcW w:w="12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450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June 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187,624</w:t>
            </w: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commissions</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67,845</w:t>
            </w:r>
          </w:p>
        </w:tc>
        <w:tc>
          <w:tcPr>
            <w:tcW w:w="12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revenue, long-term</w:t>
            </w: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Significant changes in contract balances may arise as a result of recognition over time for services, transfer of control for equipment, and periodic payments (both in arrears and in advance).</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experience unforeseen events that could result in a change to the scope or price associated with an arrangement. When such events occur, the transaction price and measurement of progress for the performance obligation are updated and this change is recognized as a cumulative catch-up to revenue. Because of the nature and type of contracts, the timeframe to completion and satisfaction of current and future performance obligations can shift; however, this will have no impact on the Company’s future obligation to bill and collect.</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27, 2026, the Company reported $77.6 million in advance payments and unearned revenue and long-term unearned revenue, of which approximately 85% is expected to be recognized as revenue in the next twelve months and the remainder thereafter. Approximately $9.6 million and $56.8 million of revenue was recognized during the three and nine months ended March 27, 2026, respectively, which was included in advance payments and unearned revenue at June 27,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aggregate amount of transaction price allocated to unsatisfied (or partially unsatisfied) performance obligations was approximately $136.1 million at March 27, 2026 relating to long-term field service projects. Of this amount, approximately 50% is expected to be recognized as revenue during the next 12 months, with the remaining amount to be recognized thereafter.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provides a summary of cash, cash equivalents, and restricted cash reported within the unaudited condensed consolidated balance sheets that reconciles to the corresponding amount in the unaudited condensed consolidated statement of 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360" w:type="dxa"/>
            <w:vAlign w:val="bottom"/>
          </w:tcPr>
          <w:p>
            <w:pPr>
              <w:spacing w:after="0"/>
              <w:rPr>
                <w:sz w:val="16"/>
                <w:szCs w:val="16"/>
                <w:color w:val="auto"/>
              </w:rPr>
            </w:pPr>
          </w:p>
        </w:tc>
        <w:tc>
          <w:tcPr>
            <w:tcW w:w="144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rPr>
              <w:t>June 27,</w:t>
            </w:r>
          </w:p>
        </w:tc>
        <w:tc>
          <w:tcPr>
            <w:tcW w:w="0" w:type="dxa"/>
            <w:vAlign w:val="bottom"/>
          </w:tcPr>
          <w:p>
            <w:pPr>
              <w:spacing w:after="0"/>
              <w:rPr>
                <w:sz w:val="1"/>
                <w:szCs w:val="1"/>
                <w:color w:val="auto"/>
              </w:rPr>
            </w:pPr>
          </w:p>
        </w:tc>
      </w:tr>
      <w:tr>
        <w:trPr>
          <w:trHeight w:val="214"/>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59,690</w:t>
            </w:r>
          </w:p>
        </w:tc>
        <w:tc>
          <w:tcPr>
            <w:tcW w:w="0" w:type="dxa"/>
            <w:vAlign w:val="bottom"/>
          </w:tcPr>
          <w:p>
            <w:pPr>
              <w:spacing w:after="0"/>
              <w:rPr>
                <w:sz w:val="1"/>
                <w:szCs w:val="1"/>
                <w:color w:val="auto"/>
              </w:rPr>
            </w:pPr>
          </w:p>
        </w:tc>
      </w:tr>
      <w:tr>
        <w:trPr>
          <w:trHeight w:val="229"/>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long-term other assets</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62,013</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360" w:type="dxa"/>
            <w:vAlign w:val="bottom"/>
          </w:tcPr>
          <w:p>
            <w:pPr>
              <w:spacing w:after="0"/>
              <w:rPr>
                <w:sz w:val="24"/>
                <w:szCs w:val="24"/>
                <w:color w:val="auto"/>
              </w:rPr>
            </w:pPr>
          </w:p>
        </w:tc>
        <w:tc>
          <w:tcPr>
            <w:tcW w:w="1440" w:type="dxa"/>
            <w:vAlign w:val="bottom"/>
          </w:tcPr>
          <w:p>
            <w:pPr>
              <w:jc w:val="center"/>
              <w:ind w:right="253"/>
              <w:spacing w:after="0"/>
              <w:rPr>
                <w:sz w:val="20"/>
                <w:szCs w:val="20"/>
                <w:color w:val="auto"/>
              </w:rPr>
            </w:pPr>
            <w:r>
              <w:rPr>
                <w:rFonts w:ascii="Times New Roman" w:cs="Times New Roman" w:eastAsia="Times New Roman" w:hAnsi="Times New Roman"/>
                <w:sz w:val="16"/>
                <w:szCs w:val="16"/>
                <w:b w:val="1"/>
                <w:bCs w:val="1"/>
                <w:color w:val="auto"/>
              </w:rPr>
              <w:t>June 27,</w:t>
            </w:r>
          </w:p>
        </w:tc>
        <w:tc>
          <w:tcPr>
            <w:tcW w:w="0" w:type="dxa"/>
            <w:vAlign w:val="bottom"/>
          </w:tcPr>
          <w:p>
            <w:pPr>
              <w:spacing w:after="0"/>
              <w:rPr>
                <w:sz w:val="1"/>
                <w:szCs w:val="1"/>
                <w:color w:val="auto"/>
              </w:rPr>
            </w:pPr>
          </w:p>
        </w:tc>
      </w:tr>
      <w:tr>
        <w:trPr>
          <w:trHeight w:val="214"/>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7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55,972</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26,273</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service inventories</w:t>
            </w:r>
          </w:p>
        </w:tc>
        <w:tc>
          <w:tcPr>
            <w:tcW w:w="3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0" w:type="dxa"/>
            <w:vAlign w:val="bottom"/>
          </w:tcPr>
          <w:p>
            <w:pPr>
              <w:spacing w:after="0"/>
              <w:rPr>
                <w:sz w:val="1"/>
                <w:szCs w:val="1"/>
                <w:color w:val="auto"/>
              </w:rPr>
            </w:pPr>
          </w:p>
        </w:tc>
      </w:tr>
      <w:tr>
        <w:trPr>
          <w:trHeight w:val="223"/>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83,979</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Consigned inventories included within raw materials and supplies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21,047</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records charges to adjust inventories due to excess and obsolete inventory resulting from lower sales forecasts, product transitioning or discontinuance. The charges incurred during the three and nine months ended March 27, 2026 and March 28, 2025 were included in cost of product sales as follows:</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91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040" w:type="dxa"/>
            <w:vAlign w:val="bottom"/>
          </w:tcPr>
          <w:p>
            <w:pPr>
              <w:spacing w:after="0"/>
              <w:rPr>
                <w:sz w:val="13"/>
                <w:szCs w:val="13"/>
                <w:color w:val="auto"/>
              </w:rPr>
            </w:pPr>
          </w:p>
        </w:tc>
        <w:tc>
          <w:tcPr>
            <w:tcW w:w="1340" w:type="dxa"/>
            <w:vAlign w:val="bottom"/>
          </w:tcPr>
          <w:p>
            <w:pPr>
              <w:jc w:val="right"/>
              <w:ind w:right="15"/>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15"/>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320" w:type="dxa"/>
            <w:vAlign w:val="bottom"/>
          </w:tcPr>
          <w:p>
            <w:pPr>
              <w:spacing w:after="0"/>
              <w:rPr>
                <w:sz w:val="13"/>
                <w:szCs w:val="13"/>
                <w:color w:val="auto"/>
              </w:rPr>
            </w:pPr>
          </w:p>
        </w:tc>
        <w:tc>
          <w:tcPr>
            <w:tcW w:w="1460" w:type="dxa"/>
            <w:vAlign w:val="bottom"/>
          </w:tcPr>
          <w:p>
            <w:pPr>
              <w:jc w:val="right"/>
              <w:ind w:right="454"/>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r>
      <w:tr>
        <w:trPr>
          <w:trHeight w:val="214"/>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4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and obsolete inventory</w:t>
            </w: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service inventory write-downs</w:t>
            </w:r>
          </w:p>
        </w:tc>
        <w:tc>
          <w:tcPr>
            <w:tcW w:w="1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48"/>
        </w:trPr>
        <w:tc>
          <w:tcPr>
            <w:tcW w:w="4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charges</w:t>
            </w:r>
          </w:p>
        </w:tc>
        <w:tc>
          <w:tcPr>
            <w:tcW w:w="1340" w:type="dxa"/>
            <w:vAlign w:val="bottom"/>
            <w:tcBorders>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1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360" w:type="dxa"/>
            <w:vAlign w:val="bottom"/>
          </w:tcPr>
          <w:p>
            <w:pPr>
              <w:spacing w:after="0"/>
              <w:rPr>
                <w:sz w:val="16"/>
                <w:szCs w:val="16"/>
                <w:color w:val="auto"/>
              </w:rPr>
            </w:pPr>
          </w:p>
        </w:tc>
        <w:tc>
          <w:tcPr>
            <w:tcW w:w="144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June 27,</w:t>
            </w:r>
          </w:p>
        </w:tc>
      </w:tr>
      <w:tr>
        <w:trPr>
          <w:trHeight w:val="214"/>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Software and equipment</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81,706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77,566</w:t>
            </w:r>
          </w:p>
        </w:tc>
      </w:tr>
      <w:tr>
        <w:trPr>
          <w:trHeight w:val="223"/>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79,652</w:t>
            </w: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(62,199)</w:t>
            </w:r>
          </w:p>
        </w:tc>
      </w:tr>
      <w:tr>
        <w:trPr>
          <w:trHeight w:val="248"/>
        </w:trPr>
        <w:tc>
          <w:tcPr>
            <w:tcW w:w="75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Included in the total property, plant and equipment, gross were $12.5 million and $10.3 million of assets in progress which have not been placed in service as of March 27, 2026 and June 27, 2025, respectively.</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expense related to property, plant and equipment was $0.7 million and $1.2 million for the three months ended March 27, 2026 and March 28, 2025, respectively. Depreciation expense related to property, plant and equipment was $2.1 million and $4.0 million for the nine months ended March 27, 2026 and March 28, 2025,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360" w:type="dxa"/>
            <w:vAlign w:val="bottom"/>
          </w:tcPr>
          <w:p>
            <w:pPr>
              <w:spacing w:after="0"/>
              <w:rPr>
                <w:sz w:val="16"/>
                <w:szCs w:val="16"/>
                <w:color w:val="auto"/>
              </w:rPr>
            </w:pPr>
          </w:p>
        </w:tc>
        <w:tc>
          <w:tcPr>
            <w:tcW w:w="144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June 27,</w:t>
            </w:r>
          </w:p>
        </w:tc>
      </w:tr>
      <w:tr>
        <w:trPr>
          <w:trHeight w:val="214"/>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 costs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r>
      <w:tr>
        <w:trPr>
          <w:trHeight w:val="223"/>
        </w:trPr>
        <w:tc>
          <w:tcPr>
            <w:tcW w:w="7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accrued expenses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40,082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38,897</w:t>
            </w:r>
          </w:p>
        </w:tc>
      </w:tr>
      <w:tr>
        <w:trPr>
          <w:trHeight w:val="21"/>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accrues for the estimated cost to repair or replace products under warranty. Changes in the warranty liability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0" w:type="dxa"/>
            <w:vAlign w:val="bottom"/>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 w:type="dxa"/>
            <w:vAlign w:val="bottom"/>
          </w:tcPr>
          <w:p>
            <w:pPr>
              <w:spacing w:after="0"/>
              <w:rPr>
                <w:sz w:val="18"/>
                <w:szCs w:val="18"/>
                <w:color w:val="auto"/>
              </w:rPr>
            </w:pPr>
          </w:p>
        </w:tc>
        <w:tc>
          <w:tcPr>
            <w:tcW w:w="3220" w:type="dxa"/>
            <w:vAlign w:val="bottom"/>
            <w:gridSpan w:val="6"/>
          </w:tcPr>
          <w:p>
            <w:pPr>
              <w:jc w:val="right"/>
              <w:ind w:right="91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9"/>
        </w:trPr>
        <w:tc>
          <w:tcPr>
            <w:tcW w:w="43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2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gridSpan w:val="2"/>
          </w:tcPr>
          <w:p>
            <w:pPr>
              <w:jc w:val="center"/>
              <w:ind w:right="19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2"/>
          </w:tcPr>
          <w:p>
            <w:pPr>
              <w:jc w:val="right"/>
              <w:ind w:right="40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373"/>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w:t>
            </w:r>
          </w:p>
        </w:tc>
        <w:tc>
          <w:tcPr>
            <w:tcW w:w="0" w:type="dxa"/>
            <w:vAlign w:val="bottom"/>
          </w:tcPr>
          <w:p>
            <w:pPr>
              <w:spacing w:after="0"/>
              <w:rPr>
                <w:sz w:val="1"/>
                <w:szCs w:val="1"/>
                <w:color w:val="auto"/>
              </w:rPr>
            </w:pPr>
          </w:p>
        </w:tc>
      </w:tr>
      <w:tr>
        <w:trPr>
          <w:trHeight w:val="230"/>
        </w:trPr>
        <w:tc>
          <w:tcPr>
            <w:tcW w:w="4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provision recorded during the period</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Assumed in acquisition</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Consumption during the period</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the end of the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3,281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Payments and Unearned Revenue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June 27,</w:t>
            </w:r>
          </w:p>
        </w:tc>
        <w:tc>
          <w:tcPr>
            <w:tcW w:w="0" w:type="dxa"/>
            <w:vAlign w:val="bottom"/>
          </w:tcPr>
          <w:p>
            <w:pPr>
              <w:spacing w:after="0"/>
              <w:rPr>
                <w:sz w:val="1"/>
                <w:szCs w:val="1"/>
                <w:color w:val="auto"/>
              </w:rPr>
            </w:pPr>
          </w:p>
        </w:tc>
      </w:tr>
      <w:tr>
        <w:trPr>
          <w:trHeight w:val="214"/>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17,940</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49,905</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61,923</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advance payments and unearned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73,735</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Excluded from the balances above are $9.7 million and $8.1 million in long-term unearned revenue as of March 27, 2026 and June 27, 2025,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Measurements of Assets and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The Company maximizes the use of observable inputs and minimizes the use of unobservable inputs in measuring fair value and established a three-level fair value hierarchy that prioritizes the observable inputs used to measure fair value. The three levels of inputs used to measure fair value are as follows:</w:t>
      </w:r>
    </w:p>
    <w:p>
      <w:pPr>
        <w:spacing w:after="0" w:line="72"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such as quoted prices in active markets for identical assets or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market-based inputs or observable inputs that are corroborated by market data; and</w:t>
      </w:r>
    </w:p>
    <w:p>
      <w:pPr>
        <w:spacing w:after="0" w:line="63"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0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estimated fair values and valuation input levels of assets and liabilities that are measured at fair value on a recurring basis as of March 27, 2026 and June 27, 2025 were as follows: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8"/>
                <w:szCs w:val="18"/>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27, 2026</w:t>
            </w: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Valuation Inputs</w:t>
            </w:r>
          </w:p>
        </w:tc>
      </w:tr>
      <w:tr>
        <w:trPr>
          <w:trHeight w:val="213"/>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1</w:t>
            </w:r>
          </w:p>
        </w:tc>
      </w:tr>
      <w:tr>
        <w:trPr>
          <w:trHeight w:val="22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 certificates of deposit</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2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Level 2</w:t>
            </w: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Level 1</w:t>
            </w: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Items are classified within Level 1 if quoted prices are available in active markets. The Company’s Level 1 items are primarily money market funds and marketable securities. As of March 27, 2026 and June 27, 2025, the money market funds were valued at $1.00 net asset value per share.</w:t>
      </w:r>
    </w:p>
    <w:p>
      <w:pPr>
        <w:spacing w:after="0" w:line="108" w:lineRule="exact"/>
        <w:rPr>
          <w:sz w:val="20"/>
          <w:szCs w:val="20"/>
          <w:color w:val="auto"/>
        </w:rPr>
      </w:pPr>
    </w:p>
    <w:p>
      <w:pPr>
        <w:jc w:val="both"/>
        <w:ind w:firstLine="486"/>
        <w:spacing w:after="0" w:line="276" w:lineRule="auto"/>
        <w:rPr>
          <w:sz w:val="20"/>
          <w:szCs w:val="20"/>
          <w:color w:val="auto"/>
        </w:rPr>
      </w:pPr>
      <w:r>
        <w:rPr>
          <w:rFonts w:ascii="Times New Roman" w:cs="Times New Roman" w:eastAsia="Times New Roman" w:hAnsi="Times New Roman"/>
          <w:sz w:val="17"/>
          <w:szCs w:val="17"/>
          <w:color w:val="auto"/>
        </w:rPr>
        <w:t>Items are classified within Level 2 if the observable inputs to quoted market prices, benchmark yields, reported trades, broker/dealer quotes or alternative pricing sources are available with reasonable levels of price transparency. The Company’s bank certificates of deposit are classified within Level</w:t>
      </w:r>
    </w:p>
    <w:p>
      <w:pPr>
        <w:spacing w:after="0" w:line="1" w:lineRule="exact"/>
        <w:rPr>
          <w:sz w:val="20"/>
          <w:szCs w:val="20"/>
          <w:color w:val="auto"/>
        </w:rPr>
      </w:pPr>
    </w:p>
    <w:p>
      <w:pPr>
        <w:ind w:firstLine="8"/>
        <w:spacing w:after="0" w:line="260" w:lineRule="auto"/>
        <w:tabs>
          <w:tab w:leader="none" w:pos="19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bank certificates of deposit approximates their fair value. The Company did not have any recurring assets or liabilities that were valued using significant unobservable inputs.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Credit Facility and Debt</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entered into a Secured Credit Facility Agreement (the “Credit Facility”), dated May 9, 2023, amended as of November 22, 2023, October 18, 2024 and August 28, 2025, with Wells Fargo Bank, National Association, as administrative agent, swingline lender and issuing lender and Wells Fargo Securities LLC, Citigroup Global Markets Inc., and Regions Capital Markets as lenders. On August 28, 2025, the Company entered into an amendment under the Credit Facility to increase the Term Loan and Revolver commitments by $20 million for each instrument. The Credit Facility provides for a $95.0 million revolving credit facility (the “Revolver”) and a $95.0 million Term Loan Facility (the “Term Loan”) with a maturity date of October 18, 2029. The $95.0 million Revolver can be borrowed with a $20.0 million sub-limit for letters of credit, and a $10.0 million swingline loan sub-limit.</w:t>
      </w:r>
    </w:p>
    <w:p>
      <w:pPr>
        <w:spacing w:after="0" w:line="13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November 2023, the Company borrowed $50.0 million against the Term Loan to primarily settle the cash portion of the consideration associated with the NEC Transaction (as defined below). See Note 11. Acquisitions for further information.</w:t>
      </w:r>
    </w:p>
    <w:p>
      <w:pPr>
        <w:spacing w:after="0" w:line="10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27, 2026, the available credit under the Revolver was $71.3 million, reflecting the available limit of $95 million less outstanding borrowings of $15 million and outstanding letters of credit of $8.7 million. The Company borrowed and repaid $75.0 million against the Revolver during the nine months ended March 27, 2026. The Company borrowed $20.0 million and repaid $3.2 million against the Term Loan during the nine months ended March 27, 2026.</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 w:name="page15"/>
    <w:bookmarkEnd w:id="14"/>
    <w:p>
      <w:pPr>
        <w:ind w:left="500"/>
        <w:spacing w:after="0"/>
        <w:rPr>
          <w:sz w:val="20"/>
          <w:szCs w:val="20"/>
          <w:color w:val="auto"/>
        </w:rPr>
      </w:pPr>
      <w:r>
        <w:rPr>
          <w:rFonts w:ascii="Times New Roman" w:cs="Times New Roman" w:eastAsia="Times New Roman" w:hAnsi="Times New Roman"/>
          <w:sz w:val="18"/>
          <w:szCs w:val="18"/>
          <w:color w:val="auto"/>
        </w:rPr>
        <w:t>The following summarizes the Company’s outstanding long-term debt as of March 27, 2026:</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0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9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29"/>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Revolver</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Term loan</w:t>
            </w: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89,883</w:t>
            </w:r>
          </w:p>
        </w:tc>
      </w:tr>
      <w:tr>
        <w:trPr>
          <w:trHeight w:val="229"/>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deferred financing costs</w:t>
            </w:r>
          </w:p>
        </w:tc>
        <w:tc>
          <w:tcPr>
            <w:tcW w:w="7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23"/>
        </w:trPr>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7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104,263</w:t>
            </w:r>
          </w:p>
        </w:tc>
      </w:tr>
      <w:tr>
        <w:trPr>
          <w:trHeight w:val="23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7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w:t>
            </w:r>
          </w:p>
        </w:tc>
      </w:tr>
      <w:tr>
        <w:trPr>
          <w:trHeight w:val="223"/>
        </w:trPr>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long-term debt</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98,668</w:t>
            </w:r>
          </w:p>
        </w:tc>
      </w:tr>
      <w:tr>
        <w:trPr>
          <w:trHeight w:val="21"/>
        </w:trPr>
        <w:tc>
          <w:tcPr>
            <w:tcW w:w="9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Outstanding borrowings under the Credit Facility bear interest at either: (a) Adjusted Term Secured Overnight Financing Rate (“SOFR”) plus the applicable margin; or (b) the Base Rate plus the applicable margin. The pricing levels for interest rate margins are determined based on the Consolidated Total Leverage Ratio as determined and adjusted quarterly. As of March 27, 2026, the applicable margin on Adjusted Term SOFR and Base Rate borrowings was 2.75% and 1.75%, respectively. The effective rate of interest on the outstanding Term Loan borrowings as of March 27, 2026 was 6.5%.</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Credit Facility requires the Company and its subsidiaries to maintain a fixed charge coverage ratio to be greater than 1.25 to 1.00 as of the last day of any fiscal quarter of the Company. The Credit Facility also requires that the Company maintain a maximum leverage ratio of 3.00 times EBITDA, with a step-down to 2.75 times EBITDA after four full quarters, and 2.50 times EBITDA after eight full quarters. The current maximum leverage ratio requirement is 2.75 times EBITDA. The Credit Facility contains customary affirmative and negative covenants, including, among others, covenants limiting the ability of the Company and its subsidiaries to dispose of assets, permit a change in control, merge or consolidate, make acquisitions, incur indebtedness, grant liens, make investments, make certain restricted payments, and enter into transactions with affiliates, in each case subject to customary exceptions. As of March 27, 2026, the Company was in compliance with all financial covenants contained in the Credit Facility.</w:t>
      </w:r>
    </w:p>
    <w:p>
      <w:pPr>
        <w:spacing w:after="0" w:line="1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27, 2026, scheduled maturities of outstanding long-term debt by fiscal year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74,923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104,883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Restructuring</w:t>
            </w:r>
          </w:p>
        </w:tc>
        <w:tc>
          <w:tcPr>
            <w:tcW w:w="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64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40" w:type="dxa"/>
            <w:vAlign w:val="bottom"/>
            <w:gridSpan w:val="8"/>
          </w:tcPr>
          <w:p>
            <w:pPr>
              <w:ind w:left="440"/>
              <w:spacing w:after="0"/>
              <w:rPr>
                <w:sz w:val="20"/>
                <w:szCs w:val="20"/>
                <w:color w:val="auto"/>
              </w:rPr>
            </w:pPr>
            <w:r>
              <w:rPr>
                <w:rFonts w:ascii="Times New Roman" w:cs="Times New Roman" w:eastAsia="Times New Roman" w:hAnsi="Times New Roman"/>
                <w:sz w:val="18"/>
                <w:szCs w:val="18"/>
                <w:color w:val="auto"/>
              </w:rPr>
              <w:t>The following table summarizes restructuring related activities during the nine months ended March 27, 2026:</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880" w:type="dxa"/>
            <w:vAlign w:val="bottom"/>
            <w:tcBorders>
              <w:bottom w:val="single" w:sz="8" w:color="auto"/>
            </w:tcBorders>
            <w:gridSpan w:val="3"/>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188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Employee Severance and</w:t>
            </w:r>
          </w:p>
        </w:tc>
        <w:tc>
          <w:tcPr>
            <w:tcW w:w="140" w:type="dxa"/>
            <w:vAlign w:val="bottom"/>
          </w:tcPr>
          <w:p>
            <w:pPr>
              <w:spacing w:after="0"/>
              <w:rPr>
                <w:sz w:val="13"/>
                <w:szCs w:val="13"/>
                <w:color w:val="auto"/>
              </w:rPr>
            </w:pPr>
          </w:p>
        </w:tc>
        <w:tc>
          <w:tcPr>
            <w:tcW w:w="1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Facilities and Other</w:t>
            </w:r>
          </w:p>
        </w:tc>
        <w:tc>
          <w:tcPr>
            <w:tcW w:w="420" w:type="dxa"/>
            <w:vAlign w:val="bottom"/>
          </w:tcPr>
          <w:p>
            <w:pPr>
              <w:spacing w:after="0"/>
              <w:rPr>
                <w:sz w:val="13"/>
                <w:szCs w:val="13"/>
                <w:color w:val="auto"/>
              </w:rPr>
            </w:pPr>
          </w:p>
        </w:tc>
        <w:tc>
          <w:tcPr>
            <w:tcW w:w="14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60" w:type="dxa"/>
            <w:vAlign w:val="bottom"/>
          </w:tcPr>
          <w:p>
            <w:pPr>
              <w:spacing w:after="0"/>
              <w:rPr>
                <w:sz w:val="18"/>
                <w:szCs w:val="18"/>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Benefits</w:t>
            </w:r>
          </w:p>
        </w:tc>
        <w:tc>
          <w:tcPr>
            <w:tcW w:w="140" w:type="dxa"/>
            <w:vAlign w:val="bottom"/>
          </w:tcPr>
          <w:p>
            <w:pPr>
              <w:spacing w:after="0"/>
              <w:rPr>
                <w:sz w:val="18"/>
                <w:szCs w:val="18"/>
                <w:color w:val="auto"/>
              </w:rPr>
            </w:pPr>
          </w:p>
        </w:tc>
        <w:tc>
          <w:tcPr>
            <w:tcW w:w="1740" w:type="dxa"/>
            <w:vAlign w:val="bottom"/>
            <w:gridSpan w:val="3"/>
            <w:vMerge w:val="continue"/>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27, 2025</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26, 2025</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8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Charges, net</w:t>
            </w:r>
          </w:p>
        </w:tc>
        <w:tc>
          <w:tcPr>
            <w:tcW w:w="3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580" w:type="dxa"/>
            <w:vAlign w:val="bottom"/>
            <w:tcBorders>
              <w:top w:val="single" w:sz="8" w:color="CCEEFF"/>
            </w:tcBorders>
            <w:vMerge w:val="continue"/>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26, 2025</w:t>
            </w: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Charges, net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payments</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27, 2026</w:t>
            </w: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5" w:name="page16"/>
    <w:bookmarkEnd w:id="15"/>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As of March 27, 2026, the accrued restructuring balance of $0.2 million was included in other current liabilities on the unaudited condensed consolidated balance sheets. Included in the above were positions identified for termination that have not been executed from a restructuring perspective.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2025 Plans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During fiscal 2025, the Company’s Board of Directors approved restructuring plans, primarily associated with reductions in workforce in certain of the Company’s operations to optimize skill sets and align cost structure. The fiscal 2025 plans are expected to be completed through the end of fiscal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November 2021, the Company’s Board of Directors approved a stock repurchase program to purchase up to $10.0 million of the Company’s common stock. As of March 27, 2026, $5.8 million remains available and Aviat may choose to suspend or discontinue the repurchase program at any time. Repurchased shares are recorded as treasury stock. During the third quarter of fiscal 2026, the Company repurchased 20,180 shares of its common stock in the open market for an aggregate purchase price, including commissions, of $0.5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Programs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As of March 27, 2026, the Company had one active stock incentive plan for its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spacing w:after="0" w:line="11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the 2018 Plan, option exercise prices are equal to the fair market value of Aviat common stock on the date the options are granted using the closing stock price. After vesting, options generally may be exercised within seven years after the date of grant.</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annually to non-executive board members generally vest on the day before the annual stockholders’ meeting.</w:t>
      </w:r>
    </w:p>
    <w:p>
      <w:pPr>
        <w:spacing w:after="0" w:line="12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Vesting of performance share awards and units is subject to the achievement of predetermined financial performance and share price criteria, and continued employment through the end of the applicable period.</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nine months ended March 27, 2026, the Company granted 234,225 restricted stock units and 128,629 performance share awards.</w:t>
      </w:r>
    </w:p>
    <w:p>
      <w:pPr>
        <w:spacing w:after="0" w:line="17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compensation cost for share-based payment awards on a straight-line basis over the requisite service period. For awards with a performance condition vesting feature, share-based compensation costs are recognized when achievement of the performance conditions is considered probable. Forfeitures are recognized as they occur.</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Total compensation expense for share-based awards included in the unaudited condensed consolidated statements of operations was as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6" w:name="page17"/>
    <w:bookmarkEnd w:id="16"/>
    <w:tbl>
      <w:tblPr>
        <w:tblLayout w:type="fixed"/>
        <w:tblInd w:w="1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8"/>
                <w:szCs w:val="18"/>
                <w:color w:val="auto"/>
              </w:rPr>
            </w:pPr>
          </w:p>
        </w:tc>
        <w:tc>
          <w:tcPr>
            <w:tcW w:w="2500" w:type="dxa"/>
            <w:vAlign w:val="bottom"/>
            <w:gridSpan w:val="4"/>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10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212"/>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2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212"/>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0" w:type="dxa"/>
            <w:vAlign w:val="bottom"/>
          </w:tcPr>
          <w:p>
            <w:pPr>
              <w:spacing w:after="0"/>
              <w:rPr>
                <w:sz w:val="1"/>
                <w:szCs w:val="1"/>
                <w:color w:val="auto"/>
              </w:rPr>
            </w:pPr>
          </w:p>
        </w:tc>
      </w:tr>
      <w:tr>
        <w:trPr>
          <w:trHeight w:val="214"/>
        </w:trPr>
        <w:tc>
          <w:tcPr>
            <w:tcW w:w="55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1"/>
        </w:trPr>
        <w:tc>
          <w:tcPr>
            <w:tcW w:w="5580" w:type="dxa"/>
            <w:vAlign w:val="bottom"/>
            <w:gridSpan w:val="4"/>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b w:val="1"/>
                <w:bCs w:val="1"/>
                <w:color w:val="auto"/>
              </w:rPr>
              <w:t>By Expense Category:</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7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38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gridSpan w:val="4"/>
            <w:vMerge w:val="restart"/>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By Type of Award: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580" w:type="dxa"/>
            <w:vAlign w:val="bottom"/>
            <w:gridSpan w:val="4"/>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56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Restricted stock and performance share awards and units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56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27, 2026, there was approximately $0.2 million of total unrecognized compensation expense related to non-vested stock options granted which is expected to be recognized over a weighted-average period of 0.42 years. As of March 27, 2026, there was $9.5 million of total unrecognized compensation expense related to non-vested stock awards which is expected to be recognized over a weighted-average period of 1.82 years.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Note 9. Segment and Geographic Information</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Aviat operates in one reportable business segment: the design, manufacturing, and sale of a range of wireless networking and access networking products, solutions, and services. Aviat conducts business globally and its sales and support activities are managed on a geographic basis. The Company’s Chief Executive Officer (“CEO”) is the Chief Operating Decision Maker (the “CODM”). The CODM manages the business primarily by function globally and reviews financial information on a consolidated basis, accompanied by disaggregated information about revenues by geographic region, for purposes of allocating resources and evaluating financial performance. The profitability of geographic regions is not a determining factor in allocating resources and the CODM does not evaluate profitability below the level of the consolidated company. Significant segment expenses are not analyzed by segment within the Company’s internal reporting. Significant segment expenses are presented in Aviat’s consolidated statement of operations.</w:t>
      </w:r>
    </w:p>
    <w:p>
      <w:pPr>
        <w:spacing w:after="0" w:line="13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reports revenue by region and country based on the location where its customers accept delivery of products and services. Revenue by region for the three and nine months ended March 27, 2026 and March 28, 2025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2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3200" w:type="dxa"/>
            <w:vAlign w:val="bottom"/>
            <w:gridSpan w:val="4"/>
          </w:tcPr>
          <w:p>
            <w:pPr>
              <w:jc w:val="right"/>
              <w:ind w:right="97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41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3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413"/>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2"/>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3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393"/>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r>
      <w:tr>
        <w:trPr>
          <w:trHeight w:val="214"/>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149,589</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Africa and the Middle East</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38,210</w:t>
            </w: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23,376</w:t>
            </w:r>
          </w:p>
        </w:tc>
      </w:tr>
      <w:tr>
        <w:trPr>
          <w:trHeight w:val="230"/>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Latin America and Asia Pacific</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108,091</w:t>
            </w: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319,266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17" w:name="page18"/>
    <w:bookmarkEnd w:id="17"/>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Revenue by country comprising more than 10% of total revenue for the three and nine months ended March 27, 2026 and March 28, 2025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8"/>
                <w:szCs w:val="18"/>
                <w:color w:val="auto"/>
              </w:rPr>
            </w:pPr>
          </w:p>
        </w:tc>
        <w:tc>
          <w:tcPr>
            <w:tcW w:w="3340" w:type="dxa"/>
            <w:vAlign w:val="bottom"/>
            <w:gridSpan w:val="4"/>
          </w:tcPr>
          <w:p>
            <w:pPr>
              <w:ind w:left="82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158"/>
        </w:trPr>
        <w:tc>
          <w:tcPr>
            <w:tcW w:w="38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3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454"/>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tcPr>
          <w:p>
            <w:pPr>
              <w:ind w:left="22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3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454"/>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r>
      <w:tr>
        <w:trPr>
          <w:trHeight w:val="214"/>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147,902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136,201</w:t>
            </w:r>
          </w:p>
        </w:tc>
      </w:tr>
      <w:tr>
        <w:trPr>
          <w:trHeight w:val="230"/>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170,893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183,065</w:t>
            </w:r>
          </w:p>
        </w:tc>
      </w:tr>
      <w:tr>
        <w:trPr>
          <w:trHeight w:val="248"/>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318,795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319,266</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Long-lived assets, consisting primarily of net property, plant and equipment and operating lease right-of-use assets, by geographic areas based on physical location as of March 27, 2026 and June 27, 2025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March 27,</w:t>
            </w:r>
          </w:p>
        </w:tc>
        <w:tc>
          <w:tcPr>
            <w:tcW w:w="340" w:type="dxa"/>
            <w:vAlign w:val="bottom"/>
          </w:tcPr>
          <w:p>
            <w:pPr>
              <w:spacing w:after="0"/>
              <w:rPr>
                <w:sz w:val="17"/>
                <w:szCs w:val="17"/>
                <w:color w:val="auto"/>
              </w:rPr>
            </w:pP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27,</w:t>
            </w:r>
          </w:p>
        </w:tc>
      </w:tr>
      <w:tr>
        <w:trPr>
          <w:trHeight w:val="241"/>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5"/>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w:t>
            </w: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Slovenia</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w:t>
            </w: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r>
      <w:tr>
        <w:trPr>
          <w:trHeight w:val="223"/>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20,566</w:t>
            </w:r>
          </w:p>
        </w:tc>
      </w:tr>
      <w:tr>
        <w:trPr>
          <w:trHeight w:val="21"/>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effective tax rate varies from the U.S. federal statutory rate of 21% primarily due to state taxes, losses in certain jurisdictions for which no tax benefit can be recognized, stock-based compensation and foreign operations that are subject to income taxes at different statutory rates. During interim periods, tax expense or benefit are accrued for jurisdictions that are anticipated to be profitable for fiscal 2026.</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determination of income taxes for the nine months ended March 27, 2026 and March 28, 2025 was based on the Company’s estimated annual effective tax rate adjusted for losses in certain jurisdictions for which no tax benefit can be recognized. The tax expense for the nine months ended March 27, 2026 was primarily related to U.S. and profitable foreign subsidiaries. The tax benefit for the nine months ended March 28, 2025 was primarily resulting from year-to-date losses.</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Singapore, and various state and foreign jurisdictions. The Company is currently under examination in Singapore for fiscal years 2015-2021 and in various other foreign jurisdictions. The Company remains subject to potential audits in the U.S. for fiscal years after 2021, and in Singapore for fiscal years after 2014. Additionally, all net operating losses and tax credits generated to date in these two jurisdictions are subject to adjustment.</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continues to have a valuation allowance against certain foreign deferred tax assets. However, given the Company’s current earnings and anticipated future earnings outside of the United States, the Company believes there is a reasonable possibility that within the next 12 months, sufficient positive evidence may become available to allow the Company to conclude a significant portion of this valuation allowance will no longer be needed. Release of the valuation allowance would result in recognition of certain deferred tax assets, and a decrease to income tax expense for the period the release is recorded. However, the exact timing and amount of the valuation release are subject to change on the basis of the level of profitability that the Company is able to achieve.</w:t>
      </w:r>
    </w:p>
    <w:p>
      <w:pPr>
        <w:spacing w:after="0" w:line="13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and penalties related to unrecognized tax benefits are accounted for as part of the provision for federal, foreign, and state income taxes. Such interest expense was not material for the nine months ended March 27, 2026 and March 28, 2025.</w:t>
      </w:r>
    </w:p>
    <w:p>
      <w:pPr>
        <w:spacing w:after="0" w:line="10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The Company will continue to examine the elements of the ARPA and the impact it may have on future business.</w:t>
      </w: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8" w:name="page19"/>
    <w:bookmarkEnd w:id="18"/>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At this time the Company does not expect a material effect on our consolidated financial statements, but will continue to examine the impacts of OBBBA on current and future business.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4RF Limited</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July 2, 2024, the Company acquired 4RF Limited (“4RF”), a New Zealand company. Aviat purchased all of the issued and outstanding shares of 4RF in an all-cash transaction for $18.2 million, net of $1.2 million cash acquired. 4RF is a leading provider of industrial wireless access solutions, including narrowband point-to-point/multi-point radios and Private LTE and 5G routers. The acquisition of 4RF allows Aviat to expand its product offering for the global industrial wireless access markets including Private LTE/5G.</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4RF acquisition was accounted for as a business combination using the acquisition method of accounting. During the fourth quarter of fiscal 2025, the Company finalized purchase accounting adjustments for the valuation of intangible and tangible assets acquired. The fair value of the acquired intangible assets are based on estimates and assumptions that are considered reasonable to the Company.</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finalized purchase price allocation is as follows: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9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5,123</w:t>
            </w:r>
          </w:p>
        </w:tc>
      </w:tr>
      <w:tr>
        <w:trPr>
          <w:trHeight w:val="229"/>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finite-lived intangible assets:</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9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r>
      <w:tr>
        <w:trPr>
          <w:trHeight w:val="229"/>
        </w:trPr>
        <w:tc>
          <w:tcPr>
            <w:tcW w:w="9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30"/>
        </w:trPr>
        <w:tc>
          <w:tcPr>
            <w:tcW w:w="9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w:t>
            </w:r>
          </w:p>
        </w:tc>
      </w:tr>
      <w:tr>
        <w:trPr>
          <w:trHeight w:val="229"/>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payments and unearned revenue</w:t>
            </w:r>
          </w:p>
        </w:tc>
        <w:tc>
          <w:tcPr>
            <w:tcW w:w="8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0"/>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8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r>
      <w:tr>
        <w:trPr>
          <w:trHeight w:val="23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w:t>
            </w:r>
          </w:p>
        </w:tc>
      </w:tr>
      <w:tr>
        <w:trPr>
          <w:trHeight w:val="223"/>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84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19,365</w:t>
            </w:r>
          </w:p>
        </w:tc>
      </w:tr>
      <w:tr>
        <w:trPr>
          <w:trHeight w:val="20"/>
        </w:trPr>
        <w:tc>
          <w:tcPr>
            <w:tcW w:w="90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final purchase price allocation was updated during the fourth quarter of fiscal 2025 for certain measurement period adjustments based on revised estimates of fair value, which primarily resulted in a $1.7 million decrease to inventories, a $1.1 million increase in other assets, a $0.4 million increase in identifiable intangible assets and a $0.3 million increase to goodwill. The goodwill from this acquisition is non-deductible for tax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NEC’s Wireless Transport Business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9, 2023, the Company entered into a Master Sale of Business Agreement (as amended on November 30, 2023, the “Purchase Agreement”) with NEC Corporation (“NEC”) to acquire NEC’s wireless transport business (the “NEC Transaction”). The Company completed the NEC Transaction on November 30, 2023.</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Prior to the acquisition date, NEC was a leader in wireless backhaul networks with an extensive installed base of their Pasolink series products. The completion of the NEC Transaction increases the scale of Aviat, enhances the Company’s product portfolio with a greater capability to innovate, and creates a more diversified business. The results of operations of the NEC Transaction have been included in the consolidated financial statements since the date of acquisition.</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fair value of the consideration transferred at the closing of the NEC Transaction was comprised of (i) cash of $32.2 million, and (ii) the issuance of 736,750 shares or $22.3 million of common stock of the Company. The fair value of the shares issued was determined based on the closing market price of the Company’s common stock on the acquisition date.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Aggregate consideration transferred at closing was approximately $54.5 million, which was subject to certain post-closing adjustments. The Company funded the cash portion of the consideration with Term Loan borrowings under its Credit Facility. Refer to Note 6. Credit Facility and Debt for further information.</w:t>
      </w:r>
    </w:p>
    <w:p>
      <w:pPr>
        <w:spacing w:after="0" w:line="12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second and fourth quarters of fiscal 2025, the Company transferred consideration of $5.8 million and $12.7 million, respectively, to settle the post-closing working capital adjustment.</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Orders and Other Commitments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in the normal course of business, the Company may enter into purchasing agreements with its suppliers that require the Company to accept delivery of and remit full payment for (i) finished products that it has ordered, (ii) finished products that it requested be held as safety stock, and</w:t>
      </w:r>
    </w:p>
    <w:p>
      <w:pPr>
        <w:jc w:val="both"/>
        <w:ind w:firstLine="8"/>
        <w:spacing w:after="0" w:line="253" w:lineRule="auto"/>
        <w:tabs>
          <w:tab w:leader="none" w:pos="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in process started on its behalf, in the event it cancels or terminates the purchasing agreement. Because these agreements do not specify fixed or minimum quantities, do not specify minimum or variable price provisions, and do not specify the approximate timing of the transaction, and the Company has no present intention to cancel or terminate any of these agreements, the Company currently does not believe that it has any future liability under these agreements. As of March 27, 2026, the Company had outstanding purchase obligations with its suppliers or contract manufacturers of $43.3 million. In addition, the Company had purchase obligations of approximately $5.9 million associated with software as a service and software maintenance support.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 and Commercial Commitments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Guarantees issued by banks, insurance companies, or other financial institutions are contingent commitments issued to guarantee performance under borrowing arrangements, such as bank overdraft facilities, tax and customs obligations, and similar transactions, or to ensure performance under customer or vendor contracts. The terms of the guarantees are generally equal to the remaining term of the related debt or other obligations and are generally limited to two years or less. As of March 27, 2026, the Company had no guarantees applicable to its debt arrangements.</w:t>
      </w:r>
    </w:p>
    <w:p>
      <w:pPr>
        <w:spacing w:after="0" w:line="12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March 27, 2026, the Company had commercial commitments outstanding of $36.0 million, that were not recorded on the unaudited condensed consolidated balance sheets. The Company does not believe, based on historical experience and information currently available, that it is probable that any significant amounts will be required to be paid on these performance guarantees in the future.</w:t>
      </w:r>
    </w:p>
    <w:p>
      <w:pPr>
        <w:spacing w:after="0" w:line="1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details of the Company’s commercial commitments: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March 27,</w:t>
            </w:r>
          </w:p>
        </w:tc>
      </w:tr>
      <w:tr>
        <w:trPr>
          <w:trHeight w:val="214"/>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225"/>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8,698</w:t>
            </w:r>
          </w:p>
        </w:tc>
      </w:tr>
      <w:tr>
        <w:trPr>
          <w:trHeight w:val="230"/>
        </w:trPr>
        <w:tc>
          <w:tcPr>
            <w:tcW w:w="9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Bonds</w:t>
            </w:r>
          </w:p>
        </w:tc>
        <w:tc>
          <w:tcPr>
            <w:tcW w:w="3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27,312</w:t>
            </w:r>
          </w:p>
        </w:tc>
      </w:tr>
      <w:tr>
        <w:trPr>
          <w:trHeight w:val="248"/>
        </w:trPr>
        <w:tc>
          <w:tcPr>
            <w:tcW w:w="9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36,010</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Under the terms of substantially all of the Company’s license agreements, it has agreed to defend and pay any final judgment against its customers arising from claims against such customers that the Company’s products infringe the intellectual property rights of a third party. As of March 27, 2026, the Company has not received any notice that any customer is subject to an infringement claim arising from the use of its products; the Company has not received any request to defend any customers from infringement claims arising from the use of its products; and the Company has not paid any final judgment on behalf of any customer related to an infringement claim arising from the use of its products. Because the outcome of infringement disputes is related to the specific facts of each case and given the lack of previous or current indemnification claims, the Company cannot estimate the maximum amount of potential future payments, if any, related to its indemnification provisions. As of March 27, 2026, the Company had not recorded any liabilities related to these indemnifications.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 subject from time to time to disputes with customers concerning its products and services. From time to time, the Company may be involved in various other legal claims and litigation that arise in the normal course of its operations. The Company is aggressively defending all current litigation matters. Although there can be no assurances and the outcome of these matters is currently not determinable, the Company currently believes that none of these claims or proceedings are likely to have a material adverse effect on its financial position. There are many uncertainties associated with any litigation and these actions or other third-party claims against the Company may cause it to incur costly litigation and/or substantial settlement charges. As a result, the Company’s business, financial condition, results of operations, and cash flows could be adversely affected. The actual liability in any such matters may be materially different from the Company’s estimates, if any.</w:t>
      </w:r>
    </w:p>
    <w:p>
      <w:pPr>
        <w:spacing w:after="0" w:line="13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August 13, 2025 and October 21, 2025, NEC issued letters of arbitration to the Company originally demanding $19 million of additional component purchases, which the Company believes is unfounded and not required under the Manufacturing Supply Agreement (“MSA”). NEC further demanded the escrow under the Purchase Agreement which Aviat counter-claimed for the same escrow funds. The NEC arbitration letters also included a demand for payment of the outstanding accounts payable balances which are reflected in Accounts payable of the Company’s consolidated balance sheets and disclosed in Note 14. Related Party Transactions. As of March 27, 2026, the Company cannot predict the outcome of these matters and is asserting certain counterclaims and continues to work through the arbitration process. As such, no loss accrual is deemed necessary. The Company will continue to evaluate the proceedings and the expected outcome of this matter.</w:t>
      </w:r>
    </w:p>
    <w:p>
      <w:pPr>
        <w:spacing w:after="0" w:line="13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records accruals for its outstanding legal proceedings, investigations or claims when it is probable that a liability will be incurred and the amount of loss can be reasonably estimated. The Company evaluates, at least on a quarterly basis, developments in legal proceedings, investigations or claims that could affect the amount of any accrual, as well as any developments that would result in a loss contingency to become both probable and reasonably estimable. The Company has not recorded any significant accrual for loss contingencies associated with such legal claims or litigation discussed above.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records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conditions if there is a reasonable possibility that a loss may have been incurred. Gain contingencies are not recorded until realized. The Company expenses all legal costs incurred to resolve regulatory, legal and tax matters as incurred.</w:t>
      </w:r>
    </w:p>
    <w:p>
      <w:pPr>
        <w:spacing w:after="0" w:line="12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March 2016, an enforcement action by the Indian Department of Revenue, Ministry of Finance was brought against Aviat’s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the acquisition of Telsima India in February 2009. In September 2019, the directors of Aviat India appeared before the Ministry of Finance Enforcement Directorate. The Company appeared before the Joint Director of Enforcement to review the transactions at issue in March 2024, and again on May 22, 2025 to provide additional information. No subsequent hearing date has been scheduled as of March 27, 2026. The Company has accrued an immaterial amount representing the estimated probable loss for which it would settle the matter. The Company currently cannot form an estimate of the range of loss in excess of its amounts already accrued. If the outcome of this matter is greater than the current immaterial amount accrued, the Company intends to dispute it vigorously.</w:t>
      </w:r>
    </w:p>
    <w:p>
      <w:pPr>
        <w:spacing w:after="0" w:line="13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Periodically, the Company reviews the status of each significant matter to assess the potential financial exposure. If a potential loss is considered probable and the amount can be reasonably estimated, the estimated loss is reflected in the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1" w:name="page22"/>
    <w:bookmarkEnd w:id="21"/>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additional information becomes available, the Company will reassess the potential liability related to its pending claims and litigation and may revise estimates accordingly. Such revisions in the estimates of the potential liabilities could have a material impact on the Company’s results of operations and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Goodwill and Intangible Assets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presents details of goodwill and intangible assets:</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March 27,</w:t>
            </w:r>
          </w:p>
        </w:tc>
        <w:tc>
          <w:tcPr>
            <w:tcW w:w="340" w:type="dxa"/>
            <w:vAlign w:val="bottom"/>
          </w:tcPr>
          <w:p>
            <w:pPr>
              <w:spacing w:after="0"/>
              <w:rPr>
                <w:sz w:val="16"/>
                <w:szCs w:val="16"/>
                <w:color w:val="auto"/>
              </w:rPr>
            </w:pPr>
          </w:p>
        </w:tc>
        <w:tc>
          <w:tcPr>
            <w:tcW w:w="1460" w:type="dxa"/>
            <w:vAlign w:val="bottom"/>
          </w:tcPr>
          <w:p>
            <w:pPr>
              <w:jc w:val="center"/>
              <w:ind w:right="276"/>
              <w:spacing w:after="0"/>
              <w:rPr>
                <w:sz w:val="20"/>
                <w:szCs w:val="20"/>
                <w:color w:val="auto"/>
              </w:rPr>
            </w:pPr>
            <w:r>
              <w:rPr>
                <w:rFonts w:ascii="Times New Roman" w:cs="Times New Roman" w:eastAsia="Times New Roman" w:hAnsi="Times New Roman"/>
                <w:sz w:val="16"/>
                <w:szCs w:val="16"/>
                <w:b w:val="1"/>
                <w:bCs w:val="1"/>
                <w:color w:val="auto"/>
              </w:rPr>
              <w:t>June 27,</w:t>
            </w:r>
          </w:p>
        </w:tc>
      </w:tr>
      <w:tr>
        <w:trPr>
          <w:trHeight w:val="214"/>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performs its annual goodwill impairment test on the first day of its fourth fiscal quarter. No indicators of impairment were identified during the current period that required the Company to perform an interim assessment or recoverability test.</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34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360" w:type="dxa"/>
            <w:vAlign w:val="bottom"/>
          </w:tcPr>
          <w:p>
            <w:pPr>
              <w:spacing w:after="0"/>
              <w:rPr>
                <w:sz w:val="16"/>
                <w:szCs w:val="16"/>
                <w:color w:val="auto"/>
              </w:rPr>
            </w:pPr>
          </w:p>
        </w:tc>
        <w:tc>
          <w:tcPr>
            <w:tcW w:w="144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June 27,</w:t>
            </w:r>
          </w:p>
        </w:tc>
        <w:tc>
          <w:tcPr>
            <w:tcW w:w="0" w:type="dxa"/>
            <w:vAlign w:val="bottom"/>
          </w:tcPr>
          <w:p>
            <w:pPr>
              <w:spacing w:after="0"/>
              <w:rPr>
                <w:sz w:val="1"/>
                <w:szCs w:val="1"/>
                <w:color w:val="auto"/>
              </w:rPr>
            </w:pPr>
          </w:p>
        </w:tc>
      </w:tr>
      <w:tr>
        <w:trPr>
          <w:trHeight w:val="214"/>
        </w:trPr>
        <w:tc>
          <w:tcPr>
            <w:tcW w:w="5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useful life)</w:t>
            </w:r>
          </w:p>
        </w:tc>
        <w:tc>
          <w:tcPr>
            <w:tcW w:w="18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Patents</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30"/>
        </w:trPr>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10 — 15</w:t>
            </w:r>
          </w:p>
        </w:tc>
        <w:tc>
          <w:tcPr>
            <w:tcW w:w="3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24,022</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3 — 16</w:t>
            </w: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intangible assets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31,340</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(4,443)</w:t>
            </w:r>
          </w:p>
        </w:tc>
        <w:tc>
          <w:tcPr>
            <w:tcW w:w="0" w:type="dxa"/>
            <w:vAlign w:val="bottom"/>
          </w:tcPr>
          <w:p>
            <w:pPr>
              <w:spacing w:after="0"/>
              <w:rPr>
                <w:sz w:val="1"/>
                <w:szCs w:val="1"/>
                <w:color w:val="auto"/>
              </w:rPr>
            </w:pPr>
          </w:p>
        </w:tc>
      </w:tr>
      <w:tr>
        <w:trPr>
          <w:trHeight w:val="22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24,395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26,897</w:t>
            </w: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Amortization of finite-lived intangibles was $0.7 million and $0.7 million for the three months ended March 27, 2026 and March 28, 2025, respectively. Amortization of finite-lived intangibles was $2.1 million and $2.0 million for the nine months ended March 27, 2026 and March 28, 2025, respectively, and is included in selling and administrative expenses. There were no impairment charges recorded for the three and nine months ended March 27, 2026.</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27, 2026, the estimated future amortization expense of finite-lived intangible assets is as follows (in thousands):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r>
      <w:tr>
        <w:trPr>
          <w:trHeight w:val="229"/>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3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3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30"/>
        </w:trPr>
        <w:tc>
          <w:tcPr>
            <w:tcW w:w="9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12,597</w:t>
            </w:r>
          </w:p>
        </w:tc>
      </w:tr>
      <w:tr>
        <w:trPr>
          <w:trHeight w:val="248"/>
        </w:trPr>
        <w:tc>
          <w:tcPr>
            <w:tcW w:w="94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24,395</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14.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NEC Corporation</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30, 2023, the Company completed the NEC Transaction. See Note 11. Acquisitions for further information. A portion of the total consideration in the NEC Transaction included the issuance of 736,750 shares in Company common stock to NEC. The Company and NEC entered into a Registration Rights and Lock-Up Agreement, restricting NEC’s ability to transfer shares (the “Lock-Up”), except for certain limited exceptions as provided in the Registration Rights and Lock-Up Agreement, until one day after the one-year anniversary of the acquisition date (the “Initial Lock-Up Expiration Date”). Starting one day after the Initial Lock-Up Expiration Date, one-twelfth of the issued shares shall be released from the Lock-Up each month, such that all issued shares shall be released from Lock-Up by the two-year anniversary of the acquisition date. The Lock-Up expired on November 30, 2025. As of March 27, 2026, NEC held approximately 5.7% of the Company’s outstanding common stock.</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NEC Transaction and as of the acquisition date, the Company and NEC entered into agreements covering the performance of certain post-closing services and licensing arrangements. The agreements include arrangements covering manufacturing services and product supply, transition services, distribution services, research and development services, and licensing of trademark and intellectual property (“IP”). The transition services are complete.</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Manufacturing and Supply Agreement included arrangements for NEC to manufacture and supply Pasolink products on behalf of and to the Company and its customers. The licensing agreements include arrangements where the Company will grant NEC a non-exclusive license to certain Pasolink trademarks in Japan, and NEC will grant the Company a non-exclusive, worldwide (excluding Japan) license to certain NEC IP, including mobile backhaul-related patents. The licensing agreements are royalty-free and perpetual.</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summary of the related party activity between the Company and NEC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640" w:type="dxa"/>
            <w:vAlign w:val="bottom"/>
            <w:gridSpan w:val="6"/>
          </w:tcPr>
          <w:p>
            <w:pPr>
              <w:ind w:left="9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740" w:type="dxa"/>
            <w:vAlign w:val="bottom"/>
            <w:gridSpan w:val="4"/>
          </w:tcPr>
          <w:p>
            <w:pPr>
              <w:jc w:val="right"/>
              <w:ind w:right="634"/>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56"/>
        </w:trPr>
        <w:tc>
          <w:tcPr>
            <w:tcW w:w="4620" w:type="dxa"/>
            <w:vAlign w:val="bottom"/>
          </w:tcPr>
          <w:p>
            <w:pPr>
              <w:spacing w:after="0"/>
              <w:rPr>
                <w:sz w:val="13"/>
                <w:szCs w:val="13"/>
                <w:color w:val="auto"/>
              </w:rPr>
            </w:pPr>
          </w:p>
        </w:tc>
        <w:tc>
          <w:tcPr>
            <w:tcW w:w="1320" w:type="dxa"/>
            <w:vAlign w:val="bottom"/>
            <w:tcBorders>
              <w:top w:val="single" w:sz="8" w:color="auto"/>
            </w:tcBorders>
          </w:tcPr>
          <w:p>
            <w:pPr>
              <w:jc w:val="center"/>
              <w:ind w:left="275"/>
              <w:spacing w:after="0" w:line="155"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3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tcPr>
          <w:p>
            <w:pPr>
              <w:jc w:val="right"/>
              <w:ind w:right="610"/>
              <w:spacing w:after="0" w:line="155"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200" w:type="dxa"/>
            <w:vAlign w:val="bottom"/>
            <w:tcBorders>
              <w:top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6"/>
                <w:szCs w:val="16"/>
                <w:b w:val="1"/>
                <w:bCs w:val="1"/>
                <w:color w:val="auto"/>
              </w:rPr>
              <w:t>March 28,</w:t>
            </w:r>
          </w:p>
        </w:tc>
      </w:tr>
      <w:tr>
        <w:trPr>
          <w:trHeight w:val="214"/>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Transition services received</w:t>
            </w:r>
          </w:p>
        </w:tc>
        <w:tc>
          <w:tcPr>
            <w:tcW w:w="1320" w:type="dxa"/>
            <w:vAlign w:val="bottom"/>
            <w:shd w:val="clear" w:color="auto" w:fill="CCEEFF"/>
          </w:tcPr>
          <w:p>
            <w:pPr>
              <w:jc w:val="right"/>
              <w:ind w:right="11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services received</w:t>
            </w:r>
          </w:p>
        </w:tc>
        <w:tc>
          <w:tcPr>
            <w:tcW w:w="1320" w:type="dxa"/>
            <w:vAlign w:val="bottom"/>
          </w:tcPr>
          <w:p>
            <w:pPr>
              <w:spacing w:after="0"/>
              <w:rPr>
                <w:sz w:val="19"/>
                <w:szCs w:val="19"/>
                <w:color w:val="auto"/>
              </w:rPr>
            </w:pP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5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inventories</w:t>
            </w: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35,746</w:t>
            </w:r>
          </w:p>
        </w:tc>
      </w:tr>
    </w:tbl>
    <w:p>
      <w:pPr>
        <w:spacing w:after="0" w:line="2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Company’s outstanding related party balances with NEC included in the unaudited condensed consolidated balance sheets are as follows:</w:t>
      </w:r>
    </w:p>
    <w:p>
      <w:pPr>
        <w:spacing w:after="0" w:line="32"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340" w:type="dxa"/>
            <w:vAlign w:val="bottom"/>
          </w:tcPr>
          <w:p>
            <w:pPr>
              <w:spacing w:after="0"/>
              <w:rPr>
                <w:sz w:val="16"/>
                <w:szCs w:val="16"/>
                <w:color w:val="auto"/>
              </w:rPr>
            </w:pPr>
          </w:p>
        </w:tc>
        <w:tc>
          <w:tcPr>
            <w:tcW w:w="138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June 27,</w:t>
            </w:r>
          </w:p>
        </w:tc>
      </w:tr>
      <w:tr>
        <w:trPr>
          <w:trHeight w:val="214"/>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24,865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ability to maintain effective internal control over financial reporting and management systems and remediate material weaknesses;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4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on estimates reflecting the current beliefs of the senior management of Aviat Networks, Inc. (“Aviat,” the “Company,” “we,” “us,” and “our”).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w:t>
      </w:r>
    </w:p>
    <w:p>
      <w:pPr>
        <w:spacing w:after="0" w:line="12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See “Item 1A. Risk Factors” in the Company’s fiscal 2025 Annual Report on Form 10-K filed with the SEC on September 10, 2025 for more information regarding factors that may cause its results to differ materially from those expressed or implied by the forward-looking statements contained in this Quarterly Report on Form 10-Q.</w:t>
      </w:r>
    </w:p>
    <w:p>
      <w:pPr>
        <w:spacing w:after="0" w:line="12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Business; Operating Environment and Key Factors Impacting Fiscal 2026 and 2025 Results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(“MD&amp;A”) is intended to help the reader understand Aviat’s results of operations and financial condition. MD&amp;A is provided as a supplement to, and should be read in conjunction with, the Company’s unaudited condensed consolidated financial statements and accompanying notes. In the discussion herein, the fiscal year ending July 3, 2026 is referred to as “fiscal 2026” or “2026” and the fiscal year ended June 27, 2025 is referred to as “fiscal 2025” or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Aviat is a global supplier of microwave networking and access networking solutions, backed by an extensive suite of professional services and support. Aviat sells radios, routers, software and services integral to the functioning of data transport networks. Aviat has more than 3,000 customers and significant relationships with global service providers and private network operators. Aviat’s North America manufacturing base consists of a combination of contract manufacturing and assembly and testing operated in Austin, Texas by Aviat. Additionally, Aviat utilizes a contract manufacturer based in Asia for much of its international equipment demand. Aviat’s technology is underpinned by more than 400 patents. Aviat competes on the basis of total cost of ownership, microwave radio expertise and solutions for mission critical communications. Aviat has a global presence.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Review</w:t>
      </w:r>
    </w:p>
    <w:p>
      <w:pPr>
        <w:spacing w:after="0" w:line="17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market for mobile backhaul continued to be the Company’s primary addressable market segment globally in the first nine months of fiscal 2026. In North America, the Company supported 5G and long-term evolution (“LTE”) deployments of its mobile operator customers, public safety network deployments for state and local governments, and private network implementations for utilities and other customers. In international markets, the Company’s business continued to rely on a combination of customers increasing their capacity to handle subscriber growth and the ongoing build-out of some large LTE and 5G deployments. Aviat’s position continues to be to support its customers for 5G and LTE readiness and ensure that its technology roadmap is well aligned with evolving market requirements. Aviat’s strength in turnkey and after-sale support services is a differentiating factor that wins business for the Company and enables it to expand its business with existing customers. Additionally, Aviat operates an e-commerce platform that provides low-cost services, simple experience, and fast delivery to mobile operators and private network customers. In early 2025, U.S. tariffs on foreign imports were introduced. Aviat will attempt to mitigate these tariffs; however, as disclosed below and in the “Risk Factors” section in Item 1A of its Annual Report on Form 10-K filed with the SEC on September 10, 2025, a number of factors could prevent the Company from achieving its objectives, including ongoing pricing pressures attributable to competition and macroeconomic conditions in the geographic markets that it serves.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manages its sales activities primarily on a geographic basis in North America and three international geographic regions: (1) Africa and the Middle East, (2) Europe, and (3) Latin America and Asia Pacific. Revenue by region for the three and nine months ended March 27, 2026 and March 28, 2025 and the related changes were as follows:</w:t>
      </w:r>
    </w:p>
    <w:p>
      <w:pPr>
        <w:spacing w:after="0" w:line="9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20" w:type="dxa"/>
            <w:vAlign w:val="bottom"/>
          </w:tcPr>
          <w:p>
            <w:pPr>
              <w:spacing w:after="0"/>
              <w:rPr>
                <w:sz w:val="13"/>
                <w:szCs w:val="13"/>
                <w:color w:val="auto"/>
              </w:rPr>
            </w:pPr>
          </w:p>
        </w:tc>
        <w:tc>
          <w:tcPr>
            <w:tcW w:w="9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20" w:type="dxa"/>
            <w:vAlign w:val="bottom"/>
          </w:tcPr>
          <w:p>
            <w:pPr>
              <w:spacing w:after="0"/>
              <w:rPr>
                <w:sz w:val="13"/>
                <w:szCs w:val="13"/>
                <w:color w:val="auto"/>
              </w:rPr>
            </w:pPr>
          </w:p>
        </w:tc>
        <w:tc>
          <w:tcPr>
            <w:tcW w:w="8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2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20" w:type="dxa"/>
            <w:vAlign w:val="bottom"/>
          </w:tcPr>
          <w:p>
            <w:pPr>
              <w:spacing w:after="0"/>
              <w:rPr>
                <w:sz w:val="13"/>
                <w:szCs w:val="13"/>
                <w:color w:val="auto"/>
              </w:rPr>
            </w:pPr>
          </w:p>
        </w:tc>
        <w:tc>
          <w:tcPr>
            <w:tcW w:w="8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00" w:type="dxa"/>
            <w:vAlign w:val="bottom"/>
          </w:tcPr>
          <w:p>
            <w:pPr>
              <w:spacing w:after="0"/>
              <w:rPr>
                <w:sz w:val="13"/>
                <w:szCs w:val="13"/>
                <w:color w:val="auto"/>
              </w:rPr>
            </w:pPr>
          </w:p>
        </w:tc>
        <w:tc>
          <w:tcPr>
            <w:tcW w:w="100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46,165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49,402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151,713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Africa and the Middle East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0" w:type="dxa"/>
            <w:vAlign w:val="bottom"/>
          </w:tcPr>
          <w:p>
            <w:pPr>
              <w:spacing w:after="0"/>
              <w:rPr>
                <w:sz w:val="1"/>
                <w:szCs w:val="1"/>
                <w:color w:val="auto"/>
              </w:rPr>
            </w:pPr>
          </w:p>
        </w:tc>
      </w:tr>
      <w:tr>
        <w:trPr>
          <w:trHeight w:val="213"/>
        </w:trPr>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Latin America and Asia Pacific</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27,059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(11,664)</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93,896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108,091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(14,195)</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37"/>
        </w:trPr>
        <w:tc>
          <w:tcPr>
            <w:tcW w:w="2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112,640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318,795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in North America decreased by $3.2 million during the third quarter of fiscal 2026 compared with the same period of fiscal 2025 primarily</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lower demand for products of 17%. Revenue in North America increased by $2.1 million during the first nine months of fiscal 2026 compared with the same period of fiscal 2025 primarily due to increases in demand for services and software offerings of 10% and 5% respectively, partially offset by a decrease in demand for products of 4%.</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in Africa and the Middle East increased by $1.4 million during the third quarter of fiscal 2026 compared with the same period of fiscal 2025 primarily due to increases in demand for software offerings and products of 133% and 13%, respectively, partially offset by a decrease in demand of 35% for services. Revenue in Africa and the Middle East increased by $5.7 million during the first nine months of fiscal 2026 compared with the same period of fiscal 2025, primarily due to increases in demand for software offerings and products of 36% and 15%, respectively.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in Europe increased by $0.9 million during the third quarter of fiscal 2026 compared with the same period of fiscal 2025 primarily due to increases in demand for software offerings and services of 52% and 16%, respectively. Revenue in Europe increased by $5.9 million during the first nine months of fiscal 2026 compared with the same period of fiscal 2025. The increase for the first nine months of fiscal 2026 was primarily due to increases in demand for software offerings and products of 48% and 31%, respectively.</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Revenue in Latin America and Asia Pacific decreased by $11.7 million during the third quarter of fiscal 2026 compared with the same period of fiscal 2025 primarily due to lower demand for software offerings, services, and products of 64%, 25% and 18%, respectively. Revenue in Latin America and Asia Pacific decreased by $14.2 million during the first nine months of fiscal 2026 compared with the same period of fiscal 2025 primarily due to lower demand for services and products of 29% and 11% respectively, partially offset by an increase of 12% on software offerings.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vMerge w:val="restart"/>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10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27, 2026</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20" w:type="dxa"/>
            <w:vAlign w:val="bottom"/>
          </w:tcPr>
          <w:p>
            <w:pPr>
              <w:spacing w:after="0"/>
              <w:rPr>
                <w:sz w:val="13"/>
                <w:szCs w:val="13"/>
                <w:color w:val="auto"/>
              </w:rPr>
            </w:pPr>
          </w:p>
        </w:tc>
        <w:tc>
          <w:tcPr>
            <w:tcW w:w="800" w:type="dxa"/>
            <w:vAlign w:val="bottom"/>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00" w:type="dxa"/>
            <w:vAlign w:val="bottom"/>
          </w:tcPr>
          <w:p>
            <w:pPr>
              <w:spacing w:after="0"/>
              <w:rPr>
                <w:sz w:val="13"/>
                <w:szCs w:val="13"/>
                <w:color w:val="auto"/>
              </w:rPr>
            </w:pPr>
          </w:p>
        </w:tc>
        <w:tc>
          <w:tcPr>
            <w:tcW w:w="980" w:type="dxa"/>
            <w:vAlign w:val="bottom"/>
            <w:vMerge w:val="restart"/>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60" w:type="dxa"/>
            <w:vAlign w:val="bottom"/>
          </w:tcPr>
          <w:p>
            <w:pPr>
              <w:spacing w:after="0"/>
              <w:rPr>
                <w:sz w:val="18"/>
                <w:szCs w:val="18"/>
                <w:color w:val="auto"/>
              </w:rPr>
            </w:pPr>
          </w:p>
        </w:tc>
        <w:tc>
          <w:tcPr>
            <w:tcW w:w="9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100,003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112,640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318,795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319,266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9"/>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70,720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73,344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217,748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219,296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0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48"/>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29,283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(10,013)</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99,970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29.3 %</w:t>
            </w:r>
          </w:p>
        </w:tc>
        <w:tc>
          <w:tcPr>
            <w:tcW w:w="23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34.9 %</w:t>
            </w:r>
          </w:p>
        </w:tc>
        <w:tc>
          <w:tcPr>
            <w:tcW w:w="2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31.7 %</w:t>
            </w:r>
          </w:p>
        </w:tc>
        <w:tc>
          <w:tcPr>
            <w:tcW w:w="302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31.3 %</w:t>
            </w:r>
          </w:p>
        </w:tc>
      </w:tr>
      <w:tr>
        <w:trPr>
          <w:trHeight w:val="229"/>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margin %</w:t>
            </w:r>
          </w:p>
        </w:tc>
        <w:tc>
          <w:tcPr>
            <w:tcW w:w="15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25.4 %</w:t>
            </w:r>
          </w:p>
        </w:tc>
        <w:tc>
          <w:tcPr>
            <w:tcW w:w="2320" w:type="dxa"/>
            <w:vAlign w:val="bottom"/>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33.1 %</w:t>
            </w:r>
          </w:p>
        </w:tc>
        <w:tc>
          <w:tcPr>
            <w:tcW w:w="23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29.6 %</w:t>
            </w:r>
          </w:p>
        </w:tc>
        <w:tc>
          <w:tcPr>
            <w:tcW w:w="3020" w:type="dxa"/>
            <w:vAlign w:val="bottom"/>
            <w:shd w:val="clear" w:color="auto" w:fill="CCEEFF"/>
          </w:tcPr>
          <w:p>
            <w:pPr>
              <w:jc w:val="right"/>
              <w:ind w:right="2030"/>
              <w:spacing w:after="0"/>
              <w:rPr>
                <w:sz w:val="20"/>
                <w:szCs w:val="20"/>
                <w:color w:val="auto"/>
              </w:rPr>
            </w:pPr>
            <w:r>
              <w:rPr>
                <w:rFonts w:ascii="Times New Roman" w:cs="Times New Roman" w:eastAsia="Times New Roman" w:hAnsi="Times New Roman"/>
                <w:sz w:val="18"/>
                <w:szCs w:val="18"/>
                <w:color w:val="auto"/>
              </w:rPr>
              <w:t>28.0 %</w:t>
            </w:r>
          </w:p>
        </w:tc>
      </w:tr>
      <w:tr>
        <w:trPr>
          <w:trHeight w:val="234"/>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margin %</w:t>
            </w: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37.6 %</w:t>
            </w:r>
          </w:p>
        </w:tc>
        <w:tc>
          <w:tcPr>
            <w:tcW w:w="232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38.6 %</w:t>
            </w:r>
          </w:p>
        </w:tc>
        <w:tc>
          <w:tcPr>
            <w:tcW w:w="2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36.7 %</w:t>
            </w:r>
          </w:p>
        </w:tc>
        <w:tc>
          <w:tcPr>
            <w:tcW w:w="302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38.6 %</w:t>
            </w:r>
          </w:p>
        </w:tc>
      </w:tr>
    </w:tbl>
    <w:p>
      <w:pPr>
        <w:spacing w:after="0" w:line="23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margin for the third quarter of fiscal 2026 decreased by $10.0 million compared with the same quarter of fiscal 2025 primarily due to sales volumes and the mix of product and service offerings. Gross margin for the first nine months of fiscal 2026 increased by $1.1 million due to sales volumes and the mix of product and service offerings.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20" w:type="dxa"/>
            <w:vAlign w:val="bottom"/>
          </w:tcPr>
          <w:p>
            <w:pPr>
              <w:spacing w:after="0"/>
              <w:rPr>
                <w:sz w:val="13"/>
                <w:szCs w:val="13"/>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27, 2026</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96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7,656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7,704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21,163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28,334</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(7,171)</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4"/>
        </w:trPr>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of revenue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$48 thousand and $7.2 million for the three and nine months ended March 27, 2026, respectively, compared with the same periods in fiscal 2025, primarily due to cost management initiatives.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60" w:type="dxa"/>
            <w:vAlign w:val="bottom"/>
            <w:tcBorders>
              <w:bottom w:val="single" w:sz="8" w:color="auto"/>
            </w:tcBorders>
          </w:tcPr>
          <w:p>
            <w:pPr>
              <w:spacing w:after="0"/>
              <w:rPr>
                <w:sz w:val="18"/>
                <w:szCs w:val="18"/>
                <w:color w:val="auto"/>
              </w:rPr>
            </w:pPr>
          </w:p>
        </w:tc>
      </w:tr>
      <w:tr>
        <w:trPr>
          <w:trHeight w:val="211"/>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27, 2026</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March 27, 2026</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March 28, 2025</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2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22,121</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(1,756)</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66,125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68,348</w:t>
            </w: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(2,223)</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19.6 %</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2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by $1.8 million for the third quarter of fiscal 2026 compared with the same quarter of fiscal 2025 primarily due to lower administrative costs and cost management initiatives. Selling and administrative expenses decreased by $2.2 million for the first nine months of fiscal 2026 compared with the same period of fiscal 2025 primarily due to lower administrative costs and cost management initiatives.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2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27,</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gridSpan w:val="3"/>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27,</w:t>
            </w:r>
          </w:p>
        </w:tc>
        <w:tc>
          <w:tcPr>
            <w:tcW w:w="120" w:type="dxa"/>
            <w:vAlign w:val="bottom"/>
          </w:tcPr>
          <w:p>
            <w:pPr>
              <w:spacing w:after="0"/>
              <w:rPr>
                <w:sz w:val="13"/>
                <w:szCs w:val="13"/>
                <w:color w:val="auto"/>
              </w:rPr>
            </w:pPr>
          </w:p>
        </w:tc>
        <w:tc>
          <w:tcPr>
            <w:tcW w:w="100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4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8"/>
                <w:szCs w:val="18"/>
                <w:color w:val="auto"/>
              </w:rPr>
            </w:pPr>
          </w:p>
        </w:tc>
        <w:tc>
          <w:tcPr>
            <w:tcW w:w="88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90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Interest expense, net increased by $0.3 million and $1.2 million for the three and nine months ended March 27, 2026, respectively, primarily due to interest expense incurred on incremental Term Loan borrowings compared to the prior year 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51"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20" w:type="dxa"/>
            <w:vAlign w:val="bottom"/>
            <w:gridSpan w:val="3"/>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27,</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28,</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40" w:type="dxa"/>
            <w:vAlign w:val="bottom"/>
          </w:tcPr>
          <w:p>
            <w:pPr>
              <w:spacing w:after="0"/>
              <w:rPr>
                <w:sz w:val="18"/>
                <w:szCs w:val="18"/>
                <w:color w:val="auto"/>
              </w:rPr>
            </w:pPr>
          </w:p>
        </w:tc>
        <w:tc>
          <w:tcPr>
            <w:tcW w:w="90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90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(1,668)</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4,047</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(4,418)</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expense (income), net decreased by $1.7 million and $4.4 million for the three and nine months ended March 27, 2026, respectively, compared with the same quarter of fiscal 2025 primarily as a result of fluctuation in foreign currencies.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20" w:type="dxa"/>
            <w:vAlign w:val="bottom"/>
          </w:tcPr>
          <w:p>
            <w:pPr>
              <w:spacing w:after="0"/>
              <w:rPr>
                <w:sz w:val="13"/>
                <w:szCs w:val="13"/>
                <w:color w:val="auto"/>
              </w:rPr>
            </w:pPr>
          </w:p>
        </w:tc>
        <w:tc>
          <w:tcPr>
            <w:tcW w:w="10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2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 w:type="dxa"/>
            <w:vAlign w:val="bottom"/>
          </w:tcPr>
          <w:p>
            <w:pPr>
              <w:spacing w:after="0"/>
              <w:rPr>
                <w:sz w:val="13"/>
                <w:szCs w:val="13"/>
                <w:color w:val="auto"/>
              </w:rPr>
            </w:pP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27,</w:t>
            </w:r>
          </w:p>
        </w:tc>
        <w:tc>
          <w:tcPr>
            <w:tcW w:w="140" w:type="dxa"/>
            <w:vAlign w:val="bottom"/>
          </w:tcPr>
          <w:p>
            <w:pPr>
              <w:spacing w:after="0"/>
              <w:rPr>
                <w:sz w:val="13"/>
                <w:szCs w:val="13"/>
                <w:color w:val="auto"/>
              </w:rPr>
            </w:pPr>
          </w:p>
        </w:tc>
        <w:tc>
          <w:tcPr>
            <w:tcW w:w="10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28,</w:t>
            </w:r>
          </w:p>
        </w:tc>
        <w:tc>
          <w:tcPr>
            <w:tcW w:w="140" w:type="dxa"/>
            <w:vAlign w:val="bottom"/>
          </w:tcPr>
          <w:p>
            <w:pPr>
              <w:spacing w:after="0"/>
              <w:rPr>
                <w:sz w:val="13"/>
                <w:szCs w:val="13"/>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20" w:type="dxa"/>
            <w:vAlign w:val="bottom"/>
            <w:vMerge w:val="restart"/>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percentages)</w:t>
            </w:r>
          </w:p>
        </w:tc>
        <w:tc>
          <w:tcPr>
            <w:tcW w:w="12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20" w:type="dxa"/>
            <w:vAlign w:val="bottom"/>
            <w:tcBorders>
              <w:top w:val="single" w:sz="8" w:color="CCEEFF"/>
            </w:tcBorders>
            <w:shd w:val="clear" w:color="auto" w:fill="CCEEFF"/>
          </w:tcPr>
          <w:p>
            <w:pPr>
              <w:ind w:left="20"/>
              <w:spacing w:after="0" w:line="166" w:lineRule="exact"/>
              <w:rPr>
                <w:sz w:val="20"/>
                <w:szCs w:val="20"/>
                <w:color w:val="auto"/>
              </w:rPr>
            </w:pPr>
            <w:r>
              <w:rPr>
                <w:rFonts w:ascii="Times New Roman" w:cs="Times New Roman" w:eastAsia="Times New Roman" w:hAnsi="Times New Roman"/>
                <w:sz w:val="18"/>
                <w:szCs w:val="18"/>
                <w:color w:val="auto"/>
              </w:rPr>
              <w:t>(Loss) income before income</w:t>
            </w: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14,921</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w:t>
            </w:r>
          </w:p>
        </w:tc>
        <w:tc>
          <w:tcPr>
            <w:tcW w:w="0" w:type="dxa"/>
            <w:vAlign w:val="bottom"/>
          </w:tcPr>
          <w:p>
            <w:pPr>
              <w:spacing w:after="0"/>
              <w:rPr>
                <w:sz w:val="1"/>
                <w:szCs w:val="1"/>
                <w:color w:val="auto"/>
              </w:rPr>
            </w:pPr>
          </w:p>
        </w:tc>
      </w:tr>
      <w:tr>
        <w:trPr>
          <w:trHeight w:val="184"/>
        </w:trPr>
        <w:tc>
          <w:tcPr>
            <w:tcW w:w="2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(Benefit from) provision for</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estimates its annual effective tax rate at the end of each quarterly period and records the tax effect of certain discrete items in the interim period in which they occur, including changes in judgment about uncertain tax positions and deferred tax valuation allowances.</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tax expense for the first nine months of fiscal 2026 was primarily attributable to tax expense related to U.S. and profitable foreign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benefit for the first nine months of fiscal 2025 was primarily resulting from year-to-date losses.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Strategies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17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As of March 27, 2026, the Company’s total cash and cash equivalents were $78.1 million. Approximately $16.2 million was held in the United States. The remaining balance of $61.9 million, or 79%, was held outside the United States.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Operating cash flows are presented as net income (loss) adjusted for certain non-cash items and changes in operating assets and liabilities. Net cash provided by (used in) operating activities was $10.5 million for the first nine months of fiscal 2026, compared with $(4.8) million in the prior year. The $15.3 million increase is primarily attributable to increased earnings and increases in working capital compared to the prior year.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$7.8 million for the first nine months of fiscal 2026, compared to $26.3 million in the prior year. The $18.4 million decrease is primarily due to the absence of prior year acquisition payments associated with the NEC Transaction in the current year.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Financing cash flows consist primarily of borrowings and repayments under the Company’s Credit Facility and proceeds from the exercise of employee stock options. Net cash provided by financing activities was $15.8 million for the first nine months of fiscal 2026, compared with $17.6 million in the prior year. The $1.8 million decrease is primarily due to reduced net Term Loan borrowings of $16.8 million compared to $25.3 million in the prior year and the absence of prior year payments of deferred consideration for acquisitions of $5.8 million.</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March 27, 2026, the Company’s principal sources of liquidity consisted of $78.1 million in cash and cash equivalents, $76.4 million of available credit under its Credit Facility, and future collections of receivables from customers. On August 28, 2025, the Company entered into an amendment under the Credit Facility to increase the Term Loan and Revolver commitments by $20 million for each instrument. The Company regularly requires letters of credit from certain customers, and, from time to time, these letters of credit are discounted without recourse shortly after shipment occurs in order to meet immediate liquidity requirements and to reduce its credit and sovereign risk. Historically, the Company’s primary sources of liquidity have been cash flows from operations and credit facilities.</w:t>
      </w:r>
    </w:p>
    <w:p>
      <w:pPr>
        <w:spacing w:after="0" w:line="133"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Company believes that its existing cash and cash equivalents, the available borrowings under its Credit Facility and future cash collections from customers will be sufficient to provide for its anticipated requirements and plans for cash for at least the next 12 months. In addition, the Company believes these sources of liquidity will be sufficient to provide for its anticipated requirements and plans for cash beyond the next 12 months.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borrowed and repaid $75.0 million against the Revolver during the first nine months of fiscal 2026 and had $15.0 million borrowings outstanding under the Revolver. As of March 27, 2026, the Company had $89.9 million outstanding under its Term Loan and during the first nine months of fiscal 2026 borrowed $20.0 million and repaid $3.2 million against the Term Loan. As of March 27, 2026, the Company was in compliance with all financial covenants contained in the Credit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For information about the Company’s critical accounting estimates, see the “Critical Accounting Estimates” section of “Item 7. Management’s Discussion and Analysis of Financial Condition and Results of Operations” in its fiscal 2025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normal course of doing business, the Company is exposed to risks associated with foreign currency exchange rates and changes in interest rates. The Company employs established policies and procedures governing the use of financial instruments to manage its exposure to such risks. Information about the Company’s market risk is presented in Part II, Item 7A in its fiscal 2025 Annual Report on Form 10-K. There have been no material changes to the Company’s market risk during the first nine months of fiscal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Risk</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conducts business globally in numerous currencies and is therefore exposed to foreign currency risks. From time to time, the Company uses derivative instruments to reduce the volatility of earnings and cash flows associated with changes in foreign currency exchange rates. The Company does not hold or issue derivatives for trading purposes or make speculative investments in foreign currencies.</w:t>
      </w:r>
    </w:p>
    <w:p>
      <w:pPr>
        <w:spacing w:after="0" w:line="12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 The Company did not have any foreign exchange forward contracts outstanding as of March 27, 2026.</w:t>
      </w:r>
    </w:p>
    <w:p>
      <w:pPr>
        <w:spacing w:after="0" w:line="126"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international business are transacted in non-U.S. dollar (“USD”) currencies. From time to time, the Company utilizes foreign currency hedging instruments to minimize the currency risk of non-USD transactions. The impact of translating the assets and liabilities of foreign operations to USD is included as a component of stockholders’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8" w:name="page29"/>
    <w:bookmarkEnd w:id="2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equity. As of March 27, 2026 and June 27, 2025, the cumulative translation adjustment decreased stockholders’ equity by $17.8 million and $18.8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Company’s exposure to market risk for changes in interest rates relates primarily to its cash equivalents and borrowings under its Credit Facility.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6. Credit Facility and Debt of the Notes for further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Cash Equivalents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had $78.1 million in total cash and cash equivalents as of March 27, 2026. Cash equivalents totaled $4.9 million as of March 27, 2026 and were comprised of money market funds and bank certificates of deposit. Cash equivalents have been recorded at fair value. Fair value is measured using inputs that fall into a three-level hierarchy that prioritizes the inputs used to measure fair value based on observability of such inputs. For more information on the fair value measurements of cash equivalents, refer to Note 5. Fair Value Measurements of Assets and Liabilities of the Notes for further information.</w:t>
      </w:r>
    </w:p>
    <w:p>
      <w:pPr>
        <w:spacing w:after="0" w:line="1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cash equivalents earn interest at fixed rates; therefore, changes in interest rates will not generate a gain or loss on these investments unless they are sold prior to maturity. A 10% change in interest rates on the Company’s cash equivalents is not expected to have a material impact on its financial position, results of operations,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Exposure on Borrowings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borrowed and repaid $75.0 million against the Revolver during the first nine months of fiscal 2026 and had $15.0 million borrowings outstanding under the Revolver. As of March 27, 2026, the Company had $89.9 million outstanding under its Term Loan and during the first nine months of fiscal 2026 borrowed $20.0 million and repaid $3.2 million against the Term Loan. As of March 27, 2026, the Company was in compliance with all financial covenants contained in the Credit Facility.</w:t>
      </w:r>
    </w:p>
    <w:p>
      <w:pPr>
        <w:spacing w:after="0" w:line="12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borrowings under the current Credit Facility bear interest at either: (a) Adjusted Term SOFR plus the applicable margin; or (b) the Base Rate plus the applicable margin. The pricing levels for interest rate margins are determined based on the Consolidated Total Leverage Ratio as determined and adjusted quarterly. As of March 27, 2026, the applicable margin on Adjusted Term SOFR and Base Rate borrowings was 2.75% and 1.75%, respectively. The effective rate of interest on the outstanding Term Loan borrowings as of March 27, 2026 was 6.5%.</w:t>
      </w:r>
    </w:p>
    <w:p>
      <w:pPr>
        <w:spacing w:after="0" w:line="12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10% change in interest rates is estimated to have a $0.6 million impact on annual interest expense on the Company’s outstanding long-term debt as of March 27,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disclosed in the Company’s Annual Reports on Form 10-K for the fiscal years ended June 28, 2024, and June 27, 2025, the Company’s management concluded that our disclosure controls and procedures were not effective due to certain material weaknesses in internal control over financial reporting. Refer to Part II, Item 9A. Controls and Procedures in the Company’s Annual Reports on Form 10-K for the fiscal years ended June 28, 2024 and June 27, 2025, for further information.</w:t>
      </w:r>
    </w:p>
    <w:p>
      <w:pPr>
        <w:spacing w:after="0" w:line="12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fiscal 2025 and continuing into the third quarter of fiscal 2026, the Company implemented actions designed to improve our internal control over financial reporting and remediate these material weaknesses, including (i) providing training to the applicable control performers related to the importance of timely execution of control activities for which they are responsible; (ii) the redesign of controls over the determination of the appropriate period for revenue recognition, controls over arrangements where revenue is recognized over time and controls related to the review and approval of journal entries, and (iii) implementing a formal monitoring program to perform the necessary evaluations to ascertain whether the components of internal control are present and functioning, including implementing corrective actions as necessary.</w:t>
      </w:r>
    </w:p>
    <w:p>
      <w:pPr>
        <w:spacing w:after="0" w:line="13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steps are subject to ongoing senior management review, as well as oversight by the audit committee of our Board of Directors. While significant progress has been made to remediate the material weaknesses, the material weaknesses will not be considered remediated until the associated controls operate effectively for a sufficient period of time and management concludes, through testing, that the controls are operating effectively. We will continue to monitor the design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and effectiveness of these and other processes, procedures and controls and make further changes management deems appropriate.</w:t>
      </w:r>
    </w:p>
    <w:p>
      <w:pPr>
        <w:spacing w:after="0" w:line="17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our President and CEO, and Chief Financial Officer (“CFO”), completed an evaluation of the effectiveness of the design and operation of the disclosure controls and procedures as of March 27, 2026. The Company’s CEO and CFO have concluded that our disclosure controls and procedures, as defined in Rules 13a-15(e) and 15d-15(e) under the Exchange Act, were not effective as of March 27, 2026, due to the material weaknesses described above not being fully remediated as of the date of the evaluation.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75"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Except as noted above, there were no changes to our internal controls over financial reporting as defined in Rules 13a-15(f) or 15d-15(f) that occurred during the quarter ended March 27, 2026 that have materially affected, or are reasonably likely to materially affect, our internal controls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management, including its CEO and CFO, does not expect that its disclosure controls and procedures or its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0" w:name="page31"/>
    <w:bookmarkEnd w:id="30"/>
    <w:p>
      <w:pPr>
        <w:spacing w:after="0" w:line="200" w:lineRule="exact"/>
        <w:rPr>
          <w:sz w:val="20"/>
          <w:szCs w:val="20"/>
          <w:color w:val="auto"/>
        </w:rPr>
      </w:pP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PART II.</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 discussion of legal proceedings as of March 27, 2026, please refer to “Legal Proceedings” and “Contingent Liabilities” under Note 12. Commitments and Contingencies of the Notes to the unaudited condensed consolidated financial statements in this Quarterly Report on Form 10-Q, which are incorporated into this item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2025 Annual Report on Form 10-K filed with the SEC on September 10, 2025.</w:t>
      </w:r>
    </w:p>
    <w:p>
      <w:pPr>
        <w:spacing w:after="0" w:line="12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than as described below, 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18"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reports, commentary, or publicity by short sellers, activist investors, or other third parties could harm our reputation and materially adversely affect our business and stock price.</w:t>
      </w:r>
    </w:p>
    <w:p>
      <w:pPr>
        <w:spacing w:after="0" w:line="10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have and may again from time to time be the subject of negative publicity, commentary, or reports, including reports that may be published by short sellers, activist investors, or other third parties. Such reports have and may allege improper conduct, accounting irregularities, business weaknesses, or other concerns, and may be published without regard to the accuracy or completeness of the information contained therein. Even when allegations are unfounded, we have been and may be required to devote significant management time and resources to address such matters, and our reputation with customers, suppliers, employees, and investors may be harmed. In addition, such reports, commentary, or publicity could cause the market price of our common stock to decline significantly, increase trading volatility, and increase the risk of stockholder litigation or regulatory inquiries.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November 2021, the Company’s Board of Directors approved a stock repurchase program to purchase up to $10.0 million of the Company’s common stock. As of March 27, 2026, $5.8 million remains available and Aviat may choose to suspend or discontinue the repurchase program at any time. Repurchased shares are recorded as treasury stock.</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repurchases of its common stock during the third quarter of fiscal 2026:</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0"/>
        </w:trPr>
        <w:tc>
          <w:tcPr>
            <w:tcW w:w="2460" w:type="dxa"/>
            <w:vAlign w:val="bottom"/>
          </w:tcPr>
          <w:p>
            <w:pPr>
              <w:spacing w:after="0"/>
              <w:rPr>
                <w:sz w:val="15"/>
                <w:szCs w:val="15"/>
                <w:color w:val="auto"/>
              </w:rPr>
            </w:pPr>
          </w:p>
        </w:tc>
        <w:tc>
          <w:tcPr>
            <w:tcW w:w="23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Total Number of Shares</w:t>
            </w:r>
          </w:p>
        </w:tc>
        <w:tc>
          <w:tcPr>
            <w:tcW w:w="2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 Price Paid Per</w:t>
            </w:r>
          </w:p>
        </w:tc>
        <w:tc>
          <w:tcPr>
            <w:tcW w:w="220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21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rPr>
              <w:t>of Shares that May Yet be</w:t>
            </w:r>
          </w:p>
        </w:tc>
        <w:tc>
          <w:tcPr>
            <w:tcW w:w="0" w:type="dxa"/>
            <w:vAlign w:val="bottom"/>
          </w:tcPr>
          <w:p>
            <w:pPr>
              <w:spacing w:after="0"/>
              <w:rPr>
                <w:sz w:val="1"/>
                <w:szCs w:val="1"/>
                <w:color w:val="auto"/>
              </w:rPr>
            </w:pPr>
          </w:p>
        </w:tc>
      </w:tr>
      <w:tr>
        <w:trPr>
          <w:trHeight w:val="184"/>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40" w:type="dxa"/>
            <w:vAlign w:val="bottom"/>
            <w:gridSpan w:val="3"/>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220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40" w:type="dxa"/>
            <w:vAlign w:val="bottom"/>
          </w:tcPr>
          <w:p>
            <w:pPr>
              <w:spacing w:after="0"/>
              <w:rPr>
                <w:sz w:val="16"/>
                <w:szCs w:val="16"/>
                <w:color w:val="auto"/>
              </w:rPr>
            </w:pPr>
          </w:p>
        </w:tc>
        <w:tc>
          <w:tcPr>
            <w:tcW w:w="198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229"/>
        </w:trPr>
        <w:tc>
          <w:tcPr>
            <w:tcW w:w="2460" w:type="dxa"/>
            <w:vAlign w:val="bottom"/>
            <w:vMerge w:val="continue"/>
          </w:tcPr>
          <w:p>
            <w:pPr>
              <w:spacing w:after="0"/>
              <w:rPr>
                <w:sz w:val="19"/>
                <w:szCs w:val="19"/>
                <w:color w:val="auto"/>
              </w:rPr>
            </w:pPr>
          </w:p>
        </w:tc>
        <w:tc>
          <w:tcPr>
            <w:tcW w:w="23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40" w:type="dxa"/>
            <w:vAlign w:val="bottom"/>
          </w:tcPr>
          <w:p>
            <w:pPr>
              <w:spacing w:after="0"/>
              <w:rPr>
                <w:sz w:val="19"/>
                <w:szCs w:val="19"/>
                <w:color w:val="auto"/>
              </w:rPr>
            </w:pPr>
          </w:p>
        </w:tc>
        <w:tc>
          <w:tcPr>
            <w:tcW w:w="19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Program (in thousands)</w:t>
            </w:r>
          </w:p>
        </w:tc>
        <w:tc>
          <w:tcPr>
            <w:tcW w:w="0" w:type="dxa"/>
            <w:vAlign w:val="bottom"/>
          </w:tcPr>
          <w:p>
            <w:pPr>
              <w:spacing w:after="0"/>
              <w:rPr>
                <w:sz w:val="1"/>
                <w:szCs w:val="1"/>
                <w:color w:val="auto"/>
              </w:rPr>
            </w:pPr>
          </w:p>
        </w:tc>
      </w:tr>
      <w:tr>
        <w:trPr>
          <w:trHeight w:val="156"/>
        </w:trPr>
        <w:tc>
          <w:tcPr>
            <w:tcW w:w="24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December 27, 2025 — January</w:t>
            </w:r>
          </w:p>
        </w:tc>
        <w:tc>
          <w:tcPr>
            <w:tcW w:w="2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30, 2026</w:t>
            </w:r>
          </w:p>
        </w:tc>
        <w:tc>
          <w:tcPr>
            <w:tcW w:w="234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January 31, 2026 — February</w:t>
            </w: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27, 2026</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28, 2026 — March 27,</w:t>
            </w: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3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0" w:type="dxa"/>
            <w:vAlign w:val="bottom"/>
          </w:tcPr>
          <w:p>
            <w:pPr>
              <w:spacing w:after="0"/>
              <w:rPr>
                <w:sz w:val="1"/>
                <w:szCs w:val="1"/>
                <w:color w:val="auto"/>
              </w:rPr>
            </w:pPr>
          </w:p>
        </w:tc>
      </w:tr>
      <w:tr>
        <w:trPr>
          <w:trHeight w:val="223"/>
        </w:trPr>
        <w:tc>
          <w:tcPr>
            <w:tcW w:w="2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w:t>
      </w:r>
    </w:p>
    <w:p>
      <w:pPr>
        <w:spacing w:after="0" w:line="175"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On February 6, 2026, Erin Boase, General Counsel, Vice President Legal Affairs, adopted a new trading plan intended to satisfy the affirmative defense conditions of Rule 10b5-1(c) under the Exchange Act. The trading plan is intended to permit Ms. Boase to sell an aggregate of 10,169 shares. Ms. Boase’s plan will expire on February 11, 2027.</w:t>
      </w:r>
    </w:p>
    <w:p>
      <w:pPr>
        <w:spacing w:after="0" w:line="12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27, 2026, no other officers or directors adopted, modified, or terminated a “Rule 10b5-1 trading arrangement” or a “non-Rule 10b5-1 trading arrangement,” as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exhibits are filed or furnished herewith or are incorporated by reference to exhibits previously filed with the SEC:</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6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Descriptions</w:t>
            </w:r>
          </w:p>
        </w:tc>
      </w:tr>
      <w:tr>
        <w:trPr>
          <w:trHeight w:val="23"/>
        </w:trPr>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2"/>
        </w:trPr>
        <w:tc>
          <w:tcPr>
            <w:tcW w:w="11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0" w:type="dxa"/>
            <w:vAlign w:val="bottom"/>
            <w:gridSpan w:val="11"/>
            <w:shd w:val="clear" w:color="auto" w:fill="CCEEFF"/>
          </w:tcPr>
          <w:p>
            <w:pPr>
              <w:spacing w:after="0" w:line="182"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Amended and Restated Certificate of Incorporation of Aviat Networks, Inc., as amended (incorporated by reference to Exhibit 3.1 to the</w:t>
              </w:r>
            </w:hyperlink>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9"/>
            <w:shd w:val="clear" w:color="auto" w:fill="CCEEFF"/>
          </w:tcPr>
          <w:p>
            <w:pPr>
              <w:spacing w:after="0" w:line="15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Current Report on Form 8-K filed with the SEC on November 13, 2023, File No. 001-33278).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2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11"/>
          </w:tcPr>
          <w:p>
            <w:pPr>
              <w:spacing w:after="0" w:line="189"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Amended and Restated Bylaws of Aviat Networks, Inc. (incorporated by reference to Exhibit 3.1 to the Current Report on Form 8-K filed</w:t>
              </w:r>
            </w:hyperlink>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with the SEC on August 24, 2023, File No. 001-33278).</w:t>
              </w:r>
            </w:hyperlink>
          </w:p>
        </w:tc>
        <w:tc>
          <w:tcPr>
            <w:tcW w:w="20" w:type="dxa"/>
            <w:vAlign w:val="bottom"/>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4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960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Amendment No. 2 to the Amended and Restated Tax Benefit Preservation Plan, dated as of February 27, 2026, by and between Aviat</w:t>
            </w:r>
          </w:p>
        </w:tc>
        <w:tc>
          <w:tcPr>
            <w:tcW w:w="400" w:type="dxa"/>
            <w:vAlign w:val="bottom"/>
            <w:tcBorders>
              <w:bottom w:val="single" w:sz="8" w:color="CCEEFF"/>
            </w:tcBorders>
            <w:gridSpan w:val="4"/>
            <w:shd w:val="clear" w:color="auto" w:fill="CCEEFF"/>
          </w:tcPr>
          <w:p>
            <w:pPr>
              <w:spacing w:after="0"/>
              <w:rPr>
                <w:sz w:val="16"/>
                <w:szCs w:val="16"/>
                <w:color w:val="auto"/>
              </w:rPr>
            </w:pPr>
          </w:p>
        </w:tc>
      </w:tr>
      <w:tr>
        <w:trPr>
          <w:trHeight w:val="156"/>
        </w:trPr>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00" w:type="dxa"/>
            <w:vAlign w:val="bottom"/>
            <w:gridSpan w:val="11"/>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Networks, Inc. and Computershare Inc., as Rights Agent (incorporated by reference to Exhibit 4.1 to the Current Report on Form 8-K</w:t>
            </w:r>
          </w:p>
        </w:tc>
      </w:tr>
      <w:tr>
        <w:trPr>
          <w:trHeight w:val="156"/>
        </w:trPr>
        <w:tc>
          <w:tcPr>
            <w:tcW w:w="1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620" w:type="dxa"/>
            <w:vAlign w:val="bottom"/>
            <w:tcBorders>
              <w:top w:val="single" w:sz="8" w:color="0000FF"/>
            </w:tcBorders>
            <w:gridSpan w:val="8"/>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filed with the SEC on February 27, 2026, File No. 001-33278).</w:t>
            </w:r>
          </w:p>
        </w:tc>
        <w:tc>
          <w:tcPr>
            <w:tcW w:w="380" w:type="dxa"/>
            <w:vAlign w:val="bottom"/>
            <w:tcBorders>
              <w:top w:val="single" w:sz="8" w:color="CCEEFF"/>
            </w:tcBorders>
            <w:gridSpan w:val="3"/>
            <w:shd w:val="clear" w:color="auto" w:fill="CCEEFF"/>
          </w:tcPr>
          <w:p>
            <w:pPr>
              <w:spacing w:after="0"/>
              <w:rPr>
                <w:sz w:val="13"/>
                <w:szCs w:val="13"/>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28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President and Chief Executive Officer</w:t>
            </w: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1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Rule 13a-14(a)/15d-14(a) Certification of Chief Financial Officer</w:t>
            </w: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1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rPr>
              <w:t>Section 1350 Certification of Chief Executive Officer and Chief Financial Officer</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shd w:val="clear" w:color="auto" w:fill="CCEEFF"/>
          </w:tcPr>
          <w:p>
            <w:pPr>
              <w:spacing w:after="0"/>
              <w:rPr>
                <w:sz w:val="19"/>
                <w:szCs w:val="19"/>
                <w:color w:val="auto"/>
              </w:rPr>
            </w:pPr>
          </w:p>
        </w:tc>
        <w:tc>
          <w:tcPr>
            <w:tcW w:w="100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29"/>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10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29"/>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shd w:val="clear" w:color="auto" w:fill="CCEEFF"/>
          </w:tcPr>
          <w:p>
            <w:pPr>
              <w:spacing w:after="0"/>
              <w:rPr>
                <w:sz w:val="19"/>
                <w:szCs w:val="19"/>
                <w:color w:val="auto"/>
              </w:rPr>
            </w:pPr>
          </w:p>
        </w:tc>
        <w:tc>
          <w:tcPr>
            <w:tcW w:w="100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10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29"/>
        </w:trPr>
        <w:tc>
          <w:tcPr>
            <w:tcW w:w="1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shd w:val="clear" w:color="auto" w:fill="CCEEFF"/>
          </w:tcPr>
          <w:p>
            <w:pPr>
              <w:spacing w:after="0"/>
              <w:rPr>
                <w:sz w:val="19"/>
                <w:szCs w:val="19"/>
                <w:color w:val="auto"/>
              </w:rPr>
            </w:pPr>
          </w:p>
        </w:tc>
        <w:tc>
          <w:tcPr>
            <w:tcW w:w="100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0"/>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10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29"/>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ind w:left="1260" w:hanging="1234"/>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260" w:hanging="1234"/>
        <w:spacing w:after="0"/>
        <w:tabs>
          <w:tab w:leader="none" w:pos="1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AVIAT NETWORKS, INC.</w:t>
      </w:r>
    </w:p>
    <w:p>
      <w:pPr>
        <w:ind w:left="6060"/>
        <w:spacing w:after="0"/>
        <w:rPr>
          <w:sz w:val="20"/>
          <w:szCs w:val="20"/>
          <w:color w:val="auto"/>
        </w:rPr>
      </w:pPr>
      <w:r>
        <w:rPr>
          <w:rFonts w:ascii="Times New Roman" w:cs="Times New Roman" w:eastAsia="Times New Roman" w:hAnsi="Times New Roman"/>
          <w:sz w:val="18"/>
          <w:szCs w:val="18"/>
          <w:color w:val="auto"/>
        </w:rPr>
        <w:t>(Registrant)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2026</w:t>
      </w:r>
    </w:p>
    <w:p>
      <w:pPr>
        <w:spacing w:after="0" w:line="320"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Andrew C.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34290</wp:posOffset>
            </wp:positionV>
            <wp:extent cx="32658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30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Andrew C. Schmidt</w:t>
      </w:r>
    </w:p>
    <w:p>
      <w:pPr>
        <w:ind w:left="61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332"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 NO. 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TO THE AMENDED AND RESTATED TAX BENEFIT PRESERVATION PLAN</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This AMENDMENT NO. 2 TO THE AMENDED AND RESTATED TAX BENEFIT PRESERVATION PLAN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dated as of February 27, 2026, is by and between Aviat Networks,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Computershare Inc., a Delaware corporation, as rights agent (the “</w:t>
      </w:r>
      <w:r>
        <w:rPr>
          <w:rFonts w:ascii="Times New Roman" w:cs="Times New Roman" w:eastAsia="Times New Roman" w:hAnsi="Times New Roman"/>
          <w:sz w:val="22"/>
          <w:szCs w:val="22"/>
          <w:u w:val="single" w:color="auto"/>
          <w:color w:val="auto"/>
        </w:rPr>
        <w:t>Rights Agent</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WHEREAS, on August 27, 2020, the Company and the Rights Agent entered into that certain Amended and Restated Tax Benefit Preservation Plan, which the Company and the Rights Agent then amended on February 28, 2023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WHEREAS, pursuant to Section 28 (Supplements and Amendments) of the Plan, the Company desires to amend the Plan to extend the Final Expiration Date; and</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WHEREAS, pursuant to Section 28 of the Plan, the Company hereby delivers a certificate from its Senior Vice President and Chief Financial Officer,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stating that this Amendment is in compliance with the terms of Section 28 of the Plan.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mutual agreements herein set forth, the parties hereto agree as follows:</w:t>
      </w:r>
    </w:p>
    <w:p>
      <w:pPr>
        <w:spacing w:after="0" w:line="154" w:lineRule="exact"/>
        <w:rPr>
          <w:sz w:val="20"/>
          <w:szCs w:val="20"/>
          <w:color w:val="auto"/>
        </w:rPr>
      </w:pPr>
    </w:p>
    <w:p>
      <w:pPr>
        <w:ind w:left="660" w:hanging="652"/>
        <w:spacing w:after="0" w:line="275" w:lineRule="auto"/>
        <w:tabs>
          <w:tab w:leader="none" w:pos="66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Capitalized terms used and not defined in this Amendment have the respective meanings assigned to them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w:t>
      </w:r>
    </w:p>
    <w:p>
      <w:pPr>
        <w:spacing w:after="0" w:line="149"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 to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of the Effective Date (defined below), the Plan is hereby amended as follows:</w:t>
      </w:r>
    </w:p>
    <w:p>
      <w:pPr>
        <w:spacing w:after="0" w:line="237"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1(aa) of the Plan is hereby deleted in its entirety and replaced with the following:</w:t>
      </w:r>
    </w:p>
    <w:p>
      <w:pPr>
        <w:spacing w:after="0" w:line="21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“(aa)</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Final Expiration Date</w:t>
      </w:r>
      <w:r>
        <w:rPr>
          <w:rFonts w:ascii="Times New Roman" w:cs="Times New Roman" w:eastAsia="Times New Roman" w:hAnsi="Times New Roman"/>
          <w:sz w:val="21"/>
          <w:szCs w:val="21"/>
          <w:color w:val="auto"/>
        </w:rPr>
        <w:t>” means March 3, 2029.”</w:t>
      </w:r>
    </w:p>
    <w:p>
      <w:pPr>
        <w:spacing w:after="0" w:line="224"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B to the Plan is hereby amended by deleting the first sentence in the Legend and replacing it with the following:</w:t>
      </w:r>
    </w:p>
    <w:p>
      <w:pPr>
        <w:spacing w:after="0" w:line="220" w:lineRule="exact"/>
        <w:rPr>
          <w:sz w:val="20"/>
          <w:szCs w:val="20"/>
          <w:color w:val="auto"/>
        </w:rPr>
      </w:pPr>
    </w:p>
    <w:p>
      <w:pPr>
        <w:jc w:val="both"/>
        <w:ind w:left="1300" w:right="1300"/>
        <w:spacing w:after="0" w:line="263" w:lineRule="auto"/>
        <w:rPr>
          <w:sz w:val="20"/>
          <w:szCs w:val="20"/>
          <w:color w:val="auto"/>
        </w:rPr>
      </w:pPr>
      <w:r>
        <w:rPr>
          <w:rFonts w:ascii="Times New Roman" w:cs="Times New Roman" w:eastAsia="Times New Roman" w:hAnsi="Times New Roman"/>
          <w:sz w:val="22"/>
          <w:szCs w:val="22"/>
          <w:color w:val="auto"/>
        </w:rPr>
        <w:t>“NOT EXERCISABLE AFTER THE FINAL EXPIRATION DATE (AS DEFINED IN THE PLAN (AS DEFINED BELOW)) OR SUCH EARLIER DATE AS THE RIGHTS ARE REDEEMED, EXCHANGED OR TERMINATED.”</w:t>
      </w:r>
    </w:p>
    <w:p>
      <w:pPr>
        <w:spacing w:after="0" w:line="163" w:lineRule="exact"/>
        <w:rPr>
          <w:sz w:val="20"/>
          <w:szCs w:val="20"/>
          <w:color w:val="auto"/>
        </w:rPr>
      </w:pPr>
    </w:p>
    <w:p>
      <w:pPr>
        <w:ind w:left="660" w:right="20" w:hanging="652"/>
        <w:spacing w:after="0" w:line="275" w:lineRule="auto"/>
        <w:tabs>
          <w:tab w:leader="none" w:pos="66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Ratification of the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will be deemed effective as of the date first written above (the “</w:t>
      </w:r>
      <w:r>
        <w:rPr>
          <w:rFonts w:ascii="Times New Roman" w:cs="Times New Roman" w:eastAsia="Times New Roman" w:hAnsi="Times New Roman"/>
          <w:sz w:val="22"/>
          <w:szCs w:val="22"/>
          <w:u w:val="single" w:color="auto"/>
          <w:color w:val="auto"/>
        </w:rPr>
        <w:t>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 Except as expressly provided in this Amendment, all terms and provisions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Amendment No. 2</w:t>
        <w:tab/>
        <w:t>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Amended and Restated Tax Benefit Preservation Plan</w:t>
      </w:r>
    </w:p>
    <w:p>
      <w:pPr>
        <w:sectPr>
          <w:pgSz w:w="11900" w:h="16838" w:orient="portrait"/>
          <w:cols w:equalWidth="0" w:num="1">
            <w:col w:w="11240"/>
          </w:cols>
          <w:pgMar w:left="320" w:top="1418" w:right="339" w:bottom="1440" w:gutter="0" w:footer="0" w:header="0"/>
        </w:sectPr>
      </w:pPr>
    </w:p>
    <w:bookmarkStart w:id="35" w:name="page36"/>
    <w:bookmarkEnd w:id="35"/>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Plan are and will remain in full force and effect and are hereby ratified and confirmed by the parties hereto. Without limiting the generality of the foregoing, the amendments contained herein will not be construed as an amendment to or a waiver of any other provision of the Plan or as a waiver of or consent to any further or future action on the part of either party hereto that would require the waiver or consent of the other party. On and after the Effective Date, each reference in the Plan to “this Plan”, “the Plan”, “hereunder”, “hereof”, “herein”, or words of like import will mean and be a reference to the Plan as amended by this Amendment.</w:t>
      </w:r>
    </w:p>
    <w:p>
      <w:pPr>
        <w:spacing w:after="0" w:line="177" w:lineRule="exact"/>
        <w:rPr>
          <w:sz w:val="20"/>
          <w:szCs w:val="20"/>
          <w:color w:val="auto"/>
        </w:rPr>
      </w:pPr>
    </w:p>
    <w:p>
      <w:pPr>
        <w:jc w:val="both"/>
        <w:ind w:left="660" w:hanging="652"/>
        <w:spacing w:after="0" w:line="250" w:lineRule="auto"/>
        <w:tabs>
          <w:tab w:leader="none" w:pos="66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and any supplements or further amendments hereto may be executed in any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counterparts and each of such counterparts will for all purposes be deemed to be an original, and all such counterparts will together constitute one and the same instrument, it being understood that all parties need not sign the same counterpart. A signature to this Amendment executed and/or transmitted electronically (including by .pdf) will have the same authority, effect, and enforceability as an original signature. No party hereto may raise the use of such electronic transmission to deliver a signature, or the fact that any signature or agreement or instrument was transmitted or communicated through such electronic transmission, as a defense to the formation of a contract.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Amendment No. 2</w:t>
        <w:tab/>
        <w:t>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Amended and Restated Tax Benefit Preservation Plan</w:t>
      </w:r>
    </w:p>
    <w:p>
      <w:pPr>
        <w:sectPr>
          <w:pgSz w:w="11900" w:h="16838" w:orient="portrait"/>
          <w:cols w:equalWidth="0" w:num="1">
            <w:col w:w="11240"/>
          </w:cols>
          <w:pgMar w:left="320" w:top="1422" w:right="339" w:bottom="1440" w:gutter="0" w:footer="0" w:header="0"/>
        </w:sectPr>
      </w:pPr>
    </w:p>
    <w:bookmarkStart w:id="36" w:name="page37"/>
    <w:bookmarkEnd w:id="36"/>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hereto have caused this Amendment to be duly executed as of the Effective Date.</w:t>
      </w:r>
    </w:p>
    <w:p>
      <w:pPr>
        <w:spacing w:after="0" w:line="200" w:lineRule="exact"/>
        <w:rPr>
          <w:sz w:val="20"/>
          <w:szCs w:val="20"/>
          <w:color w:val="auto"/>
        </w:rPr>
      </w:pPr>
    </w:p>
    <w:p>
      <w:pPr>
        <w:spacing w:after="0" w:line="32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Aviat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0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Andy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-13970</wp:posOffset>
            </wp:positionV>
            <wp:extent cx="10972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Andy Schmidt</w:t>
      </w:r>
    </w:p>
    <w:p>
      <w:pPr>
        <w:spacing w:after="0" w:line="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Senior Vice President &amp; Chief Financial Officer</w:t>
      </w:r>
    </w:p>
    <w:p>
      <w:pPr>
        <w:spacing w:after="0" w:line="36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RIGHTS AGENT</w:t>
      </w:r>
    </w:p>
    <w:p>
      <w:pPr>
        <w:spacing w:after="0" w:line="3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b w:val="1"/>
          <w:bCs w:val="1"/>
          <w:color w:val="auto"/>
        </w:rPr>
        <w:t>Computershare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0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Patrick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-13970</wp:posOffset>
            </wp:positionV>
            <wp:extent cx="10668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308" w:lineRule="exact"/>
        <w:rPr>
          <w:sz w:val="20"/>
          <w:szCs w:val="20"/>
          <w:color w:val="auto"/>
        </w:rPr>
      </w:pPr>
    </w:p>
    <w:p>
      <w:pPr>
        <w:ind w:left="5900"/>
        <w:spacing w:after="0"/>
        <w:tabs>
          <w:tab w:leader="none" w:pos="66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Patrick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4253865</wp:posOffset>
            </wp:positionH>
            <wp:positionV relativeFrom="paragraph">
              <wp:posOffset>-13970</wp:posOffset>
            </wp:positionV>
            <wp:extent cx="9029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902970" cy="8890"/>
                    </a:xfrm>
                    <a:prstGeom prst="rect">
                      <a:avLst/>
                    </a:prstGeom>
                    <a:noFill/>
                  </pic:spPr>
                </pic:pic>
              </a:graphicData>
            </a:graphic>
          </wp:anchor>
        </w:drawing>
      </w:r>
    </w:p>
    <w:p>
      <w:pPr>
        <w:spacing w:after="0" w:line="321" w:lineRule="exact"/>
        <w:rPr>
          <w:sz w:val="20"/>
          <w:szCs w:val="20"/>
          <w:color w:val="auto"/>
        </w:rPr>
      </w:pPr>
    </w:p>
    <w:p>
      <w:pPr>
        <w:ind w:left="5900"/>
        <w:spacing w:after="0"/>
        <w:tabs>
          <w:tab w:leader="none" w:pos="6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Manager, Client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-13970</wp:posOffset>
            </wp:positionV>
            <wp:extent cx="17729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772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Amendment No. 2</w:t>
        <w:tab/>
        <w:t>Signature Page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Amended and Restated Tax Benefit Preservation Plan</w:t>
      </w:r>
    </w:p>
    <w:p>
      <w:pPr>
        <w:sectPr>
          <w:pgSz w:w="11900" w:h="16838" w:orient="portrait"/>
          <w:cols w:equalWidth="0" w:num="1">
            <w:col w:w="10380"/>
          </w:cols>
          <w:pgMar w:left="320" w:top="1440" w:right="119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Certificate of Company</w:t>
      </w:r>
    </w:p>
    <w:p>
      <w:pPr>
        <w:spacing w:after="0" w:line="19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undersigned, Andy Schmidt, hereby certifies he is the duly elected, qualified and acting Senior Vice President &amp; Chief Financial Officer of Aviat Networks, Inc. (the “Company”), and that as such, he is duly authorized to execute and deliver this Certificate on behalf of the Company.</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He hereby further certifies on behalf of the Company that the foregoing Amendment No. 2 to the Amended and Restated Tax Benefit Preservation Plan is in compliance with the terms of Section 28 of the Amended and Restated Tax Benefit Preservation Plan, dated as of August 27, 2020, by and between the Company and Computershare Inc., as rights agent, as may be amended from time to time.</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has executed this Certificate on behalf of the Company as of this 27 day of February, 2026.</w:t>
      </w:r>
    </w:p>
    <w:p>
      <w:pPr>
        <w:spacing w:after="0" w:line="200" w:lineRule="exact"/>
        <w:rPr>
          <w:sz w:val="20"/>
          <w:szCs w:val="20"/>
          <w:color w:val="auto"/>
        </w:rPr>
      </w:pPr>
    </w:p>
    <w:p>
      <w:pPr>
        <w:spacing w:after="0" w:line="2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b w:val="1"/>
          <w:bCs w:val="1"/>
          <w:color w:val="auto"/>
        </w:rPr>
        <w:t>Aviat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70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Andy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-13970</wp:posOffset>
            </wp:positionV>
            <wp:extent cx="10972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Andy Schmidt</w:t>
      </w:r>
    </w:p>
    <w:p>
      <w:pPr>
        <w:spacing w:after="0" w:line="4"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Senior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undersigned hereby certifies that the person named above is the duly elected, qualified and acting Senior Vice President &amp; Chief Financial Officer of the Company, and that the signature appearing above is his true and valid signature.</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has executed this Certificate on behalf of the Company as of this 27 day of February, 2026.</w:t>
      </w:r>
    </w:p>
    <w:p>
      <w:pPr>
        <w:spacing w:after="0" w:line="200" w:lineRule="exact"/>
        <w:rPr>
          <w:sz w:val="20"/>
          <w:szCs w:val="20"/>
          <w:color w:val="auto"/>
        </w:rPr>
      </w:pPr>
    </w:p>
    <w:p>
      <w:pPr>
        <w:spacing w:after="0" w:line="22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22"/>
          <w:szCs w:val="22"/>
          <w:b w:val="1"/>
          <w:bCs w:val="1"/>
          <w:color w:val="auto"/>
        </w:rPr>
        <w:t>Aviat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700"/>
        <w:spacing w:after="0"/>
        <w:tabs>
          <w:tab w:leader="none" w:pos="62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Erin Boase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-13970</wp:posOffset>
            </wp:positionV>
            <wp:extent cx="9067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906780" cy="8255"/>
                    </a:xfrm>
                    <a:prstGeom prst="rect">
                      <a:avLst/>
                    </a:prstGeom>
                    <a:noFill/>
                  </pic:spPr>
                </pic:pic>
              </a:graphicData>
            </a:graphic>
          </wp:anchor>
        </w:drawing>
      </w:r>
    </w:p>
    <w:p>
      <w:pPr>
        <w:spacing w:after="0" w:line="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Erin Boase</w:t>
      </w:r>
    </w:p>
    <w:p>
      <w:pPr>
        <w:spacing w:after="0" w:line="1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22"/>
          <w:szCs w:val="22"/>
          <w:color w:val="auto"/>
        </w:rPr>
        <w:t>General Counsel, Vice President Legal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color w:val="auto"/>
        </w:rPr>
        <w:t>Amendment No. 2</w:t>
        <w:tab/>
        <w:t>Exhibit 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Amended and Restated Tax Benefit Preservation Plan</w:t>
      </w:r>
    </w:p>
    <w:p>
      <w:pPr>
        <w:sectPr>
          <w:pgSz w:w="11900" w:h="16838" w:orient="portrait"/>
          <w:cols w:equalWidth="0" w:num="1">
            <w:col w:w="11240"/>
          </w:cols>
          <w:pgMar w:left="320" w:top="1418"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 Smith, certify that:</w:t>
      </w:r>
    </w:p>
    <w:p>
      <w:pPr>
        <w:spacing w:after="0" w:line="17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27, 2026,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4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Peter A. Smith</w:t>
            </w:r>
          </w:p>
        </w:tc>
      </w:tr>
      <w:tr>
        <w:trPr>
          <w:trHeight w:val="218"/>
        </w:trPr>
        <w:tc>
          <w:tcPr>
            <w:tcW w:w="630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Peter A. Smith</w:t>
            </w:r>
          </w:p>
        </w:tc>
      </w:tr>
      <w:tr>
        <w:trPr>
          <w:trHeight w:val="234"/>
        </w:trPr>
        <w:tc>
          <w:tcPr>
            <w:tcW w:w="63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C. Schmidt, certify that:</w:t>
      </w:r>
    </w:p>
    <w:p>
      <w:pPr>
        <w:spacing w:after="0" w:line="17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fiscal quarter ended March 27, 2026, of Aviat Networks,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55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Andrew C. Schmidt</w:t>
            </w:r>
          </w:p>
        </w:tc>
      </w:tr>
      <w:tr>
        <w:trPr>
          <w:trHeight w:val="218"/>
        </w:trPr>
        <w:tc>
          <w:tcPr>
            <w:tcW w:w="5520" w:type="dxa"/>
            <w:vAlign w:val="bottom"/>
          </w:tcPr>
          <w:p>
            <w:pPr>
              <w:spacing w:after="0"/>
              <w:rPr>
                <w:sz w:val="18"/>
                <w:szCs w:val="18"/>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Andrew C. Schmidt</w:t>
            </w:r>
          </w:p>
        </w:tc>
      </w:tr>
      <w:tr>
        <w:trPr>
          <w:trHeight w:val="234"/>
        </w:trPr>
        <w:tc>
          <w:tcPr>
            <w:tcW w:w="55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bl>
    <w:p>
      <w:pPr>
        <w:sectPr>
          <w:pgSz w:w="11900" w:h="16838" w:orient="portrait"/>
          <w:cols w:equalWidth="0" w:num="1">
            <w:col w:w="11240"/>
          </w:cols>
          <w:pgMar w:left="320" w:top="88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06" w:lineRule="exact"/>
        <w:rPr>
          <w:sz w:val="20"/>
          <w:szCs w:val="20"/>
          <w:color w:val="auto"/>
        </w:rPr>
      </w:pPr>
    </w:p>
    <w:p>
      <w:pPr>
        <w:jc w:val="center"/>
        <w:spacing w:after="0" w:line="325" w:lineRule="auto"/>
        <w:rPr>
          <w:sz w:val="20"/>
          <w:szCs w:val="20"/>
          <w:color w:val="auto"/>
        </w:rPr>
      </w:pPr>
      <w:r>
        <w:rPr>
          <w:rFonts w:ascii="Times New Roman" w:cs="Times New Roman" w:eastAsia="Times New Roman" w:hAnsi="Times New Roman"/>
          <w:sz w:val="18"/>
          <w:szCs w:val="18"/>
          <w:b w:val="1"/>
          <w:bCs w:val="1"/>
          <w:color w:val="auto"/>
        </w:rPr>
        <w:t>CERTIFICATIONS OF CHIEF EXECUTIVE OFFICER AND PRINCIPAL FINANCIAL OFFICER OF AVIAT NETWORKS, INC. PURSUANT TO TITLE 18 OF THE UNITED STATES CODE SECTION 1350, AS ADOPTED PURSUANT TO SECTION 906 OF THE SARBANES-OXLEY ACT OF 2002</w:t>
      </w:r>
    </w:p>
    <w:p>
      <w:pPr>
        <w:spacing w:after="0" w:line="3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filing of the Quarterly Report on Form 10-Q of Aviat Networks, Inc. (“Aviat Networks”) for the fiscal quarter ended March 27, 2026, as filed with the Securities and Exchange Commission on the date hereof (the “Report”), we, Peter A. Smith, President and Chief Executive Officer of Aviat Networks, and Andrew C. Schmidt, Senior Vice President and Chief Financial Officer of Aviat Networks, hereby certify, pursuant to Section 906 of the Sarbanes-Oxley Act of 2002, 18 U.S.C. §1350, that:</w:t>
      </w:r>
    </w:p>
    <w:p>
      <w:pPr>
        <w:spacing w:after="0" w:line="13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80"/>
        <w:spacing w:after="0"/>
        <w:tabs>
          <w:tab w:leader="none" w:pos="5580" w:val="left"/>
        </w:tabs>
        <w:rPr>
          <w:sz w:val="20"/>
          <w:szCs w:val="20"/>
          <w:color w:val="auto"/>
        </w:rPr>
      </w:pPr>
      <w:r>
        <w:rPr>
          <w:rFonts w:ascii="Times New Roman" w:cs="Times New Roman" w:eastAsia="Times New Roman" w:hAnsi="Times New Roman"/>
          <w:sz w:val="18"/>
          <w:szCs w:val="18"/>
          <w:color w:val="auto"/>
        </w:rPr>
        <w:t>Date: May 4, 2026</w:t>
      </w:r>
      <w:r>
        <w:rPr>
          <w:sz w:val="20"/>
          <w:szCs w:val="20"/>
          <w:color w:val="auto"/>
        </w:rPr>
        <w:tab/>
      </w:r>
      <w:r>
        <w:rPr>
          <w:rFonts w:ascii="Times New Roman" w:cs="Times New Roman" w:eastAsia="Times New Roman" w:hAnsi="Times New Roman"/>
          <w:sz w:val="17"/>
          <w:szCs w:val="17"/>
          <w:color w:val="auto"/>
        </w:rPr>
        <w:t>/s/ Peter 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7946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Peter A. Smith</w:t>
      </w:r>
    </w:p>
    <w:p>
      <w:pPr>
        <w:spacing w:after="0" w:line="6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79" w:lineRule="exact"/>
        <w:rPr>
          <w:sz w:val="20"/>
          <w:szCs w:val="20"/>
          <w:color w:val="auto"/>
        </w:rPr>
      </w:pPr>
    </w:p>
    <w:p>
      <w:pPr>
        <w:ind w:left="1280"/>
        <w:spacing w:after="0"/>
        <w:tabs>
          <w:tab w:leader="none" w:pos="5580" w:val="left"/>
        </w:tabs>
        <w:rPr>
          <w:sz w:val="20"/>
          <w:szCs w:val="20"/>
          <w:color w:val="auto"/>
        </w:rPr>
      </w:pPr>
      <w:r>
        <w:rPr>
          <w:rFonts w:ascii="Times New Roman" w:cs="Times New Roman" w:eastAsia="Times New Roman" w:hAnsi="Times New Roman"/>
          <w:sz w:val="18"/>
          <w:szCs w:val="18"/>
          <w:color w:val="auto"/>
        </w:rPr>
        <w:t>Date: May 4, 2026</w:t>
      </w:r>
      <w:r>
        <w:rPr>
          <w:sz w:val="20"/>
          <w:szCs w:val="20"/>
          <w:color w:val="auto"/>
        </w:rPr>
        <w:tab/>
      </w:r>
      <w:r>
        <w:rPr>
          <w:rFonts w:ascii="Times New Roman" w:cs="Times New Roman" w:eastAsia="Times New Roman" w:hAnsi="Times New Roman"/>
          <w:sz w:val="18"/>
          <w:szCs w:val="18"/>
          <w:color w:val="auto"/>
        </w:rPr>
        <w:t>/s/ Andrew C. Schmidt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4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 Andrew C. Schmidt</w:t>
      </w:r>
    </w:p>
    <w:p>
      <w:pPr>
        <w:spacing w:after="0" w:line="6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lowerRoman"/>
      <w:start w:val="3"/>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upperLetter"/>
      <w:start w:val="1"/>
    </w:lvl>
  </w:abstractNum>
  <w:abstractNum w:abstractNumId="9">
    <w:nsid w:val="140E0F76"/>
    <w:multiLevelType w:val="hybridMultilevel"/>
    <w:lvl w:ilvl="0">
      <w:lvlJc w:val="left"/>
      <w:lvlText w:val="%1."/>
      <w:numFmt w:val="upperLetter"/>
      <w:start w:val="2"/>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44" Type="http://schemas.openxmlformats.org/officeDocument/2006/relationships/hyperlink" Target="https://www.sec.gov/Archives/edgar/data/1377789/000137778923000047/amendedrestatedcertificate.htm" TargetMode="External"/><Relationship Id="rId45" Type="http://schemas.openxmlformats.org/officeDocument/2006/relationships/hyperlink" Target="https://www.sec.gov/Archives/edgar/data/1377789/000137778923000020/amendedandrestatedbylaws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2026-05-04T15:22:01Z</dcterms:created>
  <dcterms:modified xsi:type="dcterms:W3CDTF">2026-05-04T15:22:01Z</dcterms:modified>
</cp:coreProperties>
</file>