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p>
      <w:pPr>
        <w:pStyle w:val="TextBody"/>
        <w:bidi w:val="0"/>
        <w:spacing w:lineRule="auto" w:line="288" w:before="4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59"/>
        <w:gridCol w:w="140"/>
        <w:gridCol w:w="140"/>
        <w:gridCol w:w="2857"/>
        <w:gridCol w:w="2857"/>
        <w:gridCol w:w="4052"/>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September 27, 2024</w:t>
      </w:r>
    </w:p>
    <w:p>
      <w:pPr>
        <w:pStyle w:val="TextBody"/>
        <w:bidi w:val="0"/>
        <w:spacing w:lineRule="auto" w:line="288" w:before="60" w:after="283"/>
        <w:jc w:val="center"/>
        <w:rPr/>
      </w:pPr>
      <w:r>
        <w:rPr>
          <w:rFonts w:ascii="Times New Roman;sans-serif" w:hAnsi="Times New Roman;sans-serif"/>
          <w:b/>
          <w:color w:val="000000"/>
          <w:sz w:val="24"/>
        </w:rPr>
        <w:t>or</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_______ to _______</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Commission File Number 001-33278</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p>
      <w:pPr>
        <w:pStyle w:val="TextBody"/>
        <w:bidi w:val="0"/>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AVIAT NETWORKS, INC.</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tbl>
      <w:tblPr>
        <w:tblW w:w="9175" w:type="dxa"/>
        <w:jc w:val="center"/>
        <w:tblInd w:w="0" w:type="dxa"/>
        <w:tblLayout w:type="fixed"/>
        <w:tblCellMar>
          <w:top w:w="28" w:type="dxa"/>
          <w:left w:w="28" w:type="dxa"/>
          <w:bottom w:w="28" w:type="dxa"/>
          <w:right w:w="28" w:type="dxa"/>
        </w:tblCellMar>
      </w:tblPr>
      <w:tblGrid>
        <w:gridCol w:w="1026"/>
        <w:gridCol w:w="904"/>
        <w:gridCol w:w="904"/>
        <w:gridCol w:w="516"/>
        <w:gridCol w:w="516"/>
        <w:gridCol w:w="516"/>
        <w:gridCol w:w="516"/>
        <w:gridCol w:w="516"/>
        <w:gridCol w:w="524"/>
        <w:gridCol w:w="109"/>
        <w:gridCol w:w="109"/>
        <w:gridCol w:w="109"/>
        <w:gridCol w:w="849"/>
        <w:gridCol w:w="849"/>
        <w:gridCol w:w="1212"/>
      </w:tblGrid>
      <w:tr>
        <w:trPr/>
        <w:tc>
          <w:tcPr>
            <w:tcW w:w="10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20-5961564</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 Identification No.)</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200 Parker Drive, Suite C100A, </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Austin,</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78728</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(408) 941-7100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p>
      <w:pPr>
        <w:pStyle w:val="TextBody"/>
        <w:bidi w:val="0"/>
        <w:spacing w:lineRule="auto" w:line="288" w:before="120" w:after="1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47" w:type="dxa"/>
        <w:jc w:val="center"/>
        <w:tblInd w:w="0" w:type="dxa"/>
        <w:tblLayout w:type="fixed"/>
        <w:tblCellMar>
          <w:top w:w="28" w:type="dxa"/>
          <w:left w:w="28" w:type="dxa"/>
          <w:bottom w:w="28" w:type="dxa"/>
          <w:right w:w="28" w:type="dxa"/>
        </w:tblCellMar>
      </w:tblPr>
      <w:tblGrid>
        <w:gridCol w:w="970"/>
        <w:gridCol w:w="852"/>
        <w:gridCol w:w="862"/>
        <w:gridCol w:w="564"/>
        <w:gridCol w:w="564"/>
        <w:gridCol w:w="566"/>
        <w:gridCol w:w="1130"/>
        <w:gridCol w:w="1130"/>
        <w:gridCol w:w="1609"/>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AVNW</w:t>
            </w:r>
          </w:p>
        </w:tc>
        <w:tc>
          <w:tcPr>
            <w:tcW w:w="3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Share Purchase Rights</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center"/>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common stock as of November 1, 2024 was 12,690,353.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27, 2024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90" w:type="dxa"/>
        <w:jc w:val="center"/>
        <w:tblInd w:w="0" w:type="dxa"/>
        <w:tblLayout w:type="fixed"/>
        <w:tblCellMar>
          <w:top w:w="28" w:type="dxa"/>
          <w:left w:w="28" w:type="dxa"/>
          <w:bottom w:w="28" w:type="dxa"/>
          <w:right w:w="28" w:type="dxa"/>
        </w:tblCellMar>
      </w:tblPr>
      <w:tblGrid>
        <w:gridCol w:w="2892"/>
        <w:gridCol w:w="2541"/>
        <w:gridCol w:w="2546"/>
        <w:gridCol w:w="149"/>
        <w:gridCol w:w="149"/>
        <w:gridCol w:w="213"/>
      </w:tblGrid>
      <w:tr>
        <w:trPr/>
        <w:tc>
          <w:tcPr>
            <w:tcW w:w="289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0">
              <w:r>
                <w:rPr>
                  <w:rStyle w:val="InternetLink"/>
                  <w:rFonts w:ascii="Times New Roman;sans-serif" w:hAnsi="Times New Roman;sans-serif"/>
                  <w:b/>
                  <w:strike w:val="false"/>
                  <w:dstrike w:val="false"/>
                  <w:color w:val="0000FF"/>
                  <w:sz w:val="20"/>
                  <w:u w:val="none"/>
                  <w:effect w:val="non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cf1ed57cd2fd407ba54a8b9ce577896c_10">
              <w:r>
                <w:rPr>
                  <w:rStyle w:val="InternetLink"/>
                  <w:rFonts w:ascii="Times New Roman;sans-serif" w:hAnsi="Times New Roman;sans-serif"/>
                  <w:b w:val="false"/>
                  <w:strike w:val="false"/>
                  <w:dstrike w:val="false"/>
                  <w:color w:val="0000FF"/>
                  <w:sz w:val="20"/>
                  <w:u w:val="none"/>
                  <w:effect w:val="non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0">
              <w:r>
                <w:rPr>
                  <w:rStyle w:val="InternetLink"/>
                  <w:rFonts w:ascii="Times New Roman;sans-serif" w:hAnsi="Times New Roman;sans-serif"/>
                  <w:b w:val="false"/>
                  <w:strike w:val="false"/>
                  <w:dstrike w:val="false"/>
                  <w:color w:val="0000FF"/>
                  <w:sz w:val="20"/>
                  <w:u w:val="none"/>
                  <w:effect w:val="non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3">
              <w:r>
                <w:rPr>
                  <w:rStyle w:val="InternetLink"/>
                  <w:rFonts w:ascii="Times New Roman;sans-serif" w:hAnsi="Times New Roman;sans-serif"/>
                  <w:b w:val="false"/>
                  <w:strike w:val="false"/>
                  <w:dstrike w:val="false"/>
                  <w:color w:val="0000FF"/>
                  <w:sz w:val="20"/>
                  <w:u w:val="none"/>
                  <w:effect w:val="none"/>
                </w:rPr>
                <w:t>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f1ed57cd2fd407ba54a8b9ce577896c_16">
              <w:r>
                <w:rPr>
                  <w:rStyle w:val="InternetLink"/>
                  <w:rFonts w:ascii="Times New Roman;sans-serif" w:hAnsi="Times New Roman;sans-serif"/>
                  <w:b w:val="false"/>
                  <w:strike w:val="false"/>
                  <w:dstrike w:val="false"/>
                  <w:color w:val="0000FF"/>
                  <w:sz w:val="20"/>
                  <w:u w:val="none"/>
                  <w:effect w:val="none"/>
                </w:rPr>
                <w:t>Condensed Consolidated Statements of Operations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6">
              <w:r>
                <w:rPr>
                  <w:rStyle w:val="InternetLink"/>
                  <w:rFonts w:ascii="Times New Roman;sans-serif" w:hAnsi="Times New Roman;sans-serif"/>
                  <w:b w:val="false"/>
                  <w:strike w:val="false"/>
                  <w:dstrike w:val="false"/>
                  <w:color w:val="0000FF"/>
                  <w:sz w:val="20"/>
                  <w:u w:val="none"/>
                  <w:effect w:val="non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9">
              <w:r>
                <w:rPr>
                  <w:rStyle w:val="InternetLink"/>
                  <w:rFonts w:ascii="Times New Roman;sans-serif" w:hAnsi="Times New Roman;sans-serif"/>
                  <w:b w:val="false"/>
                  <w:strike w:val="false"/>
                  <w:dstrike w:val="false"/>
                  <w:color w:val="0000FF"/>
                  <w:sz w:val="20"/>
                  <w:u w:val="none"/>
                  <w:effect w:val="none"/>
                </w:rPr>
                <w:t>Condensed Consolidated Statements of Comprehensive Income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9">
              <w:r>
                <w:rPr>
                  <w:rStyle w:val="InternetLink"/>
                  <w:rFonts w:ascii="Times New Roman;sans-serif" w:hAnsi="Times New Roman;sans-serif"/>
                  <w:b w:val="false"/>
                  <w:strike w:val="false"/>
                  <w:dstrike w:val="false"/>
                  <w:color w:val="0000FF"/>
                  <w:sz w:val="20"/>
                  <w:u w:val="none"/>
                  <w:effect w:val="none"/>
                </w:rPr>
                <w:t>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f1ed57cd2fd407ba54a8b9ce577896c_22">
              <w:r>
                <w:rPr>
                  <w:rStyle w:val="InternetLink"/>
                  <w:rFonts w:ascii="Times New Roman;sans-serif" w:hAnsi="Times New Roman;sans-serif"/>
                  <w:b w:val="false"/>
                  <w:strike w:val="false"/>
                  <w:dstrike w:val="false"/>
                  <w:color w:val="0000FF"/>
                  <w:sz w:val="20"/>
                  <w:u w:val="none"/>
                  <w:effect w:val="none"/>
                </w:rPr>
                <w:t>Condensed Consolidated Balance Sheets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22">
              <w:r>
                <w:rPr>
                  <w:rStyle w:val="InternetLink"/>
                  <w:rFonts w:ascii="Times New Roman;sans-serif" w:hAnsi="Times New Roman;sans-serif"/>
                  <w:b w:val="false"/>
                  <w:strike w:val="false"/>
                  <w:dstrike w:val="false"/>
                  <w:color w:val="0000FF"/>
                  <w:sz w:val="20"/>
                  <w:u w:val="none"/>
                  <w:effect w:val="non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f1ed57cd2fd407ba54a8b9ce577896c_25">
              <w:r>
                <w:rPr>
                  <w:rStyle w:val="InternetLink"/>
                  <w:rFonts w:ascii="Times New Roman;sans-serif" w:hAnsi="Times New Roman;sans-serif"/>
                  <w:b w:val="false"/>
                  <w:strike w:val="false"/>
                  <w:dstrike w:val="false"/>
                  <w:color w:val="0000FF"/>
                  <w:sz w:val="20"/>
                  <w:u w:val="none"/>
                  <w:effect w:val="none"/>
                </w:rPr>
                <w:t>Condensed Consolidated Statements of Cash Flows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25">
              <w:r>
                <w:rPr>
                  <w:rStyle w:val="InternetLink"/>
                  <w:rFonts w:ascii="Times New Roman;sans-serif" w:hAnsi="Times New Roman;sans-serif"/>
                  <w:b w:val="false"/>
                  <w:strike w:val="false"/>
                  <w:dstrike w:val="false"/>
                  <w:color w:val="0000FF"/>
                  <w:sz w:val="20"/>
                  <w:u w:val="none"/>
                  <w:effect w:val="none"/>
                </w:rPr>
                <w:t>6</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f1ed57cd2fd407ba54a8b9ce577896c_28">
              <w:r>
                <w:rPr>
                  <w:rStyle w:val="InternetLink"/>
                  <w:rFonts w:ascii="Times New Roman;sans-serif" w:hAnsi="Times New Roman;sans-serif"/>
                  <w:b w:val="false"/>
                  <w:strike w:val="false"/>
                  <w:dstrike w:val="false"/>
                  <w:color w:val="0000FF"/>
                  <w:sz w:val="20"/>
                  <w:u w:val="none"/>
                  <w:effect w:val="none"/>
                </w:rPr>
                <w:t>Condensed Consolidated Statements of Equity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28">
              <w:r>
                <w:rPr>
                  <w:rStyle w:val="InternetLink"/>
                  <w:rFonts w:ascii="Times New Roman;sans-serif" w:hAnsi="Times New Roman;sans-serif"/>
                  <w:b w:val="false"/>
                  <w:strike w:val="false"/>
                  <w:dstrike w:val="false"/>
                  <w:color w:val="0000FF"/>
                  <w:sz w:val="20"/>
                  <w:u w:val="none"/>
                  <w:effect w:val="none"/>
                </w:rPr>
                <w:t>7</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31">
              <w:r>
                <w:rPr>
                  <w:rStyle w:val="InternetLink"/>
                  <w:rFonts w:ascii="Times New Roman;sans-serif" w:hAnsi="Times New Roman;sans-serif"/>
                  <w:b w:val="false"/>
                  <w:strike w:val="false"/>
                  <w:dstrike w:val="false"/>
                  <w:color w:val="0000FF"/>
                  <w:sz w:val="20"/>
                  <w:u w:val="none"/>
                  <w:effect w:val="none"/>
                </w:rPr>
                <w:t>Notes to 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31">
              <w:r>
                <w:rPr>
                  <w:rStyle w:val="InternetLink"/>
                  <w:rFonts w:ascii="Times New Roman;sans-serif" w:hAnsi="Times New Roman;sans-serif"/>
                  <w:b w:val="false"/>
                  <w:strike w:val="false"/>
                  <w:dstrike w:val="false"/>
                  <w:color w:val="0000FF"/>
                  <w:sz w:val="20"/>
                  <w:u w:val="none"/>
                  <w:effect w:val="none"/>
                </w:rPr>
                <w:t>8</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82">
              <w:r>
                <w:rPr>
                  <w:rStyle w:val="InternetLink"/>
                  <w:rFonts w:ascii="Times New Roman;sans-serif" w:hAnsi="Times New Roman;sans-serif"/>
                  <w:b w:val="false"/>
                  <w:strike w:val="false"/>
                  <w:dstrike w:val="false"/>
                  <w:color w:val="0000FF"/>
                  <w:sz w:val="20"/>
                  <w:u w:val="none"/>
                  <w:effect w:val="none"/>
                </w:rPr>
                <w:t>Item 2. 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82">
              <w:r>
                <w:rPr>
                  <w:rStyle w:val="InternetLink"/>
                  <w:rFonts w:ascii="Times New Roman;sans-serif" w:hAnsi="Times New Roman;sans-serif"/>
                  <w:b w:val="false"/>
                  <w:strike w:val="false"/>
                  <w:dstrike w:val="false"/>
                  <w:color w:val="0000FF"/>
                  <w:sz w:val="20"/>
                  <w:u w:val="none"/>
                  <w:effect w:val="none"/>
                </w:rPr>
                <w:t>24</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97">
              <w:r>
                <w:rPr>
                  <w:rStyle w:val="InternetLink"/>
                  <w:rFonts w:ascii="Times New Roman;sans-serif" w:hAnsi="Times New Roman;sans-serif"/>
                  <w:b w:val="false"/>
                  <w:strike w:val="false"/>
                  <w:dstrike w:val="false"/>
                  <w:color w:val="0000FF"/>
                  <w:sz w:val="20"/>
                  <w:u w:val="none"/>
                  <w:effect w:val="non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97">
              <w:r>
                <w:rPr>
                  <w:rStyle w:val="InternetLink"/>
                  <w:rFonts w:ascii="Times New Roman;sans-serif" w:hAnsi="Times New Roman;sans-serif"/>
                  <w:b w:val="false"/>
                  <w:strike w:val="false"/>
                  <w:dstrike w:val="false"/>
                  <w:color w:val="0000FF"/>
                  <w:sz w:val="20"/>
                  <w:u w:val="none"/>
                  <w:effect w:val="none"/>
                </w:rPr>
                <w:t>29</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00">
              <w:r>
                <w:rPr>
                  <w:rStyle w:val="InternetLink"/>
                  <w:rFonts w:ascii="Times New Roman;sans-serif" w:hAnsi="Times New Roman;sans-serif"/>
                  <w:b w:val="false"/>
                  <w:strike w:val="false"/>
                  <w:dstrike w:val="false"/>
                  <w:color w:val="0000FF"/>
                  <w:sz w:val="20"/>
                  <w:u w:val="none"/>
                  <w:effect w:val="none"/>
                </w:rPr>
                <w:t>Item 4. 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00">
              <w:r>
                <w:rPr>
                  <w:rStyle w:val="InternetLink"/>
                  <w:rFonts w:ascii="Times New Roman;sans-serif" w:hAnsi="Times New Roman;sans-serif"/>
                  <w:b w:val="false"/>
                  <w:strike w:val="false"/>
                  <w:dstrike w:val="false"/>
                  <w:color w:val="0000FF"/>
                  <w:sz w:val="20"/>
                  <w:u w:val="none"/>
                  <w:effect w:val="none"/>
                </w:rPr>
                <w:t>30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03">
              <w:r>
                <w:rPr>
                  <w:rStyle w:val="InternetLink"/>
                  <w:rFonts w:ascii="Times New Roman;sans-serif" w:hAnsi="Times New Roman;sans-serif"/>
                  <w:b/>
                  <w:strike w:val="false"/>
                  <w:dstrike w:val="false"/>
                  <w:color w:val="0000FF"/>
                  <w:sz w:val="20"/>
                  <w:u w:val="none"/>
                  <w:effect w:val="none"/>
                </w:rPr>
                <w:t>Part II.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03">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06">
              <w:r>
                <w:rPr>
                  <w:rStyle w:val="InternetLink"/>
                  <w:rFonts w:ascii="Times New Roman;sans-serif" w:hAnsi="Times New Roman;sans-serif"/>
                  <w:b w:val="false"/>
                  <w:strike w:val="false"/>
                  <w:dstrike w:val="false"/>
                  <w:color w:val="0000FF"/>
                  <w:sz w:val="20"/>
                  <w:u w:val="none"/>
                  <w:effect w:val="none"/>
                </w:rPr>
                <w:t>Item 1. 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06">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09">
              <w:r>
                <w:rPr>
                  <w:rStyle w:val="InternetLink"/>
                  <w:rFonts w:ascii="Times New Roman;sans-serif" w:hAnsi="Times New Roman;sans-serif"/>
                  <w:b w:val="false"/>
                  <w:strike w:val="false"/>
                  <w:dstrike w:val="false"/>
                  <w:color w:val="0000FF"/>
                  <w:sz w:val="20"/>
                  <w:u w:val="none"/>
                  <w:effect w:val="none"/>
                </w:rPr>
                <w:t>Item 1A. 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09">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12">
              <w:r>
                <w:rPr>
                  <w:rStyle w:val="InternetLink"/>
                  <w:rFonts w:ascii="Times New Roman;sans-serif" w:hAnsi="Times New Roman;sans-serif"/>
                  <w:b w:val="false"/>
                  <w:strike w:val="false"/>
                  <w:dstrike w:val="false"/>
                  <w:color w:val="0000FF"/>
                  <w:sz w:val="20"/>
                  <w:u w:val="none"/>
                  <w:effect w:val="none"/>
                </w:rPr>
                <w:t>Item 2. 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12">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15">
              <w:r>
                <w:rPr>
                  <w:rStyle w:val="InternetLink"/>
                  <w:rFonts w:ascii="Times New Roman;sans-serif" w:hAnsi="Times New Roman;sans-serif"/>
                  <w:b w:val="false"/>
                  <w:strike w:val="false"/>
                  <w:dstrike w:val="false"/>
                  <w:color w:val="0000FF"/>
                  <w:sz w:val="20"/>
                  <w:u w:val="none"/>
                  <w:effect w:val="none"/>
                </w:rPr>
                <w:t>Item 3. 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15">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18">
              <w:r>
                <w:rPr>
                  <w:rStyle w:val="InternetLink"/>
                  <w:rFonts w:ascii="Times New Roman;sans-serif" w:hAnsi="Times New Roman;sans-serif"/>
                  <w:b w:val="false"/>
                  <w:strike w:val="false"/>
                  <w:dstrike w:val="false"/>
                  <w:color w:val="0000FF"/>
                  <w:sz w:val="20"/>
                  <w:u w:val="none"/>
                  <w:effect w:val="none"/>
                </w:rPr>
                <w:t>Item 4. 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18">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21">
              <w:r>
                <w:rPr>
                  <w:rStyle w:val="InternetLink"/>
                  <w:rFonts w:ascii="Times New Roman;sans-serif" w:hAnsi="Times New Roman;sans-serif"/>
                  <w:b w:val="false"/>
                  <w:strike w:val="false"/>
                  <w:dstrike w:val="false"/>
                  <w:color w:val="0000FF"/>
                  <w:sz w:val="20"/>
                  <w:u w:val="none"/>
                  <w:effect w:val="none"/>
                </w:rPr>
                <w:t>Item 5.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21">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27">
              <w:r>
                <w:rPr>
                  <w:rStyle w:val="InternetLink"/>
                  <w:rFonts w:ascii="Times New Roman;sans-serif" w:hAnsi="Times New Roman;sans-serif"/>
                  <w:b w:val="false"/>
                  <w:strike w:val="false"/>
                  <w:dstrike w:val="false"/>
                  <w:color w:val="0000FF"/>
                  <w:sz w:val="20"/>
                  <w:u w:val="none"/>
                  <w:effect w:val="none"/>
                </w:rPr>
                <w:t>Item 6. Exhibits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27">
              <w:r>
                <w:rPr>
                  <w:rStyle w:val="InternetLink"/>
                  <w:rFonts w:ascii="Times New Roman;sans-serif" w:hAnsi="Times New Roman;sans-serif"/>
                  <w:b w:val="false"/>
                  <w:strike w:val="false"/>
                  <w:dstrike w:val="false"/>
                  <w:color w:val="0000FF"/>
                  <w:sz w:val="20"/>
                  <w:u w:val="none"/>
                  <w:effect w:val="none"/>
                </w:rPr>
                <w:t>32</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30">
              <w:r>
                <w:rPr>
                  <w:rStyle w:val="InternetLink"/>
                  <w:rFonts w:ascii="Times New Roman;sans-serif" w:hAnsi="Times New Roman;sans-serif"/>
                  <w:b/>
                  <w:strike w:val="false"/>
                  <w:dstrike w:val="false"/>
                  <w:color w:val="0000FF"/>
                  <w:sz w:val="20"/>
                  <w:u w:val="none"/>
                  <w:effect w:val="non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30">
              <w:r>
                <w:rPr>
                  <w:rStyle w:val="InternetLink"/>
                  <w:rFonts w:ascii="Times New Roman;sans-serif" w:hAnsi="Times New Roman;sans-serif"/>
                  <w:b w:val="false"/>
                  <w:strike w:val="false"/>
                  <w:dstrike w:val="false"/>
                  <w:color w:val="0000FF"/>
                  <w:sz w:val="20"/>
                  <w:u w:val="none"/>
                  <w:effect w:val="none"/>
                </w:rPr>
                <w:t>33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1ed57cd2fd407ba54a8b9ce577896c_127">
              <w:r>
                <w:rPr>
                  <w:rStyle w:val="InternetLink"/>
                  <w:rFonts w:ascii="Times New Roman;sans-serif" w:hAnsi="Times New Roman;sans-serif"/>
                  <w:b/>
                  <w:strike w:val="false"/>
                  <w:dstrike w:val="false"/>
                  <w:color w:val="0000FF"/>
                  <w:sz w:val="20"/>
                  <w:u w:val="none"/>
                  <w:effect w:val="none"/>
                </w:rPr>
                <w:t>Exhibit Index</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1ed57cd2fd407ba54a8b9ce577896c_130">
              <w:r>
                <w:rPr>
                  <w:rStyle w:val="InternetLink"/>
                  <w:rFonts w:ascii="Times New Roman;sans-serif" w:hAnsi="Times New Roman;sans-serif"/>
                  <w:b w:val="false"/>
                  <w:strike w:val="false"/>
                  <w:dstrike w:val="false"/>
                  <w:color w:val="0000FF"/>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w:t>
      </w:r>
      <w:r>
        <w:rPr>
          <w:rFonts w:ascii="Times New Roman;sans-serif" w:hAnsi="Times New Roman;sans-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56" w:type="dxa"/>
        <w:jc w:val="center"/>
        <w:tblInd w:w="0" w:type="dxa"/>
        <w:tblLayout w:type="fixed"/>
        <w:tblCellMar>
          <w:top w:w="28" w:type="dxa"/>
          <w:left w:w="28" w:type="dxa"/>
          <w:bottom w:w="28" w:type="dxa"/>
          <w:right w:w="28" w:type="dxa"/>
        </w:tblCellMar>
      </w:tblPr>
      <w:tblGrid>
        <w:gridCol w:w="1793"/>
        <w:gridCol w:w="1576"/>
        <w:gridCol w:w="1580"/>
        <w:gridCol w:w="227"/>
        <w:gridCol w:w="856"/>
        <w:gridCol w:w="117"/>
        <w:gridCol w:w="109"/>
        <w:gridCol w:w="109"/>
        <w:gridCol w:w="109"/>
        <w:gridCol w:w="243"/>
        <w:gridCol w:w="831"/>
        <w:gridCol w:w="125"/>
        <w:gridCol w:w="109"/>
        <w:gridCol w:w="109"/>
        <w:gridCol w:w="109"/>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 income</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income before income taxes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per share of common stock outstanding:</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Weighted-average shares outstanding: </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46" w:type="dxa"/>
        <w:jc w:val="center"/>
        <w:tblInd w:w="0" w:type="dxa"/>
        <w:tblLayout w:type="fixed"/>
        <w:tblCellMar>
          <w:top w:w="28" w:type="dxa"/>
          <w:left w:w="28" w:type="dxa"/>
          <w:bottom w:w="28" w:type="dxa"/>
          <w:right w:w="28" w:type="dxa"/>
        </w:tblCellMar>
      </w:tblPr>
      <w:tblGrid>
        <w:gridCol w:w="1501"/>
        <w:gridCol w:w="1316"/>
        <w:gridCol w:w="1322"/>
        <w:gridCol w:w="227"/>
        <w:gridCol w:w="856"/>
        <w:gridCol w:w="117"/>
        <w:gridCol w:w="109"/>
        <w:gridCol w:w="109"/>
        <w:gridCol w:w="109"/>
        <w:gridCol w:w="270"/>
        <w:gridCol w:w="790"/>
        <w:gridCol w:w="139"/>
        <w:gridCol w:w="109"/>
        <w:gridCol w:w="109"/>
        <w:gridCol w:w="109"/>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cumulative translation adjustments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income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3"/>
        <w:gridCol w:w="2353"/>
        <w:gridCol w:w="2359"/>
        <w:gridCol w:w="215"/>
        <w:gridCol w:w="843"/>
        <w:gridCol w:w="111"/>
        <w:gridCol w:w="109"/>
        <w:gridCol w:w="109"/>
        <w:gridCol w:w="109"/>
        <w:gridCol w:w="211"/>
        <w:gridCol w:w="826"/>
        <w:gridCol w:w="157"/>
      </w:tblGrid>
      <w:tr>
        <w:trPr/>
        <w:tc>
          <w:tcPr>
            <w:tcW w:w="280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par value amounts)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$2,190 and $1,854</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uncertain tax positions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 million shares authorized, none issued</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300.0 million shares authorized, 12.7 million and 12.6 million shares issued and outstanding as of September 27, 2024 and June 28, 2024, respectively. </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0.2 million and 0.2 million shares as of September 27, 2024 and June 28, 2024, respectively</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(590,392)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590,857 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535,223 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21"/>
        <w:gridCol w:w="2365"/>
        <w:gridCol w:w="2368"/>
        <w:gridCol w:w="225"/>
        <w:gridCol w:w="847"/>
        <w:gridCol w:w="116"/>
        <w:gridCol w:w="109"/>
        <w:gridCol w:w="109"/>
        <w:gridCol w:w="109"/>
        <w:gridCol w:w="239"/>
        <w:gridCol w:w="819"/>
        <w:gridCol w:w="178"/>
      </w:tblGrid>
      <w:tr>
        <w:trPr/>
        <w:tc>
          <w:tcPr>
            <w:tcW w:w="2721"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(used in) provided by operating activities: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plant and equipment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uncollectible receivables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operating activities, net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plant and equipment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 held for sale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net of cash acquired</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revolver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related to net settlement of equity awards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plans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cash equivalents, and restricted cash</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period</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35,741 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55"/>
        <w:gridCol w:w="275"/>
        <w:gridCol w:w="276"/>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7"/>
        <w:gridCol w:w="755"/>
        <w:gridCol w:w="109"/>
        <w:gridCol w:w="109"/>
        <w:gridCol w:w="109"/>
        <w:gridCol w:w="109"/>
        <w:gridCol w:w="196"/>
        <w:gridCol w:w="753"/>
        <w:gridCol w:w="109"/>
        <w:gridCol w:w="109"/>
        <w:gridCol w:w="109"/>
        <w:gridCol w:w="109"/>
        <w:gridCol w:w="248"/>
        <w:gridCol w:w="840"/>
        <w:gridCol w:w="139"/>
        <w:gridCol w:w="109"/>
        <w:gridCol w:w="109"/>
        <w:gridCol w:w="109"/>
        <w:gridCol w:w="196"/>
        <w:gridCol w:w="751"/>
        <w:gridCol w:w="160"/>
      </w:tblGrid>
      <w:tr>
        <w:trPr/>
        <w:tc>
          <w:tcPr>
            <w:tcW w:w="6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27, 2024</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28,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12,622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860,071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(578,513)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(19,320)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255,885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27, 2024</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12,676</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861,023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(590,392)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(17,167)</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247,112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56"/>
        <w:gridCol w:w="276"/>
        <w:gridCol w:w="277"/>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6"/>
        <w:gridCol w:w="751"/>
        <w:gridCol w:w="109"/>
        <w:gridCol w:w="109"/>
        <w:gridCol w:w="109"/>
        <w:gridCol w:w="109"/>
        <w:gridCol w:w="196"/>
        <w:gridCol w:w="754"/>
        <w:gridCol w:w="109"/>
        <w:gridCol w:w="109"/>
        <w:gridCol w:w="109"/>
        <w:gridCol w:w="109"/>
        <w:gridCol w:w="248"/>
        <w:gridCol w:w="841"/>
        <w:gridCol w:w="139"/>
        <w:gridCol w:w="109"/>
        <w:gridCol w:w="109"/>
        <w:gridCol w:w="109"/>
        <w:gridCol w:w="196"/>
        <w:gridCol w:w="751"/>
        <w:gridCol w:w="160"/>
      </w:tblGrid>
      <w:tr>
        <w:trPr/>
        <w:tc>
          <w:tcPr>
            <w:tcW w:w="6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29, 2023</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11,518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830,048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(589,273)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(16,004)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218,739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29, 2023</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11,719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832,060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(15,971)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224,343</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The Company and Basis of Presentation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statement of its financial position, results of operations and cash flows for such periods. The results for the three months ended September 27, 2024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28, 2024.</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Aviat’s fiscal year includes 52 or 53 weeks and ends on the Friday nearest to June 30. The three months ended September 27, 2024 and September 29, 2023 both consisted of 13 weeks. Fiscal year 2025 contains 52 weeks and will end on June 27, 2025. Fiscal year 2024 contained 52 weeks and ended on June 28,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Revisions to Prior Period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third quarter of fiscal 2024, the Company identified certain errors in the quarterly financial statements for fiscal 2024.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val="false"/>
          <w:color w:val="000000"/>
          <w:sz w:val="20"/>
        </w:rPr>
        <w:t>statements. As a result, the Company has revised the prior period financial statements and related disclosures to correct the errors for comparability across all periods presented herein. Refer to Note 15. Revisions to Prior Period Consolidated Financial Statements of the Notes to this Form 10-Q, and Note 1. The Company and Summary of Significant Accounting Policies and Part II, Item 9B. Other Information of the Company’s Annual Report on Form 10-K for the fiscal year ended June 28, 2024</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significant accounting policies as of and for the three months ended September 27, 2024, as compared to the significant accounting policies described in the Company’s Annual Report on Form 10-K for the fiscal year ended June 28,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Not Yet Adopted</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Accounting Standards Update (“ASU”) 2023-09, Income Taxes (Topic 740): Improvements to Income Tax Disclosures.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is currently evaluating the impact of the ASU on its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2. Net (Loss) Income Per Share of Common Stock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net (loss) income per share:</w:t>
      </w:r>
    </w:p>
    <w:tbl>
      <w:tblPr>
        <w:tblW w:w="8313" w:type="dxa"/>
        <w:jc w:val="center"/>
        <w:tblInd w:w="0" w:type="dxa"/>
        <w:tblLayout w:type="fixed"/>
        <w:tblCellMar>
          <w:top w:w="28" w:type="dxa"/>
          <w:left w:w="28" w:type="dxa"/>
          <w:bottom w:w="28" w:type="dxa"/>
          <w:right w:w="28" w:type="dxa"/>
        </w:tblCellMar>
      </w:tblPr>
      <w:tblGrid>
        <w:gridCol w:w="1792"/>
        <w:gridCol w:w="1574"/>
        <w:gridCol w:w="1583"/>
        <w:gridCol w:w="227"/>
        <w:gridCol w:w="856"/>
        <w:gridCol w:w="117"/>
        <w:gridCol w:w="109"/>
        <w:gridCol w:w="109"/>
        <w:gridCol w:w="109"/>
        <w:gridCol w:w="270"/>
        <w:gridCol w:w="790"/>
        <w:gridCol w:w="139"/>
        <w:gridCol w:w="109"/>
        <w:gridCol w:w="109"/>
        <w:gridCol w:w="109"/>
        <w:gridCol w:w="311"/>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Numerator: </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basic</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equivalent shares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diluted</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per share of common stock outstanding:</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equity awards that were excluded from the diluted net (loss) income per share calculations since they were anti-dilutive:</w:t>
      </w:r>
    </w:p>
    <w:tbl>
      <w:tblPr>
        <w:tblW w:w="7664" w:type="dxa"/>
        <w:jc w:val="center"/>
        <w:tblInd w:w="0" w:type="dxa"/>
        <w:tblLayout w:type="fixed"/>
        <w:tblCellMar>
          <w:top w:w="28" w:type="dxa"/>
          <w:left w:w="28" w:type="dxa"/>
          <w:bottom w:w="28" w:type="dxa"/>
          <w:right w:w="28" w:type="dxa"/>
        </w:tblCellMar>
      </w:tblPr>
      <w:tblGrid>
        <w:gridCol w:w="1523"/>
        <w:gridCol w:w="1337"/>
        <w:gridCol w:w="1340"/>
        <w:gridCol w:w="399"/>
        <w:gridCol w:w="399"/>
        <w:gridCol w:w="401"/>
        <w:gridCol w:w="195"/>
        <w:gridCol w:w="195"/>
        <w:gridCol w:w="195"/>
        <w:gridCol w:w="399"/>
        <w:gridCol w:w="399"/>
        <w:gridCol w:w="401"/>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performance stock units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excluded</w:t>
            </w:r>
          </w:p>
        </w:tc>
        <w:tc>
          <w:tcPr>
            <w:tcW w:w="7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bidi w:val="0"/>
        <w:spacing w:lineRule="auto" w:line="288" w:before="264" w:after="283"/>
        <w:jc w:val="left"/>
        <w:rPr>
          <w:rFonts w:ascii="Times New Roman;sans-serif" w:hAnsi="Times New Roman;sans-serif"/>
          <w:b/>
          <w:i/>
          <w:color w:val="000000"/>
          <w:sz w:val="20"/>
        </w:rPr>
      </w:pPr>
      <w:r>
        <w:rPr>
          <w:rFonts w:ascii="Times New Roman;sans-serif" w:hAnsi="Times New Roman;sans-serif"/>
          <w:b/>
          <w:i/>
          <w:color w:val="000000"/>
          <w:sz w:val="20"/>
        </w:rPr>
        <w:t>Contract Balances, Performance Obligations, and Backlog</w:t>
      </w:r>
    </w:p>
    <w:p>
      <w:pPr>
        <w:pStyle w:val="TextBody"/>
        <w:bidi w:val="0"/>
        <w:spacing w:before="0" w:after="0"/>
        <w:jc w:val="left"/>
        <w:rPr/>
      </w:pPr>
      <w:r>
        <w:rPr/>
      </w:r>
    </w:p>
    <w:tbl>
      <w:tblPr>
        <w:tblW w:w="6213" w:type="dxa"/>
        <w:jc w:val="center"/>
        <w:tblInd w:w="0" w:type="dxa"/>
        <w:tblLayout w:type="fixed"/>
        <w:tblCellMar>
          <w:top w:w="28" w:type="dxa"/>
          <w:left w:w="28" w:type="dxa"/>
          <w:bottom w:w="28" w:type="dxa"/>
          <w:right w:w="28" w:type="dxa"/>
        </w:tblCellMar>
      </w:tblPr>
      <w:tblGrid>
        <w:gridCol w:w="1269"/>
        <w:gridCol w:w="1112"/>
        <w:gridCol w:w="1114"/>
        <w:gridCol w:w="221"/>
        <w:gridCol w:w="865"/>
        <w:gridCol w:w="114"/>
        <w:gridCol w:w="109"/>
        <w:gridCol w:w="109"/>
        <w:gridCol w:w="109"/>
        <w:gridCol w:w="211"/>
        <w:gridCol w:w="82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Contract liabilities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long-term</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 contract balances may arise as a result of recognition over time for services, transfer of control for equipment, and periodic payments (both in arrears and in advance).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Company reported $86.9 million in advance payments and unearned revenue and long-term unearned revenue, of which approximately 80% is expected to be recognized as revenue in the next twelve months and the remainder thereafter. Approximately $16.6 million of revenue was recognized during the three months ended September 27, 2024, which was included in advance payments and unearned revenue at June 28, 2024.</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transaction price allocated to unsatisfied (or partially unsatisfied) performance obligations was approximately $144.8 million at September 27, 2024 relating to our long-term field service projects. Of this amount, approximately 50% is expected to be recognized as revenue during the next 12 months, with the remaining amount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4. Balance Sheet Components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summary of cash, cash equivalents, and restricted cash reported within the unaudited condensed consolidated balance sheets that reconciles to the corresponding amount in the unaudited condensed consolidated statement of cash flows:</w:t>
      </w:r>
    </w:p>
    <w:p>
      <w:pPr>
        <w:pStyle w:val="TextBody"/>
        <w:bidi w:val="0"/>
        <w:spacing w:before="0" w:after="0"/>
        <w:jc w:val="left"/>
        <w:rPr/>
      </w:pPr>
      <w:r>
        <w:rPr/>
      </w:r>
    </w:p>
    <w:tbl>
      <w:tblPr>
        <w:tblW w:w="6751" w:type="dxa"/>
        <w:jc w:val="center"/>
        <w:tblInd w:w="0" w:type="dxa"/>
        <w:tblLayout w:type="fixed"/>
        <w:tblCellMar>
          <w:top w:w="28" w:type="dxa"/>
          <w:left w:w="28" w:type="dxa"/>
          <w:bottom w:w="28" w:type="dxa"/>
          <w:right w:w="28" w:type="dxa"/>
        </w:tblCellMar>
      </w:tblPr>
      <w:tblGrid>
        <w:gridCol w:w="1500"/>
        <w:gridCol w:w="1318"/>
        <w:gridCol w:w="1321"/>
        <w:gridCol w:w="243"/>
        <w:gridCol w:w="831"/>
        <w:gridCol w:w="125"/>
        <w:gridCol w:w="109"/>
        <w:gridCol w:w="109"/>
        <w:gridCol w:w="109"/>
        <w:gridCol w:w="211"/>
        <w:gridCol w:w="72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long-term other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left"/>
        <w:rPr/>
      </w:pPr>
      <w:r>
        <w:rPr/>
      </w:r>
    </w:p>
    <w:tbl>
      <w:tblPr>
        <w:tblW w:w="8086" w:type="dxa"/>
        <w:jc w:val="center"/>
        <w:tblInd w:w="0" w:type="dxa"/>
        <w:tblLayout w:type="fixed"/>
        <w:tblCellMar>
          <w:top w:w="28" w:type="dxa"/>
          <w:left w:w="28" w:type="dxa"/>
          <w:bottom w:w="28" w:type="dxa"/>
          <w:right w:w="28" w:type="dxa"/>
        </w:tblCellMar>
      </w:tblPr>
      <w:tblGrid>
        <w:gridCol w:w="1986"/>
        <w:gridCol w:w="1743"/>
        <w:gridCol w:w="1745"/>
        <w:gridCol w:w="243"/>
        <w:gridCol w:w="831"/>
        <w:gridCol w:w="125"/>
        <w:gridCol w:w="109"/>
        <w:gridCol w:w="109"/>
        <w:gridCol w:w="109"/>
        <w:gridCol w:w="211"/>
        <w:gridCol w:w="721"/>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inventories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Consigned inventories included within raw materials and supplies</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charges to adjust inventories due to excess and obsolete inventory resulting from lower sales forecasts, product transitioning or discontinuance. The charges incurred during the three months ended September 27, 2024 and September 29, 2023 were included in cost of product sales as follows:</w:t>
      </w:r>
    </w:p>
    <w:tbl>
      <w:tblPr>
        <w:tblW w:w="6595" w:type="dxa"/>
        <w:jc w:val="center"/>
        <w:tblInd w:w="0" w:type="dxa"/>
        <w:tblLayout w:type="fixed"/>
        <w:tblCellMar>
          <w:top w:w="28" w:type="dxa"/>
          <w:left w:w="28" w:type="dxa"/>
          <w:bottom w:w="28" w:type="dxa"/>
          <w:right w:w="28" w:type="dxa"/>
        </w:tblCellMar>
      </w:tblPr>
      <w:tblGrid>
        <w:gridCol w:w="1229"/>
        <w:gridCol w:w="1079"/>
        <w:gridCol w:w="1081"/>
        <w:gridCol w:w="321"/>
        <w:gridCol w:w="710"/>
        <w:gridCol w:w="168"/>
        <w:gridCol w:w="109"/>
        <w:gridCol w:w="109"/>
        <w:gridCol w:w="109"/>
        <w:gridCol w:w="321"/>
        <w:gridCol w:w="710"/>
        <w:gridCol w:w="168"/>
        <w:gridCol w:w="109"/>
        <w:gridCol w:w="109"/>
        <w:gridCol w:w="109"/>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obsolete inventory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inventory write-downs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charges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Current Assets</w:t>
      </w:r>
    </w:p>
    <w:p>
      <w:pPr>
        <w:pStyle w:val="TextBody"/>
        <w:bidi w:val="0"/>
        <w:spacing w:before="0" w:after="0"/>
        <w:jc w:val="left"/>
        <w:rPr/>
      </w:pPr>
      <w:r>
        <w:rPr/>
      </w:r>
    </w:p>
    <w:tbl>
      <w:tblPr>
        <w:tblW w:w="5281" w:type="dxa"/>
        <w:jc w:val="center"/>
        <w:tblInd w:w="0" w:type="dxa"/>
        <w:tblLayout w:type="fixed"/>
        <w:tblCellMar>
          <w:top w:w="28" w:type="dxa"/>
          <w:left w:w="28" w:type="dxa"/>
          <w:bottom w:w="28" w:type="dxa"/>
          <w:right w:w="28" w:type="dxa"/>
        </w:tblCellMar>
      </w:tblPr>
      <w:tblGrid>
        <w:gridCol w:w="968"/>
        <w:gridCol w:w="849"/>
        <w:gridCol w:w="852"/>
        <w:gridCol w:w="243"/>
        <w:gridCol w:w="831"/>
        <w:gridCol w:w="125"/>
        <w:gridCol w:w="109"/>
        <w:gridCol w:w="109"/>
        <w:gridCol w:w="109"/>
        <w:gridCol w:w="211"/>
        <w:gridCol w:w="72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manufacturing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before="0" w:after="0"/>
        <w:jc w:val="left"/>
        <w:rPr/>
      </w:pPr>
      <w:r>
        <w:rPr/>
      </w:r>
    </w:p>
    <w:tbl>
      <w:tblPr>
        <w:tblW w:w="6076" w:type="dxa"/>
        <w:jc w:val="center"/>
        <w:tblInd w:w="0" w:type="dxa"/>
        <w:tblLayout w:type="fixed"/>
        <w:tblCellMar>
          <w:top w:w="28" w:type="dxa"/>
          <w:left w:w="28" w:type="dxa"/>
          <w:bottom w:w="28" w:type="dxa"/>
          <w:right w:w="28" w:type="dxa"/>
        </w:tblCellMar>
      </w:tblPr>
      <w:tblGrid>
        <w:gridCol w:w="1293"/>
        <w:gridCol w:w="1132"/>
        <w:gridCol w:w="1144"/>
        <w:gridCol w:w="243"/>
        <w:gridCol w:w="831"/>
        <w:gridCol w:w="125"/>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equipment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gross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total property, plant and equipment, gross were $4.2 million and $4.1 million of assets in progress which have not been placed in service as of September 27, 2024 and June 28, 2024, respectively.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plant and equipment, was as follows:</w:t>
      </w:r>
    </w:p>
    <w:tbl>
      <w:tblPr>
        <w:tblW w:w="4377" w:type="dxa"/>
        <w:jc w:val="center"/>
        <w:tblInd w:w="0" w:type="dxa"/>
        <w:tblLayout w:type="fixed"/>
        <w:tblCellMar>
          <w:top w:w="28" w:type="dxa"/>
          <w:left w:w="28" w:type="dxa"/>
          <w:bottom w:w="28" w:type="dxa"/>
          <w:right w:w="28" w:type="dxa"/>
        </w:tblCellMar>
      </w:tblPr>
      <w:tblGrid>
        <w:gridCol w:w="424"/>
        <w:gridCol w:w="372"/>
        <w:gridCol w:w="375"/>
        <w:gridCol w:w="270"/>
        <w:gridCol w:w="790"/>
        <w:gridCol w:w="139"/>
        <w:gridCol w:w="109"/>
        <w:gridCol w:w="109"/>
        <w:gridCol w:w="109"/>
        <w:gridCol w:w="270"/>
        <w:gridCol w:w="790"/>
        <w:gridCol w:w="13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tbl>
      <w:tblPr>
        <w:tblW w:w="4951" w:type="dxa"/>
        <w:jc w:val="left"/>
        <w:tblInd w:w="0" w:type="dxa"/>
        <w:tblLayout w:type="fixed"/>
        <w:tblCellMar>
          <w:top w:w="28" w:type="dxa"/>
          <w:left w:w="28" w:type="dxa"/>
          <w:bottom w:w="28" w:type="dxa"/>
          <w:right w:w="28" w:type="dxa"/>
        </w:tblCellMar>
      </w:tblPr>
      <w:tblGrid>
        <w:gridCol w:w="847"/>
        <w:gridCol w:w="743"/>
        <w:gridCol w:w="749"/>
        <w:gridCol w:w="243"/>
        <w:gridCol w:w="831"/>
        <w:gridCol w:w="125"/>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costs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the estimated cost to repair or replace products under warranty. Changes in the warranty liability were as follows:</w:t>
      </w:r>
    </w:p>
    <w:tbl>
      <w:tblPr>
        <w:tblW w:w="7106" w:type="dxa"/>
        <w:jc w:val="center"/>
        <w:tblInd w:w="0" w:type="dxa"/>
        <w:tblLayout w:type="fixed"/>
        <w:tblCellMar>
          <w:top w:w="28" w:type="dxa"/>
          <w:left w:w="28" w:type="dxa"/>
          <w:bottom w:w="28" w:type="dxa"/>
          <w:right w:w="28" w:type="dxa"/>
        </w:tblCellMar>
      </w:tblPr>
      <w:tblGrid>
        <w:gridCol w:w="1415"/>
        <w:gridCol w:w="1240"/>
        <w:gridCol w:w="1245"/>
        <w:gridCol w:w="270"/>
        <w:gridCol w:w="790"/>
        <w:gridCol w:w="139"/>
        <w:gridCol w:w="109"/>
        <w:gridCol w:w="109"/>
        <w:gridCol w:w="109"/>
        <w:gridCol w:w="270"/>
        <w:gridCol w:w="790"/>
        <w:gridCol w:w="139"/>
        <w:gridCol w:w="109"/>
        <w:gridCol w:w="109"/>
        <w:gridCol w:w="109"/>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the beginning of the period</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provision recorded during the period</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in acquisition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Consumption during the period</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the end of the period</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Advance Payments and Unearned Revenue</w:t>
      </w:r>
    </w:p>
    <w:p>
      <w:pPr>
        <w:pStyle w:val="TextBody"/>
        <w:bidi w:val="0"/>
        <w:spacing w:before="0" w:after="0"/>
        <w:jc w:val="left"/>
        <w:rPr/>
      </w:pPr>
      <w:r>
        <w:rPr/>
      </w:r>
    </w:p>
    <w:tbl>
      <w:tblPr>
        <w:tblW w:w="6542" w:type="dxa"/>
        <w:jc w:val="center"/>
        <w:tblInd w:w="0" w:type="dxa"/>
        <w:tblLayout w:type="fixed"/>
        <w:tblCellMar>
          <w:top w:w="28" w:type="dxa"/>
          <w:left w:w="28" w:type="dxa"/>
          <w:bottom w:w="28" w:type="dxa"/>
          <w:right w:w="28" w:type="dxa"/>
        </w:tblCellMar>
      </w:tblPr>
      <w:tblGrid>
        <w:gridCol w:w="1426"/>
        <w:gridCol w:w="1251"/>
        <w:gridCol w:w="1253"/>
        <w:gridCol w:w="243"/>
        <w:gridCol w:w="831"/>
        <w:gridCol w:w="125"/>
        <w:gridCol w:w="109"/>
        <w:gridCol w:w="109"/>
        <w:gridCol w:w="109"/>
        <w:gridCol w:w="211"/>
        <w:gridCol w:w="721"/>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advance payments and unearned revenue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Excluded from the balances above are $7.5 million and $7.4 million in long-term unearned revenue as of September 27, 2024 and June 28,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5. Fair Value Measurements of Assets and Liabilities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1 — Observable inputs such as quoted prices in active markets for identical assets or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2 — Observable market-based inputs or observable inputs that are corroborated by market data;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Level 3 — Unobservable inputs that are supported by little or no market activity and that are significant to the fair value of the assets or liabilities.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and valuation input levels of assets and liabilities that are measured at fair value on a recurring basis as of September 27, 2024 and June 28, 2024 were as follows:</w:t>
      </w:r>
    </w:p>
    <w:tbl>
      <w:tblPr>
        <w:tblW w:w="7237" w:type="dxa"/>
        <w:jc w:val="center"/>
        <w:tblInd w:w="0" w:type="dxa"/>
        <w:tblLayout w:type="fixed"/>
        <w:tblCellMar>
          <w:top w:w="28" w:type="dxa"/>
          <w:left w:w="28" w:type="dxa"/>
          <w:bottom w:w="28" w:type="dxa"/>
          <w:right w:w="28" w:type="dxa"/>
        </w:tblCellMar>
      </w:tblPr>
      <w:tblGrid>
        <w:gridCol w:w="848"/>
        <w:gridCol w:w="745"/>
        <w:gridCol w:w="747"/>
        <w:gridCol w:w="362"/>
        <w:gridCol w:w="1056"/>
        <w:gridCol w:w="187"/>
        <w:gridCol w:w="109"/>
        <w:gridCol w:w="109"/>
        <w:gridCol w:w="109"/>
        <w:gridCol w:w="260"/>
        <w:gridCol w:w="760"/>
        <w:gridCol w:w="134"/>
        <w:gridCol w:w="109"/>
        <w:gridCol w:w="109"/>
        <w:gridCol w:w="109"/>
        <w:gridCol w:w="434"/>
        <w:gridCol w:w="434"/>
        <w:gridCol w:w="61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Valuation Inputs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certificates of deposit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Items are classified within Level 1 if quoted prices are available in active markets. The Company’s Level 1 items are primarily money market funds and marketable securities. As of September 27, 2024 and June 28, 2024, the money market funds were valued at $1.00 net asset value per share.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 2. The carrying value of bank certificates of deposit approximates their fair value. The Company did not have any recurring assets or liabilities that were valued using significant unobservable inputs.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6. Credit Facility and Debt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Secured Credit Facility Agreement (the “Credit Facility”), dated May 9, 2023, amended as of November 22, 2023 and October 18, 2024,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Revolver can be borrowed with a $10.0 million sub-limit for letters of credit, and a $10.0 million swingline loan sub-limit. Refer to Note 16. Subsequent Events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borrowed $50.0 million against the Term Loan to primarily settle the cash portion of the consideration associated with the NEC Transaction (as defined below). See Note 11. Acquisitions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available credit under the Revolver was $0.7 million, reflecting the available limit of $5.0 million less outstanding letters of credit of $4.3 million. The Company borrowed $35.0 million against the Revolver during the three months ended September 27, 2024. As of September 27, 2024, the Company had $48.8 million outstanding under its Term Loan and $35.0 million outstanding under its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outstanding long-term debt as of September 27, 2024:</w:t>
      </w:r>
    </w:p>
    <w:tbl>
      <w:tblPr>
        <w:tblW w:w="4998" w:type="dxa"/>
        <w:jc w:val="center"/>
        <w:tblInd w:w="0" w:type="dxa"/>
        <w:tblLayout w:type="fixed"/>
        <w:tblCellMar>
          <w:top w:w="28" w:type="dxa"/>
          <w:left w:w="28" w:type="dxa"/>
          <w:bottom w:w="28" w:type="dxa"/>
          <w:right w:w="28" w:type="dxa"/>
        </w:tblCellMar>
      </w:tblPr>
      <w:tblGrid>
        <w:gridCol w:w="1300"/>
        <w:gridCol w:w="1141"/>
        <w:gridCol w:w="1144"/>
        <w:gridCol w:w="109"/>
        <w:gridCol w:w="109"/>
        <w:gridCol w:w="109"/>
        <w:gridCol w:w="211"/>
        <w:gridCol w:w="721"/>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September 27, 2024, the applicable margin on Adjusted Term SOFR and Base Rate borrowings was 2.50% and 1.50%, respectively. The effective rate of interest on the outstanding Term Loan and Revolver borrowings as of September 27, 2024 was 7.4% and 7.6%, respectively.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September 27, 2024, the Company was in compliance with all financial covenants contained in the Credit Facility.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scheduled maturities of outstanding long-term debt are as follows:</w:t>
      </w:r>
    </w:p>
    <w:tbl>
      <w:tblPr>
        <w:tblW w:w="3092" w:type="dxa"/>
        <w:jc w:val="center"/>
        <w:tblInd w:w="0" w:type="dxa"/>
        <w:tblLayout w:type="fixed"/>
        <w:tblCellMar>
          <w:top w:w="28" w:type="dxa"/>
          <w:left w:w="28" w:type="dxa"/>
          <w:bottom w:w="28" w:type="dxa"/>
          <w:right w:w="28" w:type="dxa"/>
        </w:tblCellMar>
      </w:tblPr>
      <w:tblGrid>
        <w:gridCol w:w="609"/>
        <w:gridCol w:w="534"/>
        <w:gridCol w:w="536"/>
        <w:gridCol w:w="109"/>
        <w:gridCol w:w="109"/>
        <w:gridCol w:w="109"/>
        <w:gridCol w:w="211"/>
        <w:gridCol w:w="721"/>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7. Restructuring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restructuring related activities during the three months ended September 27, 2024:</w:t>
      </w:r>
    </w:p>
    <w:tbl>
      <w:tblPr>
        <w:tblW w:w="8819" w:type="dxa"/>
        <w:jc w:val="center"/>
        <w:tblInd w:w="0" w:type="dxa"/>
        <w:tblLayout w:type="fixed"/>
        <w:tblCellMar>
          <w:top w:w="28" w:type="dxa"/>
          <w:left w:w="28" w:type="dxa"/>
          <w:bottom w:w="28" w:type="dxa"/>
          <w:right w:w="28" w:type="dxa"/>
        </w:tblCellMar>
      </w:tblPr>
      <w:tblGrid>
        <w:gridCol w:w="1055"/>
        <w:gridCol w:w="926"/>
        <w:gridCol w:w="928"/>
        <w:gridCol w:w="602"/>
        <w:gridCol w:w="1757"/>
        <w:gridCol w:w="311"/>
        <w:gridCol w:w="109"/>
        <w:gridCol w:w="109"/>
        <w:gridCol w:w="109"/>
        <w:gridCol w:w="465"/>
        <w:gridCol w:w="897"/>
        <w:gridCol w:w="243"/>
        <w:gridCol w:w="109"/>
        <w:gridCol w:w="109"/>
        <w:gridCol w:w="109"/>
        <w:gridCol w:w="211"/>
        <w:gridCol w:w="61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Employee Severance and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Facilities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28, 2024</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27, 2024</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accrued restructuring balance of $1.6 million was included in other current liabilities on the unaudited condensed consolidated balance sheets. Included in the above were positions identified for termination that have not been executed from a restructuring perspective.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Prior Years’ Plans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2024, the Company’s Board of Directors approved restructuring plans, primarily associated with the NEC Transaction (as defined below) and reductions in workforce in certain of the Company’s operations to optimize skill sets and align cost structure. The fiscal 2024 plans are expected to be completed through the end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8. Stockholders’ Equity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approved a stock repurchase program to purchase up to $10.0 million of the Company’s common stock. As of September 27, 2024, $6.9 million remains available and Aviat may choose to suspend or discontinue the repurchase program at any time. Repurchased shares are recorded as treasury stock. During the first quarter of fiscal 2025, the Company did not repurchase any shares of its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Incentive Programs</w:t>
      </w:r>
    </w:p>
    <w:p>
      <w:pPr>
        <w:pStyle w:val="TextBody"/>
        <w:bidi w:val="0"/>
        <w:spacing w:lineRule="auto" w:line="276"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Vesting of performance share awards and units is subject to the achievement of predetermined financial performance and share price criteria, and continued employment through the end of the applicable period.</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27, 2024, the Company granted 9,140 restricted stock units.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 for share-based awards included in the unaudited condensed consolidated statements of operations was as follows:</w:t>
      </w:r>
    </w:p>
    <w:tbl>
      <w:tblPr>
        <w:tblW w:w="7885" w:type="dxa"/>
        <w:jc w:val="center"/>
        <w:tblInd w:w="0" w:type="dxa"/>
        <w:tblLayout w:type="fixed"/>
        <w:tblCellMar>
          <w:top w:w="28" w:type="dxa"/>
          <w:left w:w="28" w:type="dxa"/>
          <w:bottom w:w="28" w:type="dxa"/>
          <w:right w:w="28" w:type="dxa"/>
        </w:tblCellMar>
      </w:tblPr>
      <w:tblGrid>
        <w:gridCol w:w="1697"/>
        <w:gridCol w:w="1489"/>
        <w:gridCol w:w="1493"/>
        <w:gridCol w:w="270"/>
        <w:gridCol w:w="790"/>
        <w:gridCol w:w="139"/>
        <w:gridCol w:w="109"/>
        <w:gridCol w:w="109"/>
        <w:gridCol w:w="109"/>
        <w:gridCol w:w="270"/>
        <w:gridCol w:w="790"/>
        <w:gridCol w:w="139"/>
        <w:gridCol w:w="109"/>
        <w:gridCol w:w="109"/>
        <w:gridCol w:w="109"/>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Expense Category:</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Type of Award:</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performance share awards and units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there was approximately $1.8 million of total unrecognized compensation expense related to non-vested stock options granted which is expected to be recognized over a weighted-average period of 1.7 years. As of September 27, 2024, there was $5.9 million of total unrecognized compensation expense related to non-vested stock awards which is expected to be recognized over a weighted-average period of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9. Segment and Geographic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 operates in one reportable business segment: the design, manufacturing, and sale of wireless networking products, solutions, and services. The Company’s financial performance is regularly reviewed by its chief operating decision maker who is its Chief Executive Officer (“CEO”).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revenue by region and country based on the location where its customers accept delivery of products and services. Revenue by region for the three months ended September 27, 2024 and September 29, 2023 was as follows:</w:t>
      </w:r>
    </w:p>
    <w:p>
      <w:pPr>
        <w:pStyle w:val="TextBody"/>
        <w:bidi w:val="0"/>
        <w:spacing w:before="0" w:after="0"/>
        <w:ind w:left="0" w:right="0" w:firstLine="540"/>
        <w:jc w:val="both"/>
        <w:rPr/>
      </w:pPr>
      <w:r>
        <w:rPr/>
      </w:r>
    </w:p>
    <w:tbl>
      <w:tblPr>
        <w:tblW w:w="5831" w:type="dxa"/>
        <w:jc w:val="center"/>
        <w:tblInd w:w="0" w:type="dxa"/>
        <w:tblLayout w:type="fixed"/>
        <w:tblCellMar>
          <w:top w:w="28" w:type="dxa"/>
          <w:left w:w="28" w:type="dxa"/>
          <w:bottom w:w="28" w:type="dxa"/>
          <w:right w:w="28" w:type="dxa"/>
        </w:tblCellMar>
      </w:tblPr>
      <w:tblGrid>
        <w:gridCol w:w="953"/>
        <w:gridCol w:w="835"/>
        <w:gridCol w:w="837"/>
        <w:gridCol w:w="243"/>
        <w:gridCol w:w="831"/>
        <w:gridCol w:w="125"/>
        <w:gridCol w:w="109"/>
        <w:gridCol w:w="109"/>
        <w:gridCol w:w="109"/>
        <w:gridCol w:w="243"/>
        <w:gridCol w:w="831"/>
        <w:gridCol w:w="125"/>
        <w:gridCol w:w="109"/>
        <w:gridCol w:w="109"/>
        <w:gridCol w:w="109"/>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North America</w:t>
            </w:r>
            <w:r>
              <w:rPr>
                <w:color w:val="000000"/>
              </w:rPr>
              <w:t xml:space="preserve">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 and the Middle East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 and Asia Pacific</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varies from the U.S. federal statutory rate of 21% primarily due to U.S. global intangible low-taxed income inclusion (GILTI), state taxes, stock-based compensation and foreign operations that are subject to income taxes at different statutory rates. During interim periods, tax expense or benefit are accrued for jurisdictions that are anticipated to be profitable for fiscal 2025.</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income taxes for the three months ended September 27, 2024 and September 29, 2023 was based on the Company’s estimated annual effective tax rate adjusted for losses in certain jurisdictions for which no tax benefit can be recognized. The tax benefit for the three months ended September 27, 2024 was primarily due to tax benefit resulting from year-to-date losses. The tax expense for the three months ended September 29, 2023 was primarily due to tax expense related to U.S. and profitable foreign subsidiaries.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number of years with open tax audits which vary from jurisdiction to jurisdiction. The major tax jurisdictions that are open and subject to potential audits include the U.S., Singapore, Ghana, Kenya, Nigeria, Saudi Arabia and Tanzania. The earliest years for these jurisdictions are as follows: U.S. - 2003; Singapore - 2015; Ghana – 2016; Kenya – 2018; Nigeria – 2006; Saudi Arabia – 2019 and Tanzania - 2017.</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unrecognized tax benefits are accounted for as part of the provision for federal, foreign, and state income taxes. Such interest expense was not material for the three months ended September 27, 2024 and September 29, 2023.</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The Company will continue to evaluate the applicability and effect of the IRA as more guidance is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4RF Limited</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determining the allocation of the purchase price to the fair value of the assets acquired and liabilities assumed. The preliminary estimated fair value of the assets acquired and liabilities assumed consisted of working capital of $5.6 million, other assets and liabilities of $1.6 million, intangible assets of $8.5 million, and goodwill of $2.5 million. The goodwill from this acquisition is non-deductible for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NEC’s Wireless Transport Business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 (the “Closing Date”).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Closing Date.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Closing Date. Aggregate consideration transferred at closing was approximately $54.5 million, which is subject to certain post-closing adjustments. As of September 27, 2024, the Company recorded accruals of approximately $19.6 million in estimated additional cash consideration, which is included in other current liabilities on the unaudited condensed consolidated balance sheets. The additional consideration is primarily related to the settlement of the post-closing working capital adjustment, and is expected to be transferred to NEC in the second quarter of fiscal 2025. The Company funded the cash portion of the consideration with Term Loan borrowings under its Credit Facility. See Note 6. Credit Facility and Debt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NEC Transaction was accounted for as a business combination using the acquisition method of accounting. The Company is in the process of obtaining final independent third-party valuations of certain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preliminary purchase price allocation is as follows:</w:t>
      </w:r>
    </w:p>
    <w:tbl>
      <w:tblPr>
        <w:tblW w:w="4908" w:type="dxa"/>
        <w:jc w:val="center"/>
        <w:tblInd w:w="0" w:type="dxa"/>
        <w:tblLayout w:type="fixed"/>
        <w:tblCellMar>
          <w:top w:w="28" w:type="dxa"/>
          <w:left w:w="28" w:type="dxa"/>
          <w:bottom w:w="28" w:type="dxa"/>
          <w:right w:w="28" w:type="dxa"/>
        </w:tblCellMar>
      </w:tblPr>
      <w:tblGrid>
        <w:gridCol w:w="1268"/>
        <w:gridCol w:w="1112"/>
        <w:gridCol w:w="1115"/>
        <w:gridCol w:w="109"/>
        <w:gridCol w:w="109"/>
        <w:gridCol w:w="109"/>
        <w:gridCol w:w="211"/>
        <w:gridCol w:w="72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purchase price allocation has been updated for certain measurement period adjustments based on revised estimates of fair value, which primarily resulted in a $6.8 million decrease in accounts receivables, a $4.9 million decrease in inventories, a $6.8 million increase in identifiable finite-lived intangible assets acquired and a $4.9 million increase to goodwill. The preliminary purchase price allocation is subject to adjustment based on the Company obtaining final independent third-party valuations, determining fair value and final allocations of purchase price to the identifiable assets acquired and liabilities assumed, and determining the final consideration, including adjustments related to settlement of the final post-closing working capital adjustment.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and operating income associated with the NEC Transaction included in the consolidated statements of operations for the three months ended September 27, 2024 were $25.0 million and $1.0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Purchase Orders and Other Commitments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in the normal course of business, the Company may enter into purchasing agreements with its suppliers that require the Company to accept delivery of and remit full payment for (i) finished products that it has ordered, (ii) finished products that it requested be held as safety stock, and (iii)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September 27, 2024, the Company had outstanding purchase obligations with its suppliers or contract manufacturers of $72.0 million. In addition, the Company had purchase obligations of approximately $5.3 million associated with software as a service and software maintenance support.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Financial Guarantees and Commercial Commitments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September 27, 2024, the Company had no guarantees applicable to its debt arrangements.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27, 2024, the Company had commercial commitments outstanding of $19.7 million, that were not recorded on the unaudited condensed consolidated balance sheets. The Company does not believe, based on historical experience and information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available, that it is probable that any significant amounts will be required to be paid on these performance guarantees in the future.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the Company’s commercial commitments:</w:t>
      </w:r>
    </w:p>
    <w:tbl>
      <w:tblPr>
        <w:tblW w:w="2967" w:type="dxa"/>
        <w:jc w:val="center"/>
        <w:tblInd w:w="0" w:type="dxa"/>
        <w:tblLayout w:type="fixed"/>
        <w:tblCellMar>
          <w:top w:w="28" w:type="dxa"/>
          <w:left w:w="28" w:type="dxa"/>
          <w:bottom w:w="28" w:type="dxa"/>
          <w:right w:w="28" w:type="dxa"/>
        </w:tblCellMar>
      </w:tblPr>
      <w:tblGrid>
        <w:gridCol w:w="506"/>
        <w:gridCol w:w="444"/>
        <w:gridCol w:w="445"/>
        <w:gridCol w:w="109"/>
        <w:gridCol w:w="109"/>
        <w:gridCol w:w="109"/>
        <w:gridCol w:w="242"/>
        <w:gridCol w:w="827"/>
        <w:gridCol w:w="176"/>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September 27, 2024,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September 27, 2024, the Company had not recorded any liabilities related to these indemnifications.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Contingent Liabilities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directors of Aviat India appeared before the Ministry of Finance Enforcement Directorate. In March 2024, the Company appeared before the Joint Director of Enforcement to review the transactions at issue. No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hearing date has been scheduled as of September 27, 2024.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13. Goodwill and Intangible Assets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details of goodwill and intangible assets:</w:t>
      </w:r>
    </w:p>
    <w:tbl>
      <w:tblPr>
        <w:tblW w:w="3958" w:type="dxa"/>
        <w:jc w:val="center"/>
        <w:tblInd w:w="0" w:type="dxa"/>
        <w:tblLayout w:type="fixed"/>
        <w:tblCellMar>
          <w:top w:w="28" w:type="dxa"/>
          <w:left w:w="28" w:type="dxa"/>
          <w:bottom w:w="28" w:type="dxa"/>
          <w:right w:w="28" w:type="dxa"/>
        </w:tblCellMar>
      </w:tblPr>
      <w:tblGrid>
        <w:gridCol w:w="140"/>
        <w:gridCol w:w="123"/>
        <w:gridCol w:w="123"/>
        <w:gridCol w:w="123"/>
        <w:gridCol w:w="123"/>
        <w:gridCol w:w="123"/>
        <w:gridCol w:w="123"/>
        <w:gridCol w:w="123"/>
        <w:gridCol w:w="123"/>
        <w:gridCol w:w="109"/>
        <w:gridCol w:w="109"/>
        <w:gridCol w:w="109"/>
        <w:gridCol w:w="243"/>
        <w:gridCol w:w="831"/>
        <w:gridCol w:w="125"/>
        <w:gridCol w:w="109"/>
        <w:gridCol w:w="109"/>
        <w:gridCol w:w="109"/>
        <w:gridCol w:w="211"/>
        <w:gridCol w:w="616"/>
        <w:gridCol w:w="154"/>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11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$6.9 million increase for the three months ended September 27, 2024 is associated with the preliminary purchase price allocations for the 4RF acquisition and the NEC Transaction. Refer to Note 11. Acquisitions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pStyle w:val="TextBody"/>
        <w:bidi w:val="0"/>
        <w:spacing w:before="0" w:after="0"/>
        <w:jc w:val="left"/>
        <w:rPr/>
      </w:pPr>
      <w:r>
        <w:rPr/>
      </w:r>
    </w:p>
    <w:tbl>
      <w:tblPr>
        <w:tblW w:w="7181" w:type="dxa"/>
        <w:jc w:val="center"/>
        <w:tblInd w:w="0" w:type="dxa"/>
        <w:tblLayout w:type="fixed"/>
        <w:tblCellMar>
          <w:top w:w="28" w:type="dxa"/>
          <w:left w:w="28" w:type="dxa"/>
          <w:bottom w:w="28" w:type="dxa"/>
          <w:right w:w="28" w:type="dxa"/>
        </w:tblCellMar>
      </w:tblPr>
      <w:tblGrid>
        <w:gridCol w:w="854"/>
        <w:gridCol w:w="749"/>
        <w:gridCol w:w="752"/>
        <w:gridCol w:w="109"/>
        <w:gridCol w:w="109"/>
        <w:gridCol w:w="109"/>
        <w:gridCol w:w="519"/>
        <w:gridCol w:w="519"/>
        <w:gridCol w:w="522"/>
        <w:gridCol w:w="109"/>
        <w:gridCol w:w="109"/>
        <w:gridCol w:w="109"/>
        <w:gridCol w:w="243"/>
        <w:gridCol w:w="831"/>
        <w:gridCol w:w="125"/>
        <w:gridCol w:w="109"/>
        <w:gridCol w:w="109"/>
        <w:gridCol w:w="109"/>
        <w:gridCol w:w="211"/>
        <w:gridCol w:w="721"/>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42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gross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finite-lived intangibles for the three months ended September 27, 2024 was $0.5 million and is included in selling and administrative expenses. There were no impairment charges recorded for the three months ended September 27,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estimated future amortization expense of finite-lived intangible assets is as follows (in thousands):</w:t>
      </w:r>
    </w:p>
    <w:p>
      <w:pPr>
        <w:pStyle w:val="TextBody"/>
        <w:bidi w:val="0"/>
        <w:spacing w:before="0" w:after="0"/>
        <w:jc w:val="left"/>
        <w:rPr/>
      </w:pPr>
      <w:r>
        <w:rPr/>
      </w:r>
    </w:p>
    <w:tbl>
      <w:tblPr>
        <w:tblW w:w="3093"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14. Related Party Transactions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NEC Corporation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2023 (the “Closing Date”), the Company completed the NEC Transaction. See Note 11.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Closing Date (the “Initial Lock-Up Expiration Date”). Starting one day after the Initial Lock-Up Expiration Date, one-twelfth of the issued shares shall be released from the Lock-Up each month, such that all issued shares shall be released from Lock-Up by the two-year anniversary of the Closing Date. Pursuant to the Purchase Agreement, NEC will have the right to nominate a director to the Company’s Board of Directors from the Closing Date and for a period of two years thereafter. As of September 27, 2024, NEC held approximately 5.8% of the Company’s outstanding common stock.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NEC Transaction and as of the Closing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related party activity between the Company and NEC during the three months ended September 27, 2024 is as follows:</w:t>
      </w:r>
    </w:p>
    <w:tbl>
      <w:tblPr>
        <w:tblW w:w="4892" w:type="dxa"/>
        <w:jc w:val="center"/>
        <w:tblInd w:w="0" w:type="dxa"/>
        <w:tblLayout w:type="fixed"/>
        <w:tblCellMar>
          <w:top w:w="28" w:type="dxa"/>
          <w:left w:w="28" w:type="dxa"/>
          <w:bottom w:w="28" w:type="dxa"/>
          <w:right w:w="28" w:type="dxa"/>
        </w:tblCellMar>
      </w:tblPr>
      <w:tblGrid>
        <w:gridCol w:w="1354"/>
        <w:gridCol w:w="1188"/>
        <w:gridCol w:w="1192"/>
        <w:gridCol w:w="109"/>
        <w:gridCol w:w="109"/>
        <w:gridCol w:w="109"/>
        <w:gridCol w:w="211"/>
        <w:gridCol w:w="46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services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Company’s outstanding related party balances with NEC included in the unaudited condensed consolidated balance sheets are as follows:</w:t>
      </w:r>
    </w:p>
    <w:tbl>
      <w:tblPr>
        <w:tblW w:w="3423" w:type="dxa"/>
        <w:jc w:val="center"/>
        <w:tblInd w:w="0" w:type="dxa"/>
        <w:tblLayout w:type="fixed"/>
        <w:tblCellMar>
          <w:top w:w="28" w:type="dxa"/>
          <w:left w:w="28" w:type="dxa"/>
          <w:bottom w:w="28" w:type="dxa"/>
          <w:right w:w="28" w:type="dxa"/>
        </w:tblCellMar>
      </w:tblPr>
      <w:tblGrid>
        <w:gridCol w:w="767"/>
        <w:gridCol w:w="673"/>
        <w:gridCol w:w="675"/>
        <w:gridCol w:w="109"/>
        <w:gridCol w:w="109"/>
        <w:gridCol w:w="109"/>
        <w:gridCol w:w="211"/>
        <w:gridCol w:w="616"/>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15. Revisions to Prior Period Consolidated Financial Statements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 The Company and Basis of Presentation, subsequent to the third quarter of fiscal 2024, the Company identified certain errors in the quarterly financial statements for fiscal 2024 related to estimated total contract costs and progress to completion for an over-time arrangement. The Company identified additional errors impacting the quarterly financial statements for fiscal 2024 related to the recognition of revenue prior to performance obligations being met and related to journal entries recorded in error.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statements. The Company has revised the prior period financial statements and related disclosures for the first quarter of fiscal 2024 to correct the errors. A summary of the corrections to the impacted financial statement line items in the Company’s previously issued Consolidated Statements of Operations, Comprehensive Income, Equity and Cash Flows for the three months ended September 29, 2023 is provided below.</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9450" w:type="dxa"/>
        <w:jc w:val="center"/>
        <w:tblInd w:w="0" w:type="dxa"/>
        <w:tblLayout w:type="fixed"/>
        <w:tblCellMar>
          <w:top w:w="28" w:type="dxa"/>
          <w:left w:w="28" w:type="dxa"/>
          <w:bottom w:w="28" w:type="dxa"/>
          <w:right w:w="28" w:type="dxa"/>
        </w:tblCellMar>
      </w:tblPr>
      <w:tblGrid>
        <w:gridCol w:w="1619"/>
        <w:gridCol w:w="1424"/>
        <w:gridCol w:w="1427"/>
        <w:gridCol w:w="425"/>
        <w:gridCol w:w="1455"/>
        <w:gridCol w:w="219"/>
        <w:gridCol w:w="109"/>
        <w:gridCol w:w="109"/>
        <w:gridCol w:w="109"/>
        <w:gridCol w:w="284"/>
        <w:gridCol w:w="709"/>
        <w:gridCol w:w="148"/>
        <w:gridCol w:w="109"/>
        <w:gridCol w:w="109"/>
        <w:gridCol w:w="109"/>
        <w:gridCol w:w="211"/>
        <w:gridCol w:w="721"/>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29, 2023</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 of common stock outstanding:</w:t>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tbl>
      <w:tblPr>
        <w:tblW w:w="7094" w:type="dxa"/>
        <w:jc w:val="center"/>
        <w:tblInd w:w="0" w:type="dxa"/>
        <w:tblLayout w:type="fixed"/>
        <w:tblCellMar>
          <w:top w:w="28" w:type="dxa"/>
          <w:left w:w="28" w:type="dxa"/>
          <w:bottom w:w="28" w:type="dxa"/>
          <w:right w:w="28" w:type="dxa"/>
        </w:tblCellMar>
      </w:tblPr>
      <w:tblGrid>
        <w:gridCol w:w="761"/>
        <w:gridCol w:w="667"/>
        <w:gridCol w:w="672"/>
        <w:gridCol w:w="473"/>
        <w:gridCol w:w="1380"/>
        <w:gridCol w:w="246"/>
        <w:gridCol w:w="115"/>
        <w:gridCol w:w="115"/>
        <w:gridCol w:w="115"/>
        <w:gridCol w:w="300"/>
        <w:gridCol w:w="685"/>
        <w:gridCol w:w="156"/>
        <w:gridCol w:w="115"/>
        <w:gridCol w:w="115"/>
        <w:gridCol w:w="115"/>
        <w:gridCol w:w="229"/>
        <w:gridCol w:w="669"/>
        <w:gridCol w:w="166"/>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29, 2023</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8459" w:type="dxa"/>
        <w:jc w:val="center"/>
        <w:tblInd w:w="0" w:type="dxa"/>
        <w:tblLayout w:type="fixed"/>
        <w:tblCellMar>
          <w:top w:w="28" w:type="dxa"/>
          <w:left w:w="28" w:type="dxa"/>
          <w:bottom w:w="28" w:type="dxa"/>
          <w:right w:w="28" w:type="dxa"/>
        </w:tblCellMar>
      </w:tblPr>
      <w:tblGrid>
        <w:gridCol w:w="1257"/>
        <w:gridCol w:w="1102"/>
        <w:gridCol w:w="1106"/>
        <w:gridCol w:w="473"/>
        <w:gridCol w:w="1380"/>
        <w:gridCol w:w="246"/>
        <w:gridCol w:w="115"/>
        <w:gridCol w:w="115"/>
        <w:gridCol w:w="115"/>
        <w:gridCol w:w="300"/>
        <w:gridCol w:w="685"/>
        <w:gridCol w:w="156"/>
        <w:gridCol w:w="115"/>
        <w:gridCol w:w="115"/>
        <w:gridCol w:w="115"/>
        <w:gridCol w:w="229"/>
        <w:gridCol w:w="669"/>
        <w:gridCol w:w="166"/>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29, 2023</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(unaudited)</w:t>
      </w:r>
    </w:p>
    <w:tbl>
      <w:tblPr>
        <w:tblW w:w="10205" w:type="dxa"/>
        <w:jc w:val="center"/>
        <w:tblInd w:w="0" w:type="dxa"/>
        <w:tblLayout w:type="fixed"/>
        <w:tblCellMar>
          <w:top w:w="28" w:type="dxa"/>
          <w:left w:w="28" w:type="dxa"/>
          <w:bottom w:w="28" w:type="dxa"/>
          <w:right w:w="28" w:type="dxa"/>
        </w:tblCellMar>
      </w:tblPr>
      <w:tblGrid>
        <w:gridCol w:w="867"/>
        <w:gridCol w:w="727"/>
        <w:gridCol w:w="729"/>
        <w:gridCol w:w="109"/>
        <w:gridCol w:w="109"/>
        <w:gridCol w:w="109"/>
        <w:gridCol w:w="109"/>
        <w:gridCol w:w="109"/>
        <w:gridCol w:w="1585"/>
        <w:gridCol w:w="109"/>
        <w:gridCol w:w="109"/>
        <w:gridCol w:w="109"/>
        <w:gridCol w:w="1013"/>
        <w:gridCol w:w="441"/>
        <w:gridCol w:w="1818"/>
        <w:gridCol w:w="245"/>
        <w:gridCol w:w="245"/>
        <w:gridCol w:w="245"/>
        <w:gridCol w:w="109"/>
        <w:gridCol w:w="109"/>
        <w:gridCol w:w="109"/>
        <w:gridCol w:w="196"/>
        <w:gridCol w:w="736"/>
        <w:gridCol w:w="159"/>
      </w:tblGrid>
      <w:tr>
        <w:trPr/>
        <w:tc>
          <w:tcPr>
            <w:tcW w:w="86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994"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29, 2023</w:t>
            </w:r>
          </w:p>
        </w:tc>
        <w:tc>
          <w:tcPr>
            <w:tcW w:w="1418" w:type="dxa"/>
            <w:gridSpan w:val="6"/>
            <w:tcBorders/>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c>
          <w:tcPr>
            <w:tcW w:w="4412" w:type="dxa"/>
            <w:gridSpan w:val="11"/>
            <w:tcBorders/>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6"/>
            <w:tcBorders/>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(587,914)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(583,909)</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Revised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(589,273)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(585,716)</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224,343 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Subsequent Events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Credit Facility Amendment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18, 2024, the Company entered into a Second Amendment to Credit Agreement (the “Credit Facility Amendment”), with Wells Fargo Bank, National Association, as administrative agent, swingline lender and issuing lender and Wells Fargo Securities LLC, Citigroup Global Markets Inc., and Regions Capital Markets as lenders.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Amendment amends and modifies that certain Credit Facility dated May 9, 2023. The Credit Facility Amendment provided for changes and modifications to the Credit Facility, which include, among other things, (i) changes to certain payment term mechanics, (ii) a commitment to make term loans in the aggregate principal amount of $75.0 million for the purpose of refinancing the Term Loan currently outstanding under the Credit Facility, and (iii) an increase in the Revolver to $75.0 million in the aggregate. Refer to Note 6. Credit Facility and Debt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ability to maintain effective internal control over financial reporting and management systems and remediate material weaknesses;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“Item 1A. Risk Factors” in the Company’s fiscal 2024 Annual Report on Form 10-K filed with the SEC on October 4, 2024 for more information regarding factors that may cause its results to differ materially from those expressed or implied by the forward-looking statements contained in this Quarterly Report on Form 10-Q.</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 of Business; Operating Environment and Key Factors Impacting Fiscal 2025 and 2024 Results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June 27, 2025 is referred to as “fiscal 2025” or “2025” and the fiscal year ended June 28, 2024 is referred to as “fiscal 2024” or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 competes on the basis of total cost of ownership, microwave radio expertise and solutions for mission critical communications. Aviat has a global presence.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4RF Limited</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 See Note 11. Acquisitions of the Notes to the unaudited consolidated financial statements in this Quarterly Report on Form 10-Q (the “Notes”) for further information.</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NEC’s Wireless Transport Business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2023, the Company completed the acquisition of NEC Corporation’s (“NEC”) wireless transport business (the “NEC Transaction”). 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See Note 11. Acquisitions of the Notes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is subject to certain post-closing adjustments. The Company estimates additional cash consideration of approximately $19.6 million will be transferred to NEC in the second quarter of fiscal 2025, primarily related to settlement of the post-closing working capital adjustment. The Company funded the cash portion of the NEC Transaction with Term Loan borrowings under its Credit Facility. See Note 6. Credit Facility and Debt of the Notes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Operations Review</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mobile backhaul continued to be the Company’s primary addressable market segment globally in the first three months of fiscal 2025.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However, as disclosed above and in the “Risk Factors” section in Item 1A of its Annual Report on Form 10-K filed with the SEC on October 4, 2024, a number of factors could prevent the Company from achieving its objectives, including ongoing pricing pressures attributable to competition and macroeconomic conditions in the geographic markets that it serves.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Revisions to Prior Period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third quarter of fiscal 2024, the Company identified certain errors in the quarterly financial statements for fiscal 2024. The Company evaluated the materiality of the errors and determined that the impacts were not material, individually or in the aggregate, to the Company’s previously issued consolidated financial statements for any of the prior reporting periods in which they occurred. The Company has revised the prior period financial statements for fiscal 2024 to correct the errors. The revisions ensure comparability across all periods presented herein. Refer to Note 1. The Company and Basis of Presentation and Note 15. Revisions to Prior Period Consolidated Financial Statements of the Notes for further information.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its sales activities primarily on a geographic basis in North America and three international geographic regions: (1) Africa and the Middle East, (2) Europe, and (3) Latin America and Asia Pacific. Revenue by region for the three months ended September 27, 2024 and September 29, 2023 and the related changes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694" w:type="dxa"/>
        <w:jc w:val="center"/>
        <w:tblInd w:w="0" w:type="dxa"/>
        <w:tblLayout w:type="fixed"/>
        <w:tblCellMar>
          <w:top w:w="28" w:type="dxa"/>
          <w:left w:w="28" w:type="dxa"/>
          <w:bottom w:w="28" w:type="dxa"/>
          <w:right w:w="28" w:type="dxa"/>
        </w:tblCellMar>
      </w:tblPr>
      <w:tblGrid>
        <w:gridCol w:w="912"/>
        <w:gridCol w:w="801"/>
        <w:gridCol w:w="806"/>
        <w:gridCol w:w="330"/>
        <w:gridCol w:w="1090"/>
        <w:gridCol w:w="184"/>
        <w:gridCol w:w="109"/>
        <w:gridCol w:w="109"/>
        <w:gridCol w:w="109"/>
        <w:gridCol w:w="330"/>
        <w:gridCol w:w="1090"/>
        <w:gridCol w:w="184"/>
        <w:gridCol w:w="109"/>
        <w:gridCol w:w="109"/>
        <w:gridCol w:w="109"/>
        <w:gridCol w:w="196"/>
        <w:gridCol w:w="721"/>
        <w:gridCol w:w="109"/>
        <w:gridCol w:w="109"/>
        <w:gridCol w:w="109"/>
        <w:gridCol w:w="109"/>
        <w:gridCol w:w="269"/>
        <w:gridCol w:w="271"/>
        <w:gridCol w:w="503"/>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54,853 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 and the Middle East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Latin America and Asia Pacific</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88,429 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North America decreased by $12.6 million during the first quarter of fiscal 2025 compared with the same period of fiscal 2024 primarily due to lower demand from Tier 1 mobile network operators and timing of certain private network projects.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Africa and the Middle East increased by $0.5 million during the first quarter of fiscal 2025 compared with the same period of fiscal 2024 primarily due to spending from mobile network operators in the region.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Europe increased by $0.3 million during the first quarter of fiscal 2025 compared with the same period of fiscal 2024 primarily due to increased sales to mobile operators in the region.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Latin America and Asia Pacific increased by $13.3 million during the first quarter of fiscal 2025 compared with the same period of fiscal 2024 primarily due to contributions resulting from the NEC Transaction.</w:t>
      </w:r>
    </w:p>
    <w:tbl>
      <w:tblPr>
        <w:tblW w:w="9560" w:type="dxa"/>
        <w:jc w:val="center"/>
        <w:tblInd w:w="0" w:type="dxa"/>
        <w:tblLayout w:type="fixed"/>
        <w:tblCellMar>
          <w:top w:w="28" w:type="dxa"/>
          <w:left w:w="28" w:type="dxa"/>
          <w:bottom w:w="28" w:type="dxa"/>
          <w:right w:w="28" w:type="dxa"/>
        </w:tblCellMar>
      </w:tblPr>
      <w:tblGrid>
        <w:gridCol w:w="912"/>
        <w:gridCol w:w="801"/>
        <w:gridCol w:w="806"/>
        <w:gridCol w:w="325"/>
        <w:gridCol w:w="1112"/>
        <w:gridCol w:w="168"/>
        <w:gridCol w:w="109"/>
        <w:gridCol w:w="109"/>
        <w:gridCol w:w="109"/>
        <w:gridCol w:w="325"/>
        <w:gridCol w:w="1112"/>
        <w:gridCol w:w="168"/>
        <w:gridCol w:w="109"/>
        <w:gridCol w:w="109"/>
        <w:gridCol w:w="109"/>
        <w:gridCol w:w="211"/>
        <w:gridCol w:w="616"/>
        <w:gridCol w:w="109"/>
        <w:gridCol w:w="109"/>
        <w:gridCol w:w="109"/>
        <w:gridCol w:w="109"/>
        <w:gridCol w:w="239"/>
        <w:gridCol w:w="241"/>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product sales increased by 2.6% and revenue from services decreased by 0.2% for the first quarter of fiscal 2025 compared with the same quarter of fiscal 2024 primarily due to the factors discussed above and product sales contribution from the NEC Transaction.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Gross Margin</w:t>
      </w:r>
    </w:p>
    <w:tbl>
      <w:tblPr>
        <w:tblW w:w="9843" w:type="dxa"/>
        <w:jc w:val="center"/>
        <w:tblInd w:w="0" w:type="dxa"/>
        <w:tblLayout w:type="fixed"/>
        <w:tblCellMar>
          <w:top w:w="28" w:type="dxa"/>
          <w:left w:w="28" w:type="dxa"/>
          <w:bottom w:w="28" w:type="dxa"/>
          <w:right w:w="28" w:type="dxa"/>
        </w:tblCellMar>
      </w:tblPr>
      <w:tblGrid>
        <w:gridCol w:w="912"/>
        <w:gridCol w:w="801"/>
        <w:gridCol w:w="806"/>
        <w:gridCol w:w="281"/>
        <w:gridCol w:w="962"/>
        <w:gridCol w:w="361"/>
        <w:gridCol w:w="109"/>
        <w:gridCol w:w="109"/>
        <w:gridCol w:w="109"/>
        <w:gridCol w:w="281"/>
        <w:gridCol w:w="962"/>
        <w:gridCol w:w="361"/>
        <w:gridCol w:w="109"/>
        <w:gridCol w:w="109"/>
        <w:gridCol w:w="109"/>
        <w:gridCol w:w="211"/>
        <w:gridCol w:w="796"/>
        <w:gridCol w:w="109"/>
        <w:gridCol w:w="109"/>
        <w:gridCol w:w="109"/>
        <w:gridCol w:w="109"/>
        <w:gridCol w:w="291"/>
        <w:gridCol w:w="294"/>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margin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margin %</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for the first quarter of fiscal 2025 decreased by $11.4 million compared with the same quarter of fiscal 2024 primarily due to changes in regions and customers and the expected near-term dilution as a result of the NEC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9589" w:type="dxa"/>
        <w:jc w:val="center"/>
        <w:tblInd w:w="0" w:type="dxa"/>
        <w:tblLayout w:type="fixed"/>
        <w:tblCellMar>
          <w:top w:w="28" w:type="dxa"/>
          <w:left w:w="28" w:type="dxa"/>
          <w:bottom w:w="28" w:type="dxa"/>
          <w:right w:w="28" w:type="dxa"/>
        </w:tblCellMar>
      </w:tblPr>
      <w:tblGrid>
        <w:gridCol w:w="912"/>
        <w:gridCol w:w="801"/>
        <w:gridCol w:w="806"/>
        <w:gridCol w:w="281"/>
        <w:gridCol w:w="962"/>
        <w:gridCol w:w="361"/>
        <w:gridCol w:w="109"/>
        <w:gridCol w:w="109"/>
        <w:gridCol w:w="109"/>
        <w:gridCol w:w="308"/>
        <w:gridCol w:w="900"/>
        <w:gridCol w:w="396"/>
        <w:gridCol w:w="109"/>
        <w:gridCol w:w="109"/>
        <w:gridCol w:w="109"/>
        <w:gridCol w:w="211"/>
        <w:gridCol w:w="616"/>
        <w:gridCol w:w="109"/>
        <w:gridCol w:w="109"/>
        <w:gridCol w:w="109"/>
        <w:gridCol w:w="109"/>
        <w:gridCol w:w="255"/>
        <w:gridCol w:w="256"/>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$4.0 million for the first quarter of fiscal 2025 primarily due to increased product development activities.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Selling and Administrative</w:t>
      </w:r>
    </w:p>
    <w:tbl>
      <w:tblPr>
        <w:tblW w:w="9589" w:type="dxa"/>
        <w:jc w:val="center"/>
        <w:tblInd w:w="0" w:type="dxa"/>
        <w:tblLayout w:type="fixed"/>
        <w:tblCellMar>
          <w:top w:w="28" w:type="dxa"/>
          <w:left w:w="28" w:type="dxa"/>
          <w:bottom w:w="28" w:type="dxa"/>
          <w:right w:w="28" w:type="dxa"/>
        </w:tblCellMar>
      </w:tblPr>
      <w:tblGrid>
        <w:gridCol w:w="912"/>
        <w:gridCol w:w="801"/>
        <w:gridCol w:w="806"/>
        <w:gridCol w:w="281"/>
        <w:gridCol w:w="962"/>
        <w:gridCol w:w="361"/>
        <w:gridCol w:w="109"/>
        <w:gridCol w:w="109"/>
        <w:gridCol w:w="109"/>
        <w:gridCol w:w="281"/>
        <w:gridCol w:w="962"/>
        <w:gridCol w:w="361"/>
        <w:gridCol w:w="109"/>
        <w:gridCol w:w="109"/>
        <w:gridCol w:w="109"/>
        <w:gridCol w:w="211"/>
        <w:gridCol w:w="616"/>
        <w:gridCol w:w="109"/>
        <w:gridCol w:w="109"/>
        <w:gridCol w:w="109"/>
        <w:gridCol w:w="109"/>
        <w:gridCol w:w="255"/>
        <w:gridCol w:w="256"/>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 increased by $5.7 million for the first quarter of fiscal 2025 compared with the first quarter of fiscal 2024 primarily due to merger and acquisition expenses and additional costs resulting from the NEC Transaction.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Restructuring</w:t>
      </w:r>
    </w:p>
    <w:tbl>
      <w:tblPr>
        <w:tblW w:w="9694" w:type="dxa"/>
        <w:jc w:val="center"/>
        <w:tblInd w:w="0" w:type="dxa"/>
        <w:tblLayout w:type="fixed"/>
        <w:tblCellMar>
          <w:top w:w="28" w:type="dxa"/>
          <w:left w:w="28" w:type="dxa"/>
          <w:bottom w:w="28" w:type="dxa"/>
          <w:right w:w="28" w:type="dxa"/>
        </w:tblCellMar>
      </w:tblPr>
      <w:tblGrid>
        <w:gridCol w:w="912"/>
        <w:gridCol w:w="801"/>
        <w:gridCol w:w="806"/>
        <w:gridCol w:w="465"/>
        <w:gridCol w:w="897"/>
        <w:gridCol w:w="243"/>
        <w:gridCol w:w="109"/>
        <w:gridCol w:w="109"/>
        <w:gridCol w:w="109"/>
        <w:gridCol w:w="429"/>
        <w:gridCol w:w="950"/>
        <w:gridCol w:w="225"/>
        <w:gridCol w:w="109"/>
        <w:gridCol w:w="109"/>
        <w:gridCol w:w="109"/>
        <w:gridCol w:w="211"/>
        <w:gridCol w:w="541"/>
        <w:gridCol w:w="109"/>
        <w:gridCol w:w="109"/>
        <w:gridCol w:w="109"/>
        <w:gridCol w:w="109"/>
        <w:gridCol w:w="344"/>
        <w:gridCol w:w="346"/>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2025, there were no restructuring charges incurred, compared to $0.6 million in the first quarter of fiscal 2024. The prior year period includes restructuring charges primarily associated with reductions in workforce to optimize skill sets and align cost structure across the Company.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9845" w:type="dxa"/>
        <w:jc w:val="center"/>
        <w:tblInd w:w="0" w:type="dxa"/>
        <w:tblLayout w:type="fixed"/>
        <w:tblCellMar>
          <w:top w:w="28" w:type="dxa"/>
          <w:left w:w="28" w:type="dxa"/>
          <w:bottom w:w="28" w:type="dxa"/>
          <w:right w:w="28" w:type="dxa"/>
        </w:tblCellMar>
      </w:tblPr>
      <w:tblGrid>
        <w:gridCol w:w="912"/>
        <w:gridCol w:w="801"/>
        <w:gridCol w:w="806"/>
        <w:gridCol w:w="362"/>
        <w:gridCol w:w="1056"/>
        <w:gridCol w:w="187"/>
        <w:gridCol w:w="109"/>
        <w:gridCol w:w="109"/>
        <w:gridCol w:w="109"/>
        <w:gridCol w:w="496"/>
        <w:gridCol w:w="850"/>
        <w:gridCol w:w="258"/>
        <w:gridCol w:w="109"/>
        <w:gridCol w:w="109"/>
        <w:gridCol w:w="109"/>
        <w:gridCol w:w="211"/>
        <w:gridCol w:w="616"/>
        <w:gridCol w:w="109"/>
        <w:gridCol w:w="109"/>
        <w:gridCol w:w="109"/>
        <w:gridCol w:w="109"/>
        <w:gridCol w:w="383"/>
        <w:gridCol w:w="383"/>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by $1.0 million for the first quarter of fiscal 2025 compared to the first quarter of fiscal 2024 primarily due to interest expense incurred on the Term Loan borrowings used to fund the NEC Transaction in the second quarter of fiscal 2024.</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tbl>
      <w:tblPr>
        <w:tblW w:w="9569" w:type="dxa"/>
        <w:jc w:val="center"/>
        <w:tblInd w:w="0" w:type="dxa"/>
        <w:tblLayout w:type="fixed"/>
        <w:tblCellMar>
          <w:top w:w="28" w:type="dxa"/>
          <w:left w:w="28" w:type="dxa"/>
          <w:bottom w:w="28" w:type="dxa"/>
          <w:right w:w="28" w:type="dxa"/>
        </w:tblCellMar>
      </w:tblPr>
      <w:tblGrid>
        <w:gridCol w:w="912"/>
        <w:gridCol w:w="801"/>
        <w:gridCol w:w="806"/>
        <w:gridCol w:w="429"/>
        <w:gridCol w:w="950"/>
        <w:gridCol w:w="225"/>
        <w:gridCol w:w="109"/>
        <w:gridCol w:w="109"/>
        <w:gridCol w:w="109"/>
        <w:gridCol w:w="429"/>
        <w:gridCol w:w="950"/>
        <w:gridCol w:w="225"/>
        <w:gridCol w:w="109"/>
        <w:gridCol w:w="109"/>
        <w:gridCol w:w="109"/>
        <w:gridCol w:w="254"/>
        <w:gridCol w:w="454"/>
        <w:gridCol w:w="133"/>
        <w:gridCol w:w="109"/>
        <w:gridCol w:w="109"/>
        <w:gridCol w:w="109"/>
        <w:gridCol w:w="293"/>
        <w:gridCol w:w="293"/>
        <w:gridCol w:w="517"/>
        <w:gridCol w:w="109"/>
        <w:gridCol w:w="109"/>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decreased by $(0.1) million for the first quarter of fiscal 2025, primarily as a result of foreign exchange rate movement.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tbl>
      <w:tblPr>
        <w:tblW w:w="10205" w:type="dxa"/>
        <w:jc w:val="center"/>
        <w:tblInd w:w="0" w:type="dxa"/>
        <w:tblLayout w:type="fixed"/>
        <w:tblCellMar>
          <w:top w:w="28" w:type="dxa"/>
          <w:left w:w="28" w:type="dxa"/>
          <w:bottom w:w="28" w:type="dxa"/>
          <w:right w:w="28" w:type="dxa"/>
        </w:tblCellMar>
      </w:tblPr>
      <w:tblGrid>
        <w:gridCol w:w="1054"/>
        <w:gridCol w:w="927"/>
        <w:gridCol w:w="932"/>
        <w:gridCol w:w="283"/>
        <w:gridCol w:w="1056"/>
        <w:gridCol w:w="145"/>
        <w:gridCol w:w="109"/>
        <w:gridCol w:w="109"/>
        <w:gridCol w:w="109"/>
        <w:gridCol w:w="329"/>
        <w:gridCol w:w="960"/>
        <w:gridCol w:w="170"/>
        <w:gridCol w:w="109"/>
        <w:gridCol w:w="109"/>
        <w:gridCol w:w="109"/>
        <w:gridCol w:w="211"/>
        <w:gridCol w:w="782"/>
        <w:gridCol w:w="109"/>
        <w:gridCol w:w="109"/>
        <w:gridCol w:w="109"/>
        <w:gridCol w:w="109"/>
        <w:gridCol w:w="411"/>
        <w:gridCol w:w="415"/>
        <w:gridCol w:w="517"/>
        <w:gridCol w:w="109"/>
        <w:gridCol w:w="109"/>
        <w:gridCol w:w="109"/>
        <w:gridCol w:w="109"/>
        <w:gridCol w:w="109"/>
        <w:gridCol w:w="109"/>
        <w:gridCol w:w="109"/>
        <w:gridCol w:w="160"/>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2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(1,376.4)</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benefit for the first three months of fiscal 2025 was primarily due to tax benefit resulting from year-to-date losses. The tax expense for the first three months of fiscal 2024 was primarily attributable to tax expense related to U.S. and profitable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Financial Strategies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Sources of Cash</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Company’s total cash and cash equivalents were $51.0 million. Approximately $12.5 million was held in the United States. The remaining balance of $38.6 million, or 76%, was held outside the United States.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cash flows is presented as net (loss) income adjusted for certain non-cash items and changes in operating assets and liabilities. Net cash (used in) provided by operating activities was $(27.2) million for the first three months of fiscal 2025, compared with $14.0 million in the prior year. The $(41.1) million decrease is primarily attributable to increases in working capital and decreased earnings compared to the prior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$21.2 million for the first three months of fiscal 2025, compared to $0.7 million in the prior year. The $20.5 million increase is primarily due to payments associated with the acquisition of 4RF.</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Financing cash flows consist primarily of borrowings and repayments under the Company’s Credit Facility and proceeds from the exercise of employee stock options. Net cash provided by financing activities was $34.3 million for the first three months of fiscal 2025, compared with $0.2 million in the prior year. The $34.1 million increase is primarily due to the $35.0 million of borrowings on the Company’s Revolver.</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Company’s principal sources of liquidity consisted of $51.0 million in cash and cash equivalents, $0.7 million of available credit under its Credit Facility, and future collections of receivables from customers. On October 18, 2024, the Company amended its Credit Facility which increased the borrowing capacity to $75.0 million for each of the Term Loan and Revolver facilities.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its existing cash and cash equivalents, the available borrowings under its Credit Facility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borrowed $35.0 million against the Revolver during the first three months of fiscal 2025. As of September 27, 2024, the Company had $48.8 million outstanding under its Term Loan and $35.0 million outstanding under its Revolver and was in compliance with all financial covenants contained in the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the Company’s critical accounting estimates, see the “Critical Accounting Estimates” section of “Item 7. Management’s Discussion and Analysis of Financial Condition and Results of Operations” in its fiscal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2024 Annual Report on Form 10-K. There have been no material changes to the Company’s market risk during the first three months of fiscal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Exchange Rate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September 27, 2024.</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September 27, 2024 and June 28, 2024, the cumulative translation adjustment decreased stockholders’ equity by $17.2 million and $19.3 million,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exposure to market risk for changes in interest rates relates primarily to its cash equivalents and borrowings under its Credit Facility. Refer to Note 6. Credit Facility and Debt of the Notes for further information.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Exposure on Cash Equivalents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$51.0 million in total cash and cash equivalents as of September 27, 2024. Cash equivalents totaled $6.4 million as of September 27, 2024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refer to Note 5. Fair Value Measurements of Assets and Liabilities of the Notes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earn interest at fixed rates; therefore, changes in interest rates will not generate a gain or loss on these investments unless they are sold prior to maturity. The weighted-average days to maturity for cash equivalents held as of September 27, 2024 was 51 days, and these investments had an average yield of approximately 5.4% per annum. A 10% change in interest rates on the Company’s cash equivalents is not expected to have a material impact on its financial position, results of operations, or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Exposure on Borrowings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 Company had $48.8 million outstanding under its Term Loan and $35.0 million outstanding under its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September 27, 2024, the applicable margin on Adjusted Term SOFR and Base Rate borrowings was 2.50% and 1.50%, respectively. The effective rate of interest on the outstanding Term Loan and Revolver borrowings as of September 27, 2024 was 7.4% and 7.6%, respectively.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10% change in interest rates is estimated to have a $0.6 million impact on annual interest expense on the Company’s outstanding long-term debt as of September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the Company’s Annual Report on Form 10-K for the fiscal year ended June 28, 2024, the Company’s management concluded that our disclosure controls and procedures were not effective as of June 28, 2024 due to certain material weaknesses in internal control over financial reporting. Refer to Part II, Item 9A. Controls and Procedures in the Company’s Annual Report on Form 10-K for the fiscal year ended June 28, 2024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2025, the Company implemented actions designed to improve our internal control over financial reporting and remediate these material weaknesses, including (i) providing training to the applicable control performers related to the importance of timely execution of control activities for which they are responsible; (ii) beginning the redesign of controls over the determination of the appropriate period for revenue recognition, controls over arrangements where revenue is recognized over time and controls related to the review and approval of journal entries, and (iii) implementing a formal monitoring program to perform the necessary evaluations to ascertain whether the components of internal control are present and functioning, including implementing corrective actions as necessary.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steps are subject to ongoing senior management review, as well as oversight by the audit committee of our Board of Directors. While significant progress has been made to remediate the material weaknesses, the material weaknesses will not be considered remediated until the associated controls operate effectively for a sufficient period of time and management concludes, through testing, that the controls are operating effectively. We will continue to monitor the design and effectiveness of these and other processes, procedures and controls and make further changes management deems appropriate.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our President and CEO, and Chief Financial Officer (“CFO”), completed an evaluation of the effectiveness of the design and operation of the disclosure controls and procedures as of September 27, 2024. The Company’s CEO and CFO have concluded that our disclosure controls and procedures, as defined in Rules 13a-15(e) and 15d-15(e) under the Exchange Act, were not effective as of September 27, 2024, due to the material weaknesses described above not being fully remediated as of the date of the evaluation.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Controls over Financial Reporting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noted above, there were no changes to our internal controls over financial reporting as defined in Rules 13a-15(f) or 15d-15(f) that occurred during the quarter ended September 27, 2024 that have materially affected, or are reasonably likely to materially affect, our internal controls over financial reporting.</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360" w:after="283"/>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legal proceedings as of September 27, 2024, please refer to “Legal Proceedings” and “Contingent Liabilities” under Note 12. Commitments and Contingencies of the Notes to the unaudited condensed consolidated financial statements in this Quarterly Report on Form 10-Q, which are incorporated into this item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carefully review and consider the information regarding certain factors which could materially affect our business, operating results, cash flows, and financial condition set forth under Item 1A, Risk Factors, in our fiscal 2024 Annual Report on Form 10-K filed with the SEC on October 4, 2024.</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approved a stock repurchase program to purchase up to $10.0 million of the Company’s common stock. As of September 27, 2024, $6.9 million remains available and Aviat may choose to suspend or discontinue the repurchase program at any time. Repurchased shares are recorded as treasury stock.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2025, the Company did not repurchase any shares of its common stock.</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Insider Trading Arrangements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27, 2024, none of the Company’s directors or officers adopted, modified, or terminated a “Rule 10b5-1 trading arrangement” or a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or furnished herewith or are incorporated by reference to exhibits previously filed with the SEC:</w:t>
      </w:r>
    </w:p>
    <w:tbl>
      <w:tblPr>
        <w:tblW w:w="10205" w:type="dxa"/>
        <w:jc w:val="center"/>
        <w:tblInd w:w="0" w:type="dxa"/>
        <w:tblLayout w:type="fixed"/>
        <w:tblCellMar>
          <w:top w:w="28" w:type="dxa"/>
          <w:left w:w="28" w:type="dxa"/>
          <w:bottom w:w="28" w:type="dxa"/>
          <w:right w:w="28" w:type="dxa"/>
        </w:tblCellMar>
      </w:tblPr>
      <w:tblGrid>
        <w:gridCol w:w="345"/>
        <w:gridCol w:w="304"/>
        <w:gridCol w:w="306"/>
        <w:gridCol w:w="109"/>
        <w:gridCol w:w="109"/>
        <w:gridCol w:w="109"/>
        <w:gridCol w:w="2603"/>
        <w:gridCol w:w="2603"/>
        <w:gridCol w:w="3717"/>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Descriptions</w:t>
            </w:r>
          </w:p>
        </w:tc>
      </w:tr>
      <w:tr>
        <w:trPr/>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of Aviat Networks, Inc., as amended (incorporated by reference to Exhibit 3.1 to the Current Report on Form 8-K filed with the SEC on November 13, 2023, File No. 001-33278).</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Amended and Restated Bylaws of Aviat Networks, Inc. (incorporated by reference to Exhibit 3.1 to the Current Report on Form 8-K filed with the SEC on August 24, 2023, File No. 001-33278).</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q1avnwform10-qex311.htm">
              <w:r>
                <w:rPr>
                  <w:rStyle w:val="InternetLink"/>
                  <w:rFonts w:ascii="Times New Roman;sans-serif" w:hAnsi="Times New Roman;sans-serif"/>
                  <w:b w:val="false"/>
                  <w:color w:val="0000FF"/>
                  <w:sz w:val="20"/>
                  <w:u w:val="single"/>
                </w:rPr>
                <w:t>Rule 13a-14(a)/15d-14(a) Certification of President and Chief Executive Officer</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q1avnwform10-qex312.htm">
              <w:r>
                <w:rPr>
                  <w:rStyle w:val="InternetLink"/>
                  <w:rFonts w:ascii="Times New Roman;sans-serif" w:hAnsi="Times New Roman;sans-serif"/>
                  <w:b w:val="false"/>
                  <w:color w:val="0000FF"/>
                  <w:sz w:val="20"/>
                  <w:u w:val="single"/>
                </w:rPr>
                <w:t>Rule 13a-14(a)/15d-14(a) Certification of Chief Financial Officer</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q1avnwform10-qex32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2326" w:type="dxa"/>
        <w:jc w:val="right"/>
        <w:tblInd w:w="0" w:type="dxa"/>
        <w:tblLayout w:type="fixed"/>
        <w:tblCellMar>
          <w:top w:w="28" w:type="dxa"/>
          <w:left w:w="28" w:type="dxa"/>
          <w:bottom w:w="28" w:type="dxa"/>
          <w:right w:w="28" w:type="dxa"/>
        </w:tblCellMar>
      </w:tblPr>
      <w:tblGrid>
        <w:gridCol w:w="745"/>
        <w:gridCol w:w="655"/>
        <w:gridCol w:w="926"/>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 NETWORKS, INC.</w:t>
              <w:br/>
              <w:t>(Registrant)</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5, 2024 </w:t>
      </w:r>
    </w:p>
    <w:tbl>
      <w:tblPr>
        <w:tblW w:w="6585" w:type="dxa"/>
        <w:jc w:val="right"/>
        <w:tblInd w:w="0" w:type="dxa"/>
        <w:tblLayout w:type="fixed"/>
        <w:tblCellMar>
          <w:top w:w="28" w:type="dxa"/>
          <w:left w:w="28" w:type="dxa"/>
          <w:bottom w:w="28" w:type="dxa"/>
          <w:right w:w="28" w:type="dxa"/>
        </w:tblCellMar>
      </w:tblPr>
      <w:tblGrid>
        <w:gridCol w:w="151"/>
        <w:gridCol w:w="134"/>
        <w:gridCol w:w="135"/>
        <w:gridCol w:w="1806"/>
        <w:gridCol w:w="1806"/>
        <w:gridCol w:w="255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Connaway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Connaway</w:t>
              <w:br/>
              <w:t>Senior Vice President and Chief Financial Officer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302(a)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Peter A. Smith,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fiscal quarter ended September 27, 2024, of Aviat Networks,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48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09"/>
        <w:gridCol w:w="209"/>
        <w:gridCol w:w="211"/>
        <w:gridCol w:w="164"/>
        <w:gridCol w:w="164"/>
        <w:gridCol w:w="164"/>
        <w:gridCol w:w="935"/>
        <w:gridCol w:w="935"/>
        <w:gridCol w:w="13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5, 2024</w:t>
            </w:r>
          </w:p>
        </w:tc>
        <w:tc>
          <w:tcPr>
            <w:tcW w:w="4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302(a)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Connaway,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fiscal quarter ended September 27, 2024, of Aviat Networks,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55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0"/>
        <w:gridCol w:w="210"/>
        <w:gridCol w:w="210"/>
        <w:gridCol w:w="210"/>
        <w:gridCol w:w="210"/>
        <w:gridCol w:w="210"/>
        <w:gridCol w:w="1212"/>
        <w:gridCol w:w="1212"/>
        <w:gridCol w:w="17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5, 2024</w:t>
            </w:r>
          </w:p>
        </w:tc>
        <w:tc>
          <w:tcPr>
            <w:tcW w:w="54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Connaway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Connaway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60"/>
        <w:jc w:val="center"/>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OF CHIEF EXECUTIVE OFFICER AND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OFFICER OF AVIAT NETWORKS,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TITLE 18 OF THE UNITED STATES CODE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180" w:after="6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the Quarterly Report on Form 10-Q of Aviat Networks, Inc. (“Aviat Networks”) for the fiscal quarter ended September 27, 2024, as filed with the Securities and Exchange Commission on the date hereof (the “Report”), we, Peter A. Smith, President and Chief Executive Officer of Aviat Networks, and Michael Connaway, Senior Vice President and Chief Financial Officer of Aviat Networks, hereby certify, pursuant to Section 906 of the Sarbanes-Oxley Act of 2002, 18 U.S.C. §1350,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Aviat Networks as of the dates and for the periods expressed in the Report.</w:t>
      </w:r>
    </w:p>
    <w:p>
      <w:pPr>
        <w:pStyle w:val="TextBody"/>
        <w:bidi w:val="0"/>
        <w:spacing w:before="0" w:after="200"/>
        <w:jc w:val="left"/>
        <w:rPr/>
      </w:pPr>
      <w:r>
        <w:rPr/>
      </w:r>
    </w:p>
    <w:tbl>
      <w:tblPr>
        <w:tblW w:w="5803" w:type="dxa"/>
        <w:jc w:val="center"/>
        <w:tblInd w:w="0" w:type="dxa"/>
        <w:tblLayout w:type="fixed"/>
        <w:tblCellMar>
          <w:top w:w="28" w:type="dxa"/>
          <w:left w:w="28" w:type="dxa"/>
          <w:bottom w:w="28" w:type="dxa"/>
          <w:right w:w="28" w:type="dxa"/>
        </w:tblCellMar>
      </w:tblPr>
      <w:tblGrid>
        <w:gridCol w:w="389"/>
        <w:gridCol w:w="342"/>
        <w:gridCol w:w="342"/>
        <w:gridCol w:w="342"/>
        <w:gridCol w:w="342"/>
        <w:gridCol w:w="342"/>
        <w:gridCol w:w="1079"/>
        <w:gridCol w:w="1079"/>
        <w:gridCol w:w="1546"/>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5, 2024</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Smith</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A. Smith</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bl>
    <w:tbl>
      <w:tblPr>
        <w:tblW w:w="6734" w:type="dxa"/>
        <w:jc w:val="center"/>
        <w:tblInd w:w="0" w:type="dxa"/>
        <w:tblLayout w:type="fixed"/>
        <w:tblCellMar>
          <w:top w:w="28" w:type="dxa"/>
          <w:left w:w="28" w:type="dxa"/>
          <w:bottom w:w="28" w:type="dxa"/>
          <w:right w:w="28" w:type="dxa"/>
        </w:tblCellMar>
      </w:tblPr>
      <w:tblGrid>
        <w:gridCol w:w="389"/>
        <w:gridCol w:w="342"/>
        <w:gridCol w:w="342"/>
        <w:gridCol w:w="342"/>
        <w:gridCol w:w="342"/>
        <w:gridCol w:w="342"/>
        <w:gridCol w:w="1357"/>
        <w:gridCol w:w="1357"/>
        <w:gridCol w:w="1921"/>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5, 2024</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Connaway</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Connaway</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Chief Financial Officer</w:t>
            </w:r>
          </w:p>
        </w:tc>
      </w:tr>
    </w:tbl>
    <w:p>
      <w:pPr>
        <w:pStyle w:val="TextBody"/>
        <w:bidi w:val="0"/>
        <w:spacing w:before="80" w:after="283"/>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7789/000137778923000047/amendedrestatedcertificate.htm" TargetMode="External"/><Relationship Id="rId3" Type="http://schemas.openxmlformats.org/officeDocument/2006/relationships/hyperlink" Target="https://www.sec.gov/Archives/edgar/data/1377789/000137778923000020/amendedandrestatedbylaws0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14997</Words>
  <Characters>84465</Characters>
  <CharactersWithSpaces>98285</CharactersWithSpaces>
  <Paragraphs>1864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