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April 1, 2016</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448310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1480" w:type="dxa"/>
        <w:tblCellMar>
          <w:top w:w="0" w:type="dxa"/>
          <w:left w:w="0" w:type="dxa"/>
          <w:bottom w:w="0" w:type="dxa"/>
          <w:right w:w="0" w:type="dxa"/>
        </w:tblCellMar>
      </w:tblP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88"/>
              </w:rPr>
              <w:t>Delaware</w:t>
            </w:r>
          </w:p>
        </w:tc>
        <w:tc>
          <w:tcPr>
            <w:tcW w:w="1560" w:type="dxa"/>
            <w:vAlign w:val="bottom"/>
          </w:tcPr>
          <w:p>
            <w:pPr>
              <w:jc w:val="right"/>
              <w:ind w:right="72"/>
              <w:spacing w:after="0"/>
              <w:rPr>
                <w:sz w:val="20"/>
                <w:szCs w:val="20"/>
                <w:color w:val="auto"/>
              </w:rPr>
            </w:pPr>
            <w:r>
              <w:rPr>
                <w:rFonts w:ascii="Arial" w:cs="Arial" w:eastAsia="Arial" w:hAnsi="Arial"/>
                <w:sz w:val="20"/>
                <w:szCs w:val="20"/>
                <w:b w:val="1"/>
                <w:bCs w:val="1"/>
                <w:color w:val="auto"/>
              </w:rPr>
              <w:t>20-5961564</w:t>
            </w:r>
          </w:p>
        </w:tc>
      </w:tr>
      <w:tr>
        <w:trPr>
          <w:trHeight w:val="239"/>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incorporation or organization)</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Identification No.)</w:t>
            </w:r>
          </w:p>
        </w:tc>
      </w:tr>
      <w:tr>
        <w:trPr>
          <w:trHeight w:val="402"/>
        </w:trPr>
        <w:tc>
          <w:tcPr>
            <w:tcW w:w="6340" w:type="dxa"/>
            <w:vAlign w:val="bottom"/>
          </w:tcPr>
          <w:p>
            <w:pPr>
              <w:jc w:val="center"/>
              <w:ind w:right="3570"/>
              <w:spacing w:after="0"/>
              <w:rPr>
                <w:sz w:val="20"/>
                <w:szCs w:val="20"/>
                <w:color w:val="auto"/>
              </w:rPr>
            </w:pPr>
            <w:r>
              <w:rPr>
                <w:rFonts w:ascii="Arial" w:cs="Arial" w:eastAsia="Arial" w:hAnsi="Arial"/>
                <w:sz w:val="20"/>
                <w:szCs w:val="20"/>
                <w:b w:val="1"/>
                <w:bCs w:val="1"/>
                <w:color w:val="auto"/>
                <w:w w:val="92"/>
              </w:rPr>
              <w:t>5200 Great America Parkway</w:t>
            </w:r>
          </w:p>
        </w:tc>
        <w:tc>
          <w:tcPr>
            <w:tcW w:w="1560" w:type="dxa"/>
            <w:vAlign w:val="bottom"/>
          </w:tcPr>
          <w:p>
            <w:pPr>
              <w:spacing w:after="0"/>
              <w:rPr>
                <w:sz w:val="24"/>
                <w:szCs w:val="24"/>
                <w:color w:val="auto"/>
              </w:rPr>
            </w:pPr>
          </w:p>
        </w:tc>
      </w:t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92"/>
              </w:rPr>
              <w:t>Santa Clara, California</w:t>
            </w:r>
          </w:p>
        </w:tc>
        <w:tc>
          <w:tcPr>
            <w:tcW w:w="1560" w:type="dxa"/>
            <w:vAlign w:val="bottom"/>
          </w:tcPr>
          <w:p>
            <w:pPr>
              <w:jc w:val="right"/>
              <w:ind w:right="312"/>
              <w:spacing w:after="0"/>
              <w:rPr>
                <w:sz w:val="20"/>
                <w:szCs w:val="20"/>
                <w:color w:val="auto"/>
              </w:rPr>
            </w:pPr>
            <w:r>
              <w:rPr>
                <w:rFonts w:ascii="Arial" w:cs="Arial" w:eastAsia="Arial" w:hAnsi="Arial"/>
                <w:sz w:val="20"/>
                <w:szCs w:val="20"/>
                <w:b w:val="1"/>
                <w:bCs w:val="1"/>
                <w:color w:val="auto"/>
              </w:rPr>
              <w:t>95054</w:t>
            </w:r>
          </w:p>
        </w:tc>
      </w:tr>
      <w:tr>
        <w:trPr>
          <w:trHeight w:val="247"/>
        </w:trPr>
        <w:tc>
          <w:tcPr>
            <w:tcW w:w="6340" w:type="dxa"/>
            <w:vAlign w:val="bottom"/>
          </w:tcPr>
          <w:p>
            <w:pPr>
              <w:jc w:val="center"/>
              <w:ind w:right="357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6"/>
              </w:rPr>
              <w:t>(Zip Code)</w:t>
            </w:r>
          </w:p>
        </w:tc>
      </w:tr>
      <w:tr>
        <w:trPr>
          <w:trHeight w:val="357"/>
        </w:trPr>
        <w:tc>
          <w:tcPr>
            <w:tcW w:w="6340" w:type="dxa"/>
            <w:vAlign w:val="bottom"/>
          </w:tcPr>
          <w:p>
            <w:pPr>
              <w:jc w:val="right"/>
              <w:ind w:right="1390"/>
              <w:spacing w:after="0"/>
              <w:rPr>
                <w:sz w:val="20"/>
                <w:szCs w:val="20"/>
                <w:color w:val="auto"/>
              </w:rPr>
            </w:pPr>
            <w:r>
              <w:rPr>
                <w:rFonts w:ascii="Arial" w:cs="Arial" w:eastAsia="Arial" w:hAnsi="Arial"/>
                <w:sz w:val="20"/>
                <w:szCs w:val="20"/>
                <w:b w:val="1"/>
                <w:bCs w:val="1"/>
                <w:color w:val="auto"/>
              </w:rPr>
              <w:t>(408) 567-7000</w:t>
            </w:r>
          </w:p>
        </w:tc>
        <w:tc>
          <w:tcPr>
            <w:tcW w:w="1560" w:type="dxa"/>
            <w:vAlign w:val="bottom"/>
          </w:tcPr>
          <w:p>
            <w:pPr>
              <w:spacing w:after="0"/>
              <w:rPr>
                <w:sz w:val="24"/>
                <w:szCs w:val="24"/>
                <w:color w:val="auto"/>
              </w:rPr>
            </w:pPr>
          </w:p>
        </w:tc>
      </w:tr>
      <w:tr>
        <w:trPr>
          <w:trHeight w:val="210"/>
        </w:trPr>
        <w:tc>
          <w:tcPr>
            <w:tcW w:w="6340" w:type="dxa"/>
            <w:vAlign w:val="bottom"/>
          </w:tcPr>
          <w:p>
            <w:pPr>
              <w:jc w:val="center"/>
              <w:ind w:left="203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7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0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4">
            <w:col w:w="1700" w:space="720"/>
            <w:col w:w="4260" w:space="720"/>
            <w:col w:w="2780" w:space="720"/>
            <w:col w:w="520"/>
          </w:cols>
          <w:pgMar w:left="240" w:top="11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700" w:space="720"/>
            <w:col w:w="4260" w:space="720"/>
            <w:col w:w="2780" w:space="720"/>
            <w:col w:w="520"/>
          </w:cols>
          <w:pgMar w:left="240" w:top="1102" w:right="239" w:bottom="1440" w:gutter="0" w:footer="0" w:header="0"/>
          <w:type w:val="continuous"/>
        </w:sectPr>
      </w:pPr>
    </w:p>
    <w:p>
      <w:pPr>
        <w:spacing w:after="0" w:line="10" w:lineRule="exact"/>
        <w:rPr>
          <w:sz w:val="24"/>
          <w:szCs w:val="24"/>
          <w:color w:val="auto"/>
        </w:rPr>
      </w:pPr>
    </w:p>
    <w:p>
      <w:pPr>
        <w:ind w:right="204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May 2, 2016 was 63,124,158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rPr>
              <w:t>AVIAT NETWORKS, INC.</w:t>
            </w:r>
          </w:p>
        </w:tc>
        <w:tc>
          <w:tcPr>
            <w:tcW w:w="640" w:type="dxa"/>
            <w:vAlign w:val="bottom"/>
          </w:tcPr>
          <w:p>
            <w:pPr>
              <w:spacing w:after="0"/>
              <w:rPr>
                <w:sz w:val="20"/>
                <w:szCs w:val="20"/>
                <w:color w:val="auto"/>
              </w:rPr>
            </w:pPr>
          </w:p>
        </w:tc>
      </w:tr>
      <w:tr>
        <w:trPr>
          <w:trHeight w:val="297"/>
        </w:trPr>
        <w:tc>
          <w:tcPr>
            <w:tcW w:w="1034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For the Quarterly Period Ended April 1, 2016</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r>
      <w:tr>
        <w:trPr>
          <w:trHeight w:val="872"/>
        </w:trPr>
        <w:tc>
          <w:tcPr>
            <w:tcW w:w="10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50"/>
        </w:trPr>
        <w:tc>
          <w:tcPr>
            <w:tcW w:w="10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10340" w:type="dxa"/>
            <w:vAlign w:val="bottom"/>
            <w:shd w:val="clear" w:color="auto" w:fill="CCEEFF"/>
          </w:tcPr>
          <w:p>
            <w:pPr>
              <w:ind w:left="38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Condensed Consolidated Statements of Operations for the Quarter and Three Quarters Ended April 1, 2016 and April 3, 2015</w:t>
              </w:r>
            </w:hyperlink>
          </w:p>
        </w:tc>
        <w:tc>
          <w:tcPr>
            <w:tcW w:w="640" w:type="dxa"/>
            <w:vAlign w:val="bottom"/>
            <w:shd w:val="clear" w:color="auto" w:fill="CCEEFF"/>
          </w:tcPr>
          <w:p>
            <w:pPr>
              <w:spacing w:after="0"/>
              <w:rPr>
                <w:sz w:val="19"/>
                <w:szCs w:val="19"/>
                <w:color w:val="auto"/>
              </w:rPr>
            </w:pPr>
          </w:p>
        </w:tc>
      </w:tr>
      <w:tr>
        <w:trPr>
          <w:trHeight w:val="237"/>
        </w:trPr>
        <w:tc>
          <w:tcPr>
            <w:tcW w:w="10340" w:type="dxa"/>
            <w:vAlign w:val="bottom"/>
            <w:tcBorders>
              <w:bottom w:val="single" w:sz="8" w:color="CCEEFF"/>
            </w:tcBorders>
            <w:shd w:val="clear" w:color="auto" w:fill="CCEEFF"/>
          </w:tcPr>
          <w:p>
            <w:pPr>
              <w:ind w:left="620"/>
              <w:spacing w:after="0"/>
              <w:rPr>
                <w:rFonts w:ascii="Arial" w:cs="Arial" w:eastAsia="Arial" w:hAnsi="Arial"/>
                <w:sz w:val="18"/>
                <w:szCs w:val="18"/>
                <w:color w:val="auto"/>
              </w:rPr>
            </w:pPr>
            <w:hyperlink w:anchor="page3">
              <w:r>
                <w:rPr>
                  <w:rFonts w:ascii="Arial" w:cs="Arial" w:eastAsia="Arial" w:hAnsi="Arial"/>
                  <w:sz w:val="18"/>
                  <w:szCs w:val="18"/>
                  <w:color w:val="auto"/>
                </w:rPr>
                <w:t>(Unaudited)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29"/>
        </w:trPr>
        <w:tc>
          <w:tcPr>
            <w:tcW w:w="10340" w:type="dxa"/>
            <w:vAlign w:val="bottom"/>
          </w:tcPr>
          <w:p>
            <w:pPr>
              <w:ind w:left="380"/>
              <w:spacing w:after="0"/>
              <w:rPr>
                <w:rFonts w:ascii="Arial" w:cs="Arial" w:eastAsia="Arial" w:hAnsi="Arial"/>
                <w:sz w:val="18"/>
                <w:szCs w:val="18"/>
                <w:color w:val="auto"/>
                <w:w w:val="91"/>
              </w:rPr>
            </w:pPr>
            <w:hyperlink w:anchor="page4">
              <w:r>
                <w:rPr>
                  <w:rFonts w:ascii="Arial" w:cs="Arial" w:eastAsia="Arial" w:hAnsi="Arial"/>
                  <w:sz w:val="18"/>
                  <w:szCs w:val="18"/>
                  <w:color w:val="auto"/>
                  <w:w w:val="91"/>
                </w:rPr>
                <w:t>Condensed Consolidated Statements of Comprehensive Loss for the Quarter and Three Quarters Ended April 1, 2016 and April 3, 2015</w:t>
              </w:r>
            </w:hyperlink>
          </w:p>
        </w:tc>
        <w:tc>
          <w:tcPr>
            <w:tcW w:w="640" w:type="dxa"/>
            <w:vAlign w:val="bottom"/>
          </w:tcPr>
          <w:p>
            <w:pPr>
              <w:spacing w:after="0"/>
              <w:rPr>
                <w:sz w:val="19"/>
                <w:szCs w:val="19"/>
                <w:color w:val="auto"/>
              </w:rPr>
            </w:pPr>
          </w:p>
        </w:tc>
      </w:tr>
      <w:tr>
        <w:trPr>
          <w:trHeight w:val="230"/>
        </w:trPr>
        <w:tc>
          <w:tcPr>
            <w:tcW w:w="10340" w:type="dxa"/>
            <w:vAlign w:val="bottom"/>
          </w:tcPr>
          <w:p>
            <w:pPr>
              <w:ind w:left="620"/>
              <w:spacing w:after="0"/>
              <w:rPr>
                <w:rFonts w:ascii="Arial" w:cs="Arial" w:eastAsia="Arial" w:hAnsi="Arial"/>
                <w:sz w:val="18"/>
                <w:szCs w:val="18"/>
                <w:color w:val="auto"/>
              </w:rPr>
            </w:pPr>
            <w:hyperlink w:anchor="page4">
              <w:r>
                <w:rPr>
                  <w:rFonts w:ascii="Arial" w:cs="Arial" w:eastAsia="Arial" w:hAnsi="Arial"/>
                  <w:sz w:val="18"/>
                  <w:szCs w:val="18"/>
                  <w:color w:val="auto"/>
                </w:rPr>
                <w:t>(Unaudited)</w:t>
              </w:r>
            </w:hyperlink>
          </w:p>
        </w:tc>
        <w:tc>
          <w:tcPr>
            <w:tcW w:w="6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 as of April 1, 2016 and July 3, 2015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for Three Quarters Ended April 1, 2016 and April 3, 2015 (Unaudited)</w:t>
              </w:r>
            </w:hyperlink>
          </w:p>
        </w:tc>
        <w:tc>
          <w:tcPr>
            <w:tcW w:w="6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4. Controls and Procedures</w:t>
              </w:r>
            </w:hyperlink>
          </w:p>
        </w:tc>
        <w:tc>
          <w:tcPr>
            <w:tcW w:w="6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Part II.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 Legal Proceedings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2. 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4. Mine Safety Disclosures</w:t>
              </w:r>
            </w:hyperlink>
          </w:p>
        </w:tc>
        <w:tc>
          <w:tcPr>
            <w:tcW w:w="6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6. Exhibits</w:t>
              </w:r>
            </w:hyperlink>
          </w:p>
        </w:tc>
        <w:tc>
          <w:tcPr>
            <w:tcW w:w="6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43"/>
        </w:trPr>
        <w:tc>
          <w:tcPr>
            <w:tcW w:w="10340" w:type="dxa"/>
            <w:vAlign w:val="bottom"/>
          </w:tcPr>
          <w:p>
            <w:pPr>
              <w:ind w:left="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Exhibit Index</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486"/>
        </w:trPr>
        <w:tc>
          <w:tcPr>
            <w:tcW w:w="10340" w:type="dxa"/>
            <w:vAlign w:val="bottom"/>
          </w:tcPr>
          <w:p>
            <w:pPr>
              <w:jc w:val="center"/>
              <w:ind w:left="55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80" w:right="459" w:bottom="1440" w:gutter="0" w:footer="0" w:header="0"/>
        </w:sectPr>
      </w:pPr>
    </w:p>
    <w:bookmarkStart w:id="2" w:name="page3"/>
    <w:bookmarkEnd w:id="2"/>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02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Loss from continuing operations, net of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73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7"/>
              </w:rPr>
              <w:t>Loss per share attributable to Aviat Networks’ common stockholders,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0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unrealized gain on cash flow hedges</w:t>
            </w:r>
          </w:p>
        </w:tc>
        <w:tc>
          <w:tcPr>
            <w:tcW w:w="8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adjustments for realized gain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change in unrealized gain on hedging activities</w:t>
            </w: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86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w:t>
            </w:r>
          </w:p>
        </w:tc>
        <w:tc>
          <w:tcPr>
            <w:tcW w:w="2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Aviat Networks stockholders’ equity: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Aviat Networks stockholders’ equity</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1,</w:t>
            </w:r>
          </w:p>
        </w:tc>
        <w:tc>
          <w:tcPr>
            <w:tcW w:w="260" w:type="dxa"/>
            <w:vAlign w:val="bottom"/>
          </w:tcPr>
          <w:p>
            <w:pPr>
              <w:spacing w:after="0"/>
              <w:rPr>
                <w:sz w:val="13"/>
                <w:szCs w:val="13"/>
                <w:color w:val="auto"/>
              </w:rPr>
            </w:pPr>
          </w:p>
        </w:tc>
        <w:tc>
          <w:tcPr>
            <w:tcW w:w="11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identifiable intangible assets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Provision for receivables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disposition of WiMAX business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on capital lease obligations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ended April 1, 2016 (the “third quarter and first three quarters of fiscal 2016”)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3, 2015.</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three quarters of fiscal 2016 and the first two quarters of fiscal 2015 included 13 weeks in each quarter. The third quarter of fiscal 2015 included 14 weeks.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jc w:val="both"/>
        <w:ind w:right="140" w:firstLine="405"/>
        <w:spacing w:after="0" w:line="342" w:lineRule="auto"/>
        <w:rPr>
          <w:sz w:val="20"/>
          <w:szCs w:val="20"/>
          <w:color w:val="auto"/>
        </w:rPr>
      </w:pPr>
      <w:r>
        <w:rPr>
          <w:rFonts w:ascii="Arial" w:cs="Arial" w:eastAsia="Arial" w:hAnsi="Arial"/>
          <w:sz w:val="16"/>
          <w:szCs w:val="16"/>
          <w:color w:val="auto"/>
        </w:rPr>
        <w:t>During the first quarter of fiscal 2016, we recorded a $1.2 million reclassification to increase long term unearned income and decrease current advance payments and unearned income as of July 3, 2015. This reclassification had no impact on our total assets, total liabilities, results of operations or cash flows.</w:t>
      </w:r>
    </w:p>
    <w:p>
      <w:pPr>
        <w:spacing w:after="0" w:line="70"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During the second quarter of fiscal 2016, we recorded a $4.7 million reclassification to decrease both accounts receivable and current unearned income in our consolidated balance sheet as of July 3, 2015. This reclassification had no impact on our results of operations. In our consolidated statements of cash flow, the reclassification increased changes in accounts receivables and decreased changes in advance payments and unearned income by $4.7 million; however, the net cash used in operating activities was not impacted by this reclassification. This reclassification was immaterial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color w:val="auto"/>
        </w:rPr>
        <w:t>previously issued financial statements; therefore, we revised our consolidated balance sheet for comparative purpose. The following table summarizes the effect of this reclassification on the previously filed consolidated balance sheet as of July 3,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Previously Reported</w:t>
            </w:r>
          </w:p>
        </w:tc>
        <w:tc>
          <w:tcPr>
            <w:tcW w:w="300" w:type="dxa"/>
            <w:vAlign w:val="bottom"/>
          </w:tcPr>
          <w:p>
            <w:pPr>
              <w:spacing w:after="0"/>
              <w:rPr>
                <w:sz w:val="14"/>
                <w:szCs w:val="14"/>
                <w:color w:val="auto"/>
              </w:rPr>
            </w:pPr>
          </w:p>
        </w:tc>
        <w:tc>
          <w:tcPr>
            <w:tcW w:w="142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Reclassification</w:t>
            </w:r>
          </w:p>
        </w:tc>
        <w:tc>
          <w:tcPr>
            <w:tcW w:w="400" w:type="dxa"/>
            <w:vAlign w:val="bottom"/>
          </w:tcPr>
          <w:p>
            <w:pPr>
              <w:spacing w:after="0"/>
              <w:rPr>
                <w:sz w:val="14"/>
                <w:szCs w:val="14"/>
                <w:color w:val="auto"/>
              </w:rPr>
            </w:pPr>
          </w:p>
        </w:tc>
        <w:tc>
          <w:tcPr>
            <w:tcW w:w="12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Adjustment</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July 3, 2015:</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Accounts receivables,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88.2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229.4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145.5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three quarters of fiscal 2016, as compared to the significant accounting policies described in our Annual Report on Form 10-K for the fiscal year ended July 3,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 (Topics 718</w:t>
      </w:r>
      <w:r>
        <w:rPr>
          <w:rFonts w:ascii="Arial" w:cs="Arial" w:eastAsia="Arial" w:hAnsi="Arial"/>
          <w:sz w:val="17"/>
          <w:szCs w:val="17"/>
          <w:color w:val="auto"/>
        </w:rPr>
        <w:t>), which requires the recognition of the income tax effects of awards in the income statement when</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awards vest or are settled, thus eliminating additional paid in capital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for annual periods and interim periods within those annual periods beginning after December 15, 2016 with early adoption permitted. We are evaluating the effect of the adoption of the standard will have on our condensed consolidated financial statements and related disclosures.</w:t>
      </w:r>
    </w:p>
    <w:p>
      <w:pPr>
        <w:spacing w:after="0" w:line="124"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 xml:space="preserve">In February 2016, the FASB ASU 2016-02, </w:t>
      </w:r>
      <w:r>
        <w:rPr>
          <w:rFonts w:ascii="Arial" w:cs="Arial" w:eastAsia="Arial" w:hAnsi="Arial"/>
          <w:sz w:val="16"/>
          <w:szCs w:val="16"/>
          <w:i w:val="1"/>
          <w:iCs w:val="1"/>
          <w:color w:val="auto"/>
        </w:rPr>
        <w:t>Leases (Topics 842),</w:t>
      </w:r>
      <w:r>
        <w:rPr>
          <w:rFonts w:ascii="Arial" w:cs="Arial" w:eastAsia="Arial" w:hAnsi="Arial"/>
          <w:sz w:val="16"/>
          <w:szCs w:val="16"/>
          <w:color w:val="auto"/>
        </w:rPr>
        <w:t xml:space="preserve">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are evaluating the effect of the adoption of the standard will have on our condensed consolidated financial statements and related disclosures.</w:t>
      </w:r>
    </w:p>
    <w:p>
      <w:pPr>
        <w:spacing w:after="0" w:line="10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guidance retains the current accounting for classifying and measuring investments in debt securities and loans, but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are currently evaluating the impact this guidance will have on our condensed consolidated financial statements and it will become effective for us at the beginning of our first quarter of fiscal 2019.</w:t>
      </w:r>
    </w:p>
    <w:p>
      <w:pPr>
        <w:spacing w:after="0" w:line="1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(Topic 740) - Balance Sheet Classification of Deferred Taxes</w:t>
      </w:r>
      <w:r>
        <w:rPr>
          <w:rFonts w:ascii="Arial" w:cs="Arial" w:eastAsia="Arial" w:hAnsi="Arial"/>
          <w:sz w:val="18"/>
          <w:szCs w:val="18"/>
          <w:color w:val="auto"/>
        </w:rPr>
        <w:t>, which amends the existing guidance on income taxes to require the classification of all deferred 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jc w:val="both"/>
        <w:ind w:right="120"/>
        <w:spacing w:after="0" w:line="312" w:lineRule="auto"/>
        <w:rPr>
          <w:sz w:val="20"/>
          <w:szCs w:val="20"/>
          <w:color w:val="auto"/>
        </w:rPr>
      </w:pPr>
      <w:r>
        <w:rPr>
          <w:rFonts w:ascii="Arial" w:cs="Arial" w:eastAsia="Arial" w:hAnsi="Arial"/>
          <w:sz w:val="16"/>
          <w:szCs w:val="16"/>
          <w:color w:val="auto"/>
        </w:rPr>
        <w:t>assets and liabilities as non-current on the balance sheet. The amendments are effective for financial statements issued for the annual periods beginning after December 15, 2016 and interim periods within those annual periods, and may be applied either prospectively or retrospectively. Early adoption is permitted. We are currently evaluating the effect of the adoption of the standard will have on our condensed consolidated financial statements and related disclosures.</w:t>
      </w:r>
    </w:p>
    <w:p>
      <w:pPr>
        <w:spacing w:after="0" w:line="9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July 2015, the FASB issued ASU No. 2015-11 (Subtopic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currently evaluating the effect of the adoption of the standard will have on our condensed consolidated financial statements and related disclosures.</w:t>
      </w:r>
    </w:p>
    <w:p>
      <w:pPr>
        <w:spacing w:after="0" w:line="13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(Subtopic 835-30), </w:t>
      </w:r>
      <w:r>
        <w:rPr>
          <w:rFonts w:ascii="Arial" w:cs="Arial" w:eastAsia="Arial" w:hAnsi="Arial"/>
          <w:sz w:val="16"/>
          <w:szCs w:val="16"/>
          <w:i w:val="1"/>
          <w:iCs w:val="1"/>
          <w:color w:val="auto"/>
        </w:rPr>
        <w:t>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which provides guidance on the balance sheet presentation for debt issuance costs and debt discounts and debt premiums. To simplify the presentation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debt issuance costs, the standard requires that debt issuance costs related to a recognized debt liability be presented in the balance sheet as a direct deduction from the carrying amount of that debt liability, consistent with debt discounts. The standard is effective for us beginning in our fiscal year 2017. We are currently evaluating the effect of the adoption of the standard will have on our condensed consolidated financial statements and related disclosures.</w:t>
      </w:r>
    </w:p>
    <w:p>
      <w:pPr>
        <w:spacing w:after="0" w:line="10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In August 2014,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provides guidance on determining when and how to disclose going concern uncertainties in the financial statements. The guidance requires management to perform interim and annual assessments of an entity’s ability to continue as a going concern. This standard is effective for annual reporting periods beginning after December 15, 2016, including interim periods during those annual periods. Early application is permitted. We are currently evaluating the effect of the adoption of the standard will have on our condensed consolidated financial statements and related disclosures.</w:t>
      </w:r>
    </w:p>
    <w:p>
      <w:pPr>
        <w:spacing w:after="0" w:line="11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This ASU is based on the 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July 2015, the FASB deferred the effective date of this ASU from December 15, 2016 to December 15, 2017, with early adoption permitted before annual periods beginning after December 15, 2016. Accordingly, the new standard is effective for us beginning in our fiscal year 2019. The principles may be applied retrospectively to each prior period presented or retrospectively with the cumulative effect recognized as of the date of initial application. We are currently evaluating the transition methods and the effect that this ASU will have on our condensed consolidated financial statements and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 of Common Stock</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compute net loss per share attributable to our common stockholders using the two-class method. Basic net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Undistributed losses are not allocated to unvested restricted shares due to the fact that the unvested restricted shares are not contractually obligated to share the losses of the company.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46" w:right="259" w:bottom="1440" w:gutter="0" w:footer="0" w:header="0"/>
        </w:sectPr>
      </w:pPr>
    </w:p>
    <w:bookmarkStart w:id="9" w:name="page10"/>
    <w:bookmarkEnd w:id="9"/>
    <w:p>
      <w:pPr>
        <w:ind w:right="160" w:firstLine="405"/>
        <w:spacing w:after="0" w:line="264" w:lineRule="auto"/>
        <w:rPr>
          <w:sz w:val="20"/>
          <w:szCs w:val="20"/>
          <w:color w:val="auto"/>
        </w:rPr>
      </w:pPr>
      <w:r>
        <w:rPr>
          <w:rFonts w:ascii="Arial" w:cs="Arial" w:eastAsia="Arial" w:hAnsi="Arial"/>
          <w:sz w:val="18"/>
          <w:szCs w:val="18"/>
          <w:color w:val="auto"/>
        </w:rPr>
        <w:t>As we incurred a net loss for all periods presented, the effect of outstanding stock options, restricted stocks and units and performance shares and units were anti-dilutive, and therefore, were excluded from the diluted net loss per share calculations. The following table summarizes the potential shares of common stock that were excluded from the diluted net loss per share calculations: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Quarters Ended</w:t>
            </w:r>
          </w:p>
        </w:tc>
      </w:tr>
      <w:tr>
        <w:trPr>
          <w:trHeight w:val="152"/>
        </w:trPr>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1,</w:t>
            </w:r>
          </w:p>
        </w:tc>
        <w:tc>
          <w:tcPr>
            <w:tcW w:w="138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April 3,</w:t>
            </w:r>
          </w:p>
        </w:tc>
        <w:tc>
          <w:tcPr>
            <w:tcW w:w="126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April 3,</w:t>
            </w: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ind w:left="9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6320" w:type="dxa"/>
            <w:vAlign w:val="bottom"/>
            <w:gridSpan w:val="2"/>
          </w:tcPr>
          <w:p>
            <w:pPr>
              <w:ind w:left="420"/>
              <w:spacing w:after="0"/>
              <w:rPr>
                <w:sz w:val="20"/>
                <w:szCs w:val="20"/>
                <w:color w:val="auto"/>
              </w:rPr>
            </w:pPr>
            <w:r>
              <w:rPr>
                <w:rFonts w:ascii="Arial" w:cs="Arial" w:eastAsia="Arial" w:hAnsi="Arial"/>
                <w:sz w:val="18"/>
                <w:szCs w:val="18"/>
                <w:color w:val="auto"/>
                <w:w w:val="92"/>
              </w:rPr>
              <w:t>Our net accounts receivable as of April 1, 2016 and July 3, 2015 was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July 3,</w:t>
            </w:r>
          </w:p>
        </w:tc>
      </w:t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56"/>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90.2</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Less allowances for collection losses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 Total customer letters of credit discounted and related interest expense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w w:val="94"/>
              </w:rPr>
              <w:t>Quarter Ended</w:t>
            </w: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5"/>
              </w:rPr>
              <w:t>Three Quarters Ended</w:t>
            </w:r>
          </w:p>
        </w:tc>
      </w:tr>
      <w:tr>
        <w:trPr>
          <w:trHeight w:val="152"/>
        </w:trPr>
        <w:tc>
          <w:tcPr>
            <w:tcW w:w="5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3"/>
                <w:szCs w:val="13"/>
                <w:color w:val="auto"/>
              </w:rPr>
            </w:pPr>
          </w:p>
        </w:tc>
        <w:tc>
          <w:tcPr>
            <w:tcW w:w="96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April 3,</w:t>
            </w:r>
          </w:p>
        </w:tc>
      </w:tr>
      <w:tr>
        <w:trPr>
          <w:trHeight w:val="192"/>
        </w:trPr>
        <w:tc>
          <w:tcPr>
            <w:tcW w:w="5520" w:type="dxa"/>
            <w:vAlign w:val="bottom"/>
          </w:tcPr>
          <w:p>
            <w:pPr>
              <w:spacing w:after="0"/>
              <w:rPr>
                <w:sz w:val="16"/>
                <w:szCs w:val="16"/>
                <w:color w:val="auto"/>
              </w:rPr>
            </w:pPr>
          </w:p>
        </w:tc>
        <w:tc>
          <w:tcPr>
            <w:tcW w:w="14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50"/>
        </w:trPr>
        <w:tc>
          <w:tcPr>
            <w:tcW w:w="5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40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7"/>
              </w:rPr>
              <w:t>2.6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0.0</w:t>
            </w:r>
          </w:p>
        </w:tc>
        <w:tc>
          <w:tcPr>
            <w:tcW w:w="98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w w:val="87"/>
              </w:rPr>
              <w:t>0.0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621"/>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5520" w:type="dxa"/>
            <w:vAlign w:val="bottom"/>
          </w:tcPr>
          <w:p>
            <w:pPr>
              <w:ind w:left="420"/>
              <w:spacing w:after="0"/>
              <w:rPr>
                <w:sz w:val="20"/>
                <w:szCs w:val="20"/>
                <w:color w:val="auto"/>
              </w:rPr>
            </w:pPr>
            <w:r>
              <w:rPr>
                <w:rFonts w:ascii="Arial" w:cs="Arial" w:eastAsia="Arial" w:hAnsi="Arial"/>
                <w:sz w:val="18"/>
                <w:szCs w:val="18"/>
                <w:color w:val="auto"/>
                <w:w w:val="93"/>
              </w:rPr>
              <w:t>Our inventories as of April 1, 2016 and July 3, 2015 were as follows: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5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24"/>
                <w:szCs w:val="24"/>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July 3,</w:t>
            </w:r>
          </w:p>
        </w:tc>
      </w:tr>
      <w:tr>
        <w:trPr>
          <w:trHeight w:val="192"/>
        </w:trPr>
        <w:tc>
          <w:tcPr>
            <w:tcW w:w="5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196"/>
        </w:trPr>
        <w:tc>
          <w:tcPr>
            <w:tcW w:w="5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3.8</w:t>
            </w:r>
          </w:p>
        </w:tc>
      </w:tr>
      <w:tr>
        <w:trPr>
          <w:trHeight w:val="27"/>
        </w:trPr>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w:t>
            </w:r>
          </w:p>
        </w:tc>
      </w:tr>
      <w:tr>
        <w:trPr>
          <w:trHeight w:val="237"/>
        </w:trPr>
        <w:tc>
          <w:tcPr>
            <w:tcW w:w="5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32.9</w:t>
            </w:r>
          </w:p>
        </w:tc>
      </w:tr>
      <w:tr>
        <w:trPr>
          <w:trHeight w:val="67"/>
        </w:trPr>
        <w:tc>
          <w:tcPr>
            <w:tcW w:w="55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486"/>
        </w:trPr>
        <w:tc>
          <w:tcPr>
            <w:tcW w:w="5520" w:type="dxa"/>
            <w:vAlign w:val="bottom"/>
          </w:tcPr>
          <w:p>
            <w:pPr>
              <w:spacing w:after="0"/>
              <w:rPr>
                <w:sz w:val="24"/>
                <w:szCs w:val="24"/>
                <w:color w:val="auto"/>
              </w:rPr>
            </w:pPr>
          </w:p>
        </w:tc>
        <w:tc>
          <w:tcPr>
            <w:tcW w:w="540" w:type="dxa"/>
            <w:vAlign w:val="bottom"/>
          </w:tcPr>
          <w:p>
            <w:pPr>
              <w:jc w:val="right"/>
              <w:ind w:right="174"/>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jc w:val="both"/>
        <w:ind w:right="80" w:firstLine="405"/>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During the third quarter and first three quarters of fiscal 2016 and 2015, such charges incurred were classified in cost of product sales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86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75"/>
              <w:spacing w:after="0" w:line="153" w:lineRule="exact"/>
              <w:rPr>
                <w:sz w:val="20"/>
                <w:szCs w:val="20"/>
                <w:color w:val="auto"/>
              </w:rPr>
            </w:pPr>
            <w:r>
              <w:rPr>
                <w:rFonts w:ascii="Arial" w:cs="Arial" w:eastAsia="Arial" w:hAnsi="Arial"/>
                <w:sz w:val="14"/>
                <w:szCs w:val="14"/>
                <w:b w:val="1"/>
                <w:bCs w:val="1"/>
                <w:color w:val="auto"/>
                <w:w w:val="96"/>
              </w:rPr>
              <w:t>April 3,</w:t>
            </w:r>
          </w:p>
        </w:tc>
      </w:tr>
      <w:tr>
        <w:trPr>
          <w:trHeight w:val="192"/>
        </w:trPr>
        <w:tc>
          <w:tcPr>
            <w:tcW w:w="58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(In millions, except percentages)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88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2.1</w:t>
            </w:r>
          </w:p>
        </w:tc>
      </w:tr>
      <w:tr>
        <w:trPr>
          <w:trHeight w:val="27"/>
        </w:trPr>
        <w:tc>
          <w:tcPr>
            <w:tcW w:w="5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6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8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2"/>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w w:val="97"/>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w w:val="97"/>
              </w:rPr>
              <w:t>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w w:val="97"/>
              </w:rPr>
              <w:t>2.2%</w:t>
            </w:r>
          </w:p>
        </w:tc>
      </w:tr>
      <w:tr>
        <w:trPr>
          <w:trHeight w:val="405"/>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7280" w:type="dxa"/>
            <w:vAlign w:val="bottom"/>
            <w:gridSpan w:val="4"/>
          </w:tcPr>
          <w:p>
            <w:pPr>
              <w:ind w:left="440"/>
              <w:spacing w:after="0"/>
              <w:rPr>
                <w:sz w:val="20"/>
                <w:szCs w:val="20"/>
                <w:color w:val="auto"/>
              </w:rPr>
            </w:pPr>
            <w:r>
              <w:rPr>
                <w:rFonts w:ascii="Arial" w:cs="Arial" w:eastAsia="Arial" w:hAnsi="Arial"/>
                <w:sz w:val="18"/>
                <w:szCs w:val="18"/>
                <w:color w:val="auto"/>
                <w:w w:val="93"/>
              </w:rPr>
              <w:t>Our property, plant and equipment, net as of April 1, 2016 and July 3, 2015 were as follows: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8"/>
        </w:trPr>
        <w:tc>
          <w:tcPr>
            <w:tcW w:w="5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July 3,</w:t>
            </w:r>
          </w:p>
        </w:tc>
      </w:tr>
      <w:tr>
        <w:trPr>
          <w:trHeight w:val="192"/>
        </w:trPr>
        <w:tc>
          <w:tcPr>
            <w:tcW w:w="5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2015</w:t>
            </w:r>
          </w:p>
        </w:tc>
      </w:tr>
      <w:tr>
        <w:trPr>
          <w:trHeight w:val="196"/>
        </w:trPr>
        <w:tc>
          <w:tcPr>
            <w:tcW w:w="5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5"/>
          </w:tcPr>
          <w:p>
            <w:pPr>
              <w:ind w:left="740"/>
              <w:spacing w:after="0"/>
              <w:rPr>
                <w:sz w:val="20"/>
                <w:szCs w:val="20"/>
                <w:color w:val="auto"/>
              </w:rPr>
            </w:pPr>
            <w:r>
              <w:rPr>
                <w:rFonts w:ascii="Arial" w:cs="Arial" w:eastAsia="Arial" w:hAnsi="Arial"/>
                <w:sz w:val="14"/>
                <w:szCs w:val="14"/>
                <w:b w:val="1"/>
                <w:bCs w:val="1"/>
                <w:color w:val="auto"/>
                <w:w w:val="99"/>
              </w:rPr>
              <w:t>(In millions)</w:t>
            </w:r>
          </w:p>
        </w:tc>
        <w:tc>
          <w:tcPr>
            <w:tcW w:w="9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9.7</w:t>
            </w:r>
          </w:p>
        </w:tc>
      </w:tr>
      <w:tr>
        <w:trPr>
          <w:trHeight w:val="27"/>
        </w:trPr>
        <w:tc>
          <w:tcPr>
            <w:tcW w:w="5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45.2</w:t>
            </w:r>
          </w:p>
        </w:tc>
      </w:tr>
      <w:tr>
        <w:trPr>
          <w:trHeight w:val="27"/>
        </w:trPr>
        <w:tc>
          <w:tcPr>
            <w:tcW w:w="5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5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w w:val="94"/>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6060" w:type="dxa"/>
            <w:vAlign w:val="bottom"/>
          </w:tcPr>
          <w:p>
            <w:pPr>
              <w:spacing w:after="0"/>
              <w:rPr>
                <w:sz w:val="13"/>
                <w:szCs w:val="13"/>
                <w:color w:val="auto"/>
              </w:rPr>
            </w:pPr>
          </w:p>
        </w:tc>
        <w:tc>
          <w:tcPr>
            <w:tcW w:w="86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3"/>
                <w:szCs w:val="13"/>
                <w:color w:val="auto"/>
              </w:rPr>
            </w:pPr>
          </w:p>
        </w:tc>
        <w:tc>
          <w:tcPr>
            <w:tcW w:w="980" w:type="dxa"/>
            <w:vAlign w:val="bottom"/>
          </w:tcPr>
          <w:p>
            <w:pPr>
              <w:jc w:val="center"/>
              <w:ind w:left="362"/>
              <w:spacing w:after="0" w:line="153" w:lineRule="exact"/>
              <w:rPr>
                <w:sz w:val="20"/>
                <w:szCs w:val="20"/>
                <w:color w:val="auto"/>
              </w:rPr>
            </w:pPr>
            <w:r>
              <w:rPr>
                <w:rFonts w:ascii="Arial" w:cs="Arial" w:eastAsia="Arial" w:hAnsi="Arial"/>
                <w:sz w:val="14"/>
                <w:szCs w:val="14"/>
                <w:b w:val="1"/>
                <w:bCs w:val="1"/>
                <w:color w:val="auto"/>
                <w:w w:val="96"/>
              </w:rPr>
              <w:t>April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center"/>
              <w:ind w:right="324"/>
              <w:spacing w:after="0" w:line="153" w:lineRule="exact"/>
              <w:rPr>
                <w:sz w:val="20"/>
                <w:szCs w:val="20"/>
                <w:color w:val="auto"/>
              </w:rPr>
            </w:pPr>
            <w:r>
              <w:rPr>
                <w:rFonts w:ascii="Arial" w:cs="Arial" w:eastAsia="Arial" w:hAnsi="Arial"/>
                <w:sz w:val="14"/>
                <w:szCs w:val="14"/>
                <w:b w:val="1"/>
                <w:bCs w:val="1"/>
                <w:color w:val="auto"/>
                <w:w w:val="96"/>
              </w:rPr>
              <w:t>April 1,</w:t>
            </w:r>
          </w:p>
        </w:tc>
        <w:tc>
          <w:tcPr>
            <w:tcW w:w="340" w:type="dxa"/>
            <w:vAlign w:val="bottom"/>
          </w:tcPr>
          <w:p>
            <w:pPr>
              <w:spacing w:after="0"/>
              <w:rPr>
                <w:sz w:val="13"/>
                <w:szCs w:val="13"/>
                <w:color w:val="auto"/>
              </w:rPr>
            </w:pPr>
          </w:p>
        </w:tc>
        <w:tc>
          <w:tcPr>
            <w:tcW w:w="10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6"/>
              </w:rPr>
              <w:t>April 3,</w:t>
            </w: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r>
      <w:tr>
        <w:trPr>
          <w:trHeight w:val="196"/>
        </w:trPr>
        <w:tc>
          <w:tcPr>
            <w:tcW w:w="6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accrue for the estimated cost to repair or replace products under warranty at the time of sale. Changes in our warranty liability, which is included as a component of other accrued expenses in the condensed consolidated balance sheets, during the third quarter and first three quarters of fiscal 2016 and 2015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w w:val="94"/>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02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242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1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560" w:type="dxa"/>
            <w:vAlign w:val="bottom"/>
          </w:tcPr>
          <w:p>
            <w:pPr>
              <w:spacing w:after="0"/>
              <w:rPr>
                <w:sz w:val="20"/>
                <w:szCs w:val="20"/>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vMerge w:val="restart"/>
          </w:tcPr>
          <w:p>
            <w:pPr>
              <w:jc w:val="right"/>
              <w:ind w:right="176"/>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April 1, 2016 and July 3,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July 3, 2015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1"/>
              </w:rPr>
              <w:t>13.7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6"/>
              <w:spacing w:after="0"/>
              <w:rPr>
                <w:sz w:val="20"/>
                <w:szCs w:val="20"/>
                <w:color w:val="auto"/>
              </w:rPr>
            </w:pPr>
            <w:r>
              <w:rPr>
                <w:rFonts w:ascii="Arial" w:cs="Arial" w:eastAsia="Arial" w:hAnsi="Arial"/>
                <w:sz w:val="18"/>
                <w:szCs w:val="18"/>
                <w:color w:val="auto"/>
              </w:rPr>
              <w:t>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bl>
    <w:p>
      <w:pPr>
        <w:spacing w:after="0" w:line="17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April 1, 2016 and July 3, 2015, these money market funds were valued at $1.00 net asset value per share.</w:t>
      </w:r>
    </w:p>
    <w:p>
      <w:pPr>
        <w:spacing w:after="0" w:line="116" w:lineRule="exact"/>
        <w:rPr>
          <w:sz w:val="20"/>
          <w:szCs w:val="20"/>
          <w:color w:val="auto"/>
        </w:rPr>
      </w:pPr>
    </w:p>
    <w:p>
      <w:pPr>
        <w:ind w:right="340" w:firstLine="432"/>
        <w:spacing w:after="0" w:line="276"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April 1, 2016 and July 3, 2015. The changes in fair value related to our foreign currency forward contracts were recorded in cost of revenues on our statements of operations.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1, 2016 and July 3, 2015, we did not have any assets or liabilities that were valued using Level 3 inputs.</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quarters of fiscal 2016 and 2015, we had no transfers between levels of the fair value hierarchy of our assets or liabilities measured at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(the “SVB Credit Facility”). The SVB Credit Facility expires on September 26, 2016. In March 2016, we amended the SVB Credit Facility to reduce the maximum borrowing capacity from $40.0 million to $30.0 million, with no change to the $30.0 million sublimit that can be borrowed by our Singapore subsidiary and decrease the EBITDA covenant from $1.0 to a negative $5.5 million in order to remain in compliance with this covenant for our third quarter of fiscal 2016. Borrowings may be advanced under the SVB Credit Facility are at the lesser of $30.0 million or a borrowing base equal to a specified percentage of the value of eligible accounts receivable and U.S. unbilled accounts of the Company, subject to certain reserves and eligibility criteria. Our outstanding debt under the SVB Credit Facility was $9.0 million as of April 1, 2016 and July 3, 2015. The SVB Credit Facility carries an interest rate computed at the daily prime rate as published in the Wall Street Journal plus a spread of 0.50% to 1.50%, with such spread determined based on our adjusted quick ratio. During the first three quarters of fiscal year 2016, the weighted average interest rate on our outstanding loan was 3.91%. As of April 1, 2016, available credit under the SVB Credit Facility was $7.6 million reflecting the calculated borrowing base of $22.9 million less existing borrowings of $9.0 million and outstanding letters of credit of $6.3 million. The borrowing base was computed at 65% of eligible accounts receivable and 50% of eligible unbilled accounts receivable as of April 1, 2016.</w:t>
      </w:r>
    </w:p>
    <w:p>
      <w:pPr>
        <w:spacing w:after="0" w:line="11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April 1, 2016, we were in compliance with the quarterly financial covenants, as amended, contained in the SVB Credit Facility.</w:t>
      </w:r>
    </w:p>
    <w:p>
      <w:pPr>
        <w:spacing w:after="0" w:line="112" w:lineRule="exact"/>
        <w:rPr>
          <w:sz w:val="20"/>
          <w:szCs w:val="20"/>
          <w:color w:val="auto"/>
        </w:rPr>
      </w:pPr>
    </w:p>
    <w:p>
      <w:pPr>
        <w:jc w:val="both"/>
        <w:ind w:right="140" w:firstLine="405"/>
        <w:spacing w:after="0" w:line="302" w:lineRule="auto"/>
        <w:rPr>
          <w:sz w:val="20"/>
          <w:szCs w:val="20"/>
          <w:color w:val="auto"/>
        </w:rPr>
      </w:pPr>
      <w:r>
        <w:rPr>
          <w:rFonts w:ascii="Arial" w:cs="Arial" w:eastAsia="Arial" w:hAnsi="Arial"/>
          <w:sz w:val="16"/>
          <w:szCs w:val="16"/>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April 1, 2016 and July 3, 2015. The line of credit also provides for the issuance of standby letters of credit and company credit cards, of which $0.1 million was outstanding as of April 1, 2016. This facility may be terminated upon notice, is reviewed annually for renewal or modification, and is supported by a corporate guarantee.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restructuring related activities during the nine months ended April 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Severance and Benefits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Facilities and Other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Fiscal</w:t>
            </w:r>
          </w:p>
        </w:tc>
        <w:tc>
          <w:tcPr>
            <w:tcW w:w="180" w:type="dxa"/>
            <w:vAlign w:val="bottom"/>
          </w:tcPr>
          <w:p>
            <w:pPr>
              <w:spacing w:after="0"/>
              <w:rPr>
                <w:sz w:val="13"/>
                <w:szCs w:val="13"/>
                <w:color w:val="auto"/>
              </w:rPr>
            </w:pPr>
          </w:p>
        </w:tc>
        <w:tc>
          <w:tcPr>
            <w:tcW w:w="96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180" w:type="dxa"/>
            <w:vAlign w:val="bottom"/>
          </w:tcPr>
          <w:p>
            <w:pPr>
              <w:spacing w:after="0"/>
              <w:rPr>
                <w:sz w:val="13"/>
                <w:szCs w:val="13"/>
                <w:color w:val="auto"/>
              </w:rPr>
            </w:pPr>
          </w:p>
        </w:tc>
        <w:tc>
          <w:tcPr>
            <w:tcW w:w="10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2015-2016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2014-2015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2013-2014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as of July 3, 2015</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Accrual balance as of October 2, 2015</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as of January 1, 2016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Accrual balance as of April 1, 2016</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ind w:right="580" w:firstLine="405"/>
        <w:spacing w:after="0" w:line="277" w:lineRule="auto"/>
        <w:rPr>
          <w:sz w:val="20"/>
          <w:szCs w:val="20"/>
          <w:color w:val="auto"/>
        </w:rPr>
      </w:pPr>
      <w:r>
        <w:rPr>
          <w:rFonts w:ascii="Arial" w:cs="Arial" w:eastAsia="Arial" w:hAnsi="Arial"/>
          <w:sz w:val="18"/>
          <w:szCs w:val="18"/>
          <w:color w:val="auto"/>
        </w:rPr>
        <w:t>As of April 1, 2016, $2.7 million of the accrual balance is in short-term restructuring liabilities while $0.5 million is included in other long-term liabilities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 The restructuring charges recorded during the third quarter and first three quarters of fiscal 2016 were $0.3 million in each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 The restructuring charges recorded during the third quarter and first three quarters of fiscal 2016 were $0.2 million in each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facility downsizing of our Santa Clara, California headquarters and certain international field offices. The restructuring charges recorded during the third quarter and first three quarters of fiscal 2016 were $0.3 million in each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 and Activities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one stock incentive plan for our employees and nonemployee directors, the 2007 Stock Equity Plan, as amended and restated effective November 13, 2015 (the “2007 Stock Plan”). As of April 1, 2016, we have various incentive programs under the 2007 Stock Plan, including annual and long-term incentive programs (“AIP” or “LTIP”) and a global equity program (“GEP”). The Company is authorized to issue up to 26.9 million shares of common stock under the 2007 Stock Plan.</w:t>
      </w:r>
    </w:p>
    <w:p>
      <w:pPr>
        <w:spacing w:after="0" w:line="13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During the first three quarters of fiscal 2016, we awarded 1,831,158 market-based stock units and 2,293,647 restricted stock units associated with our fiscal 2016 LTIP under the 2007 Stock Plan. For the market-based stock units, the performance criteria are based on multiple target closing prices of the Company’s common stock for the fiscal years ending 2016, 2017 and 2018. Once the shares are earned for fiscal years ending 2016 and 2017, they will be vested on the last day of fiscal 2018. For the shares earned for the fiscal year ending 2018, they will be vested on the date that the Compensation Committee certifies achievement of the performance metrics. Vesting of these shares is dependent on continuous employment with us through the date the performance metric is achieved.</w:t>
      </w:r>
    </w:p>
    <w:p>
      <w:pPr>
        <w:spacing w:after="0" w:line="13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first quarter of fiscal 2016, we cancelled 803,210 performance stock units due to the performance criteria not being achieved. During the first three quarters of fiscal 2016, we cancelled 65,062 performance stock units, 104,531 share of restricted stock unit, and options to purchase 1,649,094 shares of our common stock due to employee terminations. During the first three quarters of fiscal 2016, options to purchase 242,538 shares of our common stock expired.</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8,542,662 as of April 1, 2016.</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746"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third quarter and first three quarters of fiscal 2016 and 2015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02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gridSpan w:val="4"/>
            <w:vMerge w:val="continue"/>
          </w:tcPr>
          <w:p>
            <w:pPr>
              <w:spacing w:after="0"/>
              <w:rPr>
                <w:sz w:val="16"/>
                <w:szCs w:val="16"/>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2"/>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tcPr>
          <w:p>
            <w:pPr>
              <w:jc w:val="right"/>
              <w:ind w:right="698"/>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9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90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9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April 1, 2016, there was $3.1 million of total unrecognized compensation expense related to unvested share-based awards granted under our 2007 Stock Plan. This expense is expected to be recognized over a weighted average period of 2.16 years.</w:t>
      </w:r>
    </w:p>
    <w:p>
      <w:pPr>
        <w:spacing w:after="0" w:line="11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26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960" w:type="dxa"/>
            <w:vAlign w:val="bottom"/>
          </w:tcPr>
          <w:p>
            <w:pPr>
              <w:spacing w:after="0"/>
              <w:rPr>
                <w:sz w:val="13"/>
                <w:szCs w:val="13"/>
                <w:color w:val="auto"/>
              </w:rPr>
            </w:pPr>
          </w:p>
        </w:tc>
        <w:tc>
          <w:tcPr>
            <w:tcW w:w="86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6"/>
              </w:rPr>
              <w:t>April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April 3,</w:t>
            </w:r>
          </w:p>
        </w:tc>
        <w:tc>
          <w:tcPr>
            <w:tcW w:w="13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April 1,</w:t>
            </w:r>
          </w:p>
        </w:tc>
        <w:tc>
          <w:tcPr>
            <w:tcW w:w="13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April 3,</w:t>
            </w:r>
          </w:p>
        </w:tc>
      </w:tr>
      <w:tr>
        <w:trPr>
          <w:trHeight w:val="192"/>
        </w:trPr>
        <w:tc>
          <w:tcPr>
            <w:tcW w:w="59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3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5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4.25</w:t>
            </w:r>
          </w:p>
        </w:tc>
      </w:tr>
      <w:tr>
        <w:trPr>
          <w:trHeight w:val="27"/>
        </w:trPr>
        <w:tc>
          <w:tcPr>
            <w:tcW w:w="5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7"/>
        </w:trPr>
        <w:tc>
          <w:tcPr>
            <w:tcW w:w="59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fair value of each market-based stock unit with market condition was estimated using a Monte-Carlo simulation model. A summary of the significant weighted average assumptions we used in the Monte Carlo simulation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2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6040" w:type="dxa"/>
            <w:vAlign w:val="bottom"/>
          </w:tcPr>
          <w:p>
            <w:pPr>
              <w:spacing w:after="0"/>
              <w:rPr>
                <w:sz w:val="13"/>
                <w:szCs w:val="13"/>
                <w:color w:val="auto"/>
              </w:rPr>
            </w:pPr>
          </w:p>
        </w:tc>
        <w:tc>
          <w:tcPr>
            <w:tcW w:w="88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6"/>
              </w:rPr>
              <w:t>April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April 1,</w:t>
            </w:r>
          </w:p>
        </w:tc>
        <w:tc>
          <w:tcPr>
            <w:tcW w:w="124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April 3,</w:t>
            </w:r>
          </w:p>
        </w:tc>
      </w:tr>
      <w:tr>
        <w:trPr>
          <w:trHeight w:val="192"/>
        </w:trPr>
        <w:tc>
          <w:tcPr>
            <w:tcW w:w="60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2015</w:t>
            </w:r>
          </w:p>
        </w:tc>
      </w:tr>
      <w:tr>
        <w:trPr>
          <w:trHeight w:val="250"/>
        </w:trPr>
        <w:tc>
          <w:tcPr>
            <w:tcW w:w="6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69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20" w:type="dxa"/>
            <w:vAlign w:val="bottom"/>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21"/>
                <w:szCs w:val="21"/>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6920" w:type="dxa"/>
            <w:vAlign w:val="bottom"/>
            <w:gridSpan w:val="2"/>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98"/>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The fair value of the market-based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 No performance stock units were issued during the third quarter of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third quarter and first three quarters of fiscal 2016 and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 2015</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2016</w:t>
            </w:r>
          </w:p>
        </w:tc>
        <w:tc>
          <w:tcPr>
            <w:tcW w:w="18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April 3,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69.2</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36.1</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248.1</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Mobile Telephone Networks Group (MTN Group) accounted for more than 10% of our accounts receivable as of April 1, 2016 and July 3, 2015. During the third quarter and first three quarters of fiscal 2016 and 2015, MTN Group accounted for more than 10% of our total revenue. We have entered into separate and distinct contracts with MTN Group, as well as separate arrangements with various MTN Group subsidiaries. The loss of all business from MTN Group could adversely affect our results of operations, cash flows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Divestiture</w:t>
      </w:r>
    </w:p>
    <w:p>
      <w:pPr>
        <w:spacing w:after="0" w:line="17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sold our WiMAX business on September 2, 2011. 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three quarters of fiscal 2016 was primarily due to recovery of certain WiMAX customer receivables that were previously written down. Summary results of operations for the WiMAX business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w w:val="94"/>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1, 2016</w:t>
            </w:r>
          </w:p>
        </w:tc>
        <w:tc>
          <w:tcPr>
            <w:tcW w:w="180" w:type="dxa"/>
            <w:vAlign w:val="bottom"/>
          </w:tcPr>
          <w:p>
            <w:pPr>
              <w:spacing w:after="0"/>
              <w:rPr>
                <w:sz w:val="13"/>
                <w:szCs w:val="13"/>
                <w:color w:val="auto"/>
              </w:rPr>
            </w:pPr>
          </w:p>
        </w:tc>
        <w:tc>
          <w:tcPr>
            <w:tcW w:w="10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April 3, 2015</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related to WiMAX</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on disposal</w:t>
            </w:r>
          </w:p>
        </w:tc>
        <w:tc>
          <w:tcPr>
            <w:tcW w:w="8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00"/>
              <w:spacing w:after="0"/>
              <w:rPr>
                <w:sz w:val="20"/>
                <w:szCs w:val="20"/>
                <w:color w:val="auto"/>
              </w:rPr>
            </w:pPr>
            <w:r>
              <w:rPr>
                <w:rFonts w:ascii="Arial" w:cs="Arial" w:eastAsia="Arial" w:hAnsi="Arial"/>
                <w:sz w:val="18"/>
                <w:szCs w:val="18"/>
                <w:color w:val="auto"/>
              </w:rPr>
              <w:t>Income from discontinued operations</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2016.</w:t>
      </w:r>
    </w:p>
    <w:p>
      <w:pPr>
        <w:spacing w:after="0" w:line="12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determination of our provision for the first three quarters of fiscal 2016 and 2015 was based on our estimated annual effective tax rate adjusted for losses in certain jurisdictions for which no tax benefit can be recognized. The tax expense for the first three quarters of fiscal 2016 was primarily attributable to tax expense related to profitable foreign subsidiaries.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ind w:right="20" w:firstLine="405"/>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we accrued for was not material for the third quarter and first three quarters of fiscal 2016 and fiscal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2022. We lease approximately 129,000 square feet of office space in Santa Clara, California as our corporate headquarters. Beginning in the first quarter of fiscal 2015, approximately three-fourths of our Santa Clara headquarters building was vacated and made available for sublease. As of April 1, 2016, future minimum lease payments for our headquarters totaled $10.8 million.</w:t>
      </w:r>
    </w:p>
    <w:p>
      <w:pPr>
        <w:spacing w:after="0" w:line="13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April 1, 2016, our future minimum lease payments under all non-cancelable operating leases with an initial lease term in excess of one year were as follows:</w:t>
      </w:r>
    </w:p>
    <w:p>
      <w:pPr>
        <w:sectPr>
          <w:pgSz w:w="11900" w:h="16838" w:orient="portrait"/>
          <w:cols w:equalWidth="0" w:num="1">
            <w:col w:w="11420"/>
          </w:cols>
          <w:pgMar w:left="240" w:top="746" w:right="239" w:bottom="1440" w:gutter="0" w:footer="0" w:header="0"/>
        </w:sectPr>
      </w:pPr>
    </w:p>
    <w:p>
      <w:pPr>
        <w:spacing w:after="0" w:line="1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Fiscal Years Ending in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(one quarter remaining)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1080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5"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p>
      <w:pPr>
        <w:ind w:left="1335" w:hanging="1335"/>
        <w:spacing w:after="0"/>
        <w:tabs>
          <w:tab w:leader="none" w:pos="1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1.4</w:t>
      </w:r>
    </w:p>
    <w:p>
      <w:pPr>
        <w:spacing w:after="0" w:line="74" w:lineRule="exact"/>
        <w:rPr>
          <w:rFonts w:ascii="Arial" w:cs="Arial" w:eastAsia="Arial" w:hAnsi="Arial"/>
          <w:sz w:val="17"/>
          <w:szCs w:val="17"/>
          <w:color w:val="auto"/>
        </w:rPr>
      </w:pPr>
    </w:p>
    <w:p>
      <w:pPr>
        <w:ind w:left="1335"/>
        <w:spacing w:after="0"/>
        <w:rPr>
          <w:rFonts w:ascii="Arial" w:cs="Arial" w:eastAsia="Arial" w:hAnsi="Arial"/>
          <w:sz w:val="17"/>
          <w:szCs w:val="17"/>
          <w:color w:val="auto"/>
        </w:rPr>
      </w:pPr>
      <w:r>
        <w:rPr>
          <w:rFonts w:ascii="Arial" w:cs="Arial" w:eastAsia="Arial" w:hAnsi="Arial"/>
          <w:sz w:val="17"/>
          <w:szCs w:val="17"/>
          <w:color w:val="auto"/>
        </w:rPr>
        <w:t>4.1</w:t>
      </w:r>
    </w:p>
    <w:p>
      <w:pPr>
        <w:spacing w:after="0" w:line="74" w:lineRule="exact"/>
        <w:rPr>
          <w:rFonts w:ascii="Arial" w:cs="Arial" w:eastAsia="Arial" w:hAnsi="Arial"/>
          <w:sz w:val="17"/>
          <w:szCs w:val="17"/>
          <w:color w:val="auto"/>
        </w:rPr>
      </w:pPr>
    </w:p>
    <w:p>
      <w:pPr>
        <w:ind w:left="1335"/>
        <w:spacing w:after="0"/>
        <w:rPr>
          <w:rFonts w:ascii="Arial" w:cs="Arial" w:eastAsia="Arial" w:hAnsi="Arial"/>
          <w:sz w:val="17"/>
          <w:szCs w:val="17"/>
          <w:color w:val="auto"/>
        </w:rPr>
      </w:pPr>
      <w:r>
        <w:rPr>
          <w:rFonts w:ascii="Arial" w:cs="Arial" w:eastAsia="Arial" w:hAnsi="Arial"/>
          <w:sz w:val="17"/>
          <w:szCs w:val="17"/>
          <w:color w:val="auto"/>
        </w:rPr>
        <w:t>3.2</w:t>
      </w:r>
    </w:p>
    <w:p>
      <w:pPr>
        <w:spacing w:after="0" w:line="74" w:lineRule="exact"/>
        <w:rPr>
          <w:rFonts w:ascii="Arial" w:cs="Arial" w:eastAsia="Arial" w:hAnsi="Arial"/>
          <w:sz w:val="17"/>
          <w:szCs w:val="17"/>
          <w:color w:val="auto"/>
        </w:rPr>
      </w:pPr>
    </w:p>
    <w:p>
      <w:pPr>
        <w:ind w:left="1335"/>
        <w:spacing w:after="0"/>
        <w:rPr>
          <w:rFonts w:ascii="Arial" w:cs="Arial" w:eastAsia="Arial" w:hAnsi="Arial"/>
          <w:sz w:val="17"/>
          <w:szCs w:val="17"/>
          <w:color w:val="auto"/>
        </w:rPr>
      </w:pPr>
      <w:r>
        <w:rPr>
          <w:rFonts w:ascii="Arial" w:cs="Arial" w:eastAsia="Arial" w:hAnsi="Arial"/>
          <w:sz w:val="17"/>
          <w:szCs w:val="17"/>
          <w:color w:val="auto"/>
        </w:rPr>
        <w:t>3.2</w:t>
      </w:r>
    </w:p>
    <w:p>
      <w:pPr>
        <w:spacing w:after="0" w:line="74" w:lineRule="exact"/>
        <w:rPr>
          <w:rFonts w:ascii="Arial" w:cs="Arial" w:eastAsia="Arial" w:hAnsi="Arial"/>
          <w:sz w:val="17"/>
          <w:szCs w:val="17"/>
          <w:color w:val="auto"/>
        </w:rPr>
      </w:pPr>
    </w:p>
    <w:p>
      <w:pPr>
        <w:ind w:left="1335"/>
        <w:spacing w:after="0"/>
        <w:rPr>
          <w:rFonts w:ascii="Arial" w:cs="Arial" w:eastAsia="Arial" w:hAnsi="Arial"/>
          <w:sz w:val="17"/>
          <w:szCs w:val="17"/>
          <w:color w:val="auto"/>
        </w:rPr>
      </w:pPr>
      <w:r>
        <w:rPr>
          <w:rFonts w:ascii="Arial" w:cs="Arial" w:eastAsia="Arial" w:hAnsi="Arial"/>
          <w:sz w:val="17"/>
          <w:szCs w:val="17"/>
          <w:color w:val="auto"/>
        </w:rPr>
        <w:t>2.6</w:t>
      </w:r>
    </w:p>
    <w:p>
      <w:pPr>
        <w:spacing w:after="0" w:line="74" w:lineRule="exact"/>
        <w:rPr>
          <w:rFonts w:ascii="Arial" w:cs="Arial" w:eastAsia="Arial" w:hAnsi="Arial"/>
          <w:sz w:val="17"/>
          <w:szCs w:val="17"/>
          <w:color w:val="auto"/>
        </w:rPr>
      </w:pPr>
    </w:p>
    <w:p>
      <w:pPr>
        <w:ind w:left="1335"/>
        <w:spacing w:after="0"/>
        <w:rPr>
          <w:rFonts w:ascii="Arial" w:cs="Arial" w:eastAsia="Arial" w:hAnsi="Arial"/>
          <w:sz w:val="17"/>
          <w:szCs w:val="17"/>
          <w:color w:val="auto"/>
        </w:rPr>
      </w:pPr>
      <w:r>
        <w:rPr>
          <w:rFonts w:ascii="Arial" w:cs="Arial" w:eastAsia="Arial" w:hAnsi="Arial"/>
          <w:sz w:val="17"/>
          <w:szCs w:val="17"/>
          <w:color w:val="auto"/>
        </w:rPr>
        <w:t>0.4</w:t>
      </w:r>
    </w:p>
    <w:p>
      <w:pPr>
        <w:spacing w:after="0" w:line="88" w:lineRule="exact"/>
        <w:rPr>
          <w:sz w:val="20"/>
          <w:szCs w:val="20"/>
          <w:color w:val="auto"/>
        </w:rPr>
      </w:pPr>
    </w:p>
    <w:p>
      <w:pPr>
        <w:ind w:left="1255" w:hanging="1255"/>
        <w:spacing w:after="0"/>
        <w:tabs>
          <w:tab w:leader="none" w:pos="1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80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025" w:space="720"/>
            <w:col w:w="1675"/>
          </w:cols>
          <w:pgMar w:left="240" w:top="746" w:right="239" w:bottom="1440" w:gutter="0" w:footer="0" w:header="0"/>
          <w:type w:val="continuous"/>
        </w:sectPr>
      </w:pPr>
    </w:p>
    <w:p>
      <w:pPr>
        <w:spacing w:after="0" w:line="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w w:val="94"/>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6060" w:type="dxa"/>
            <w:vAlign w:val="bottom"/>
          </w:tcPr>
          <w:p>
            <w:pPr>
              <w:spacing w:after="0"/>
              <w:rPr>
                <w:sz w:val="13"/>
                <w:szCs w:val="13"/>
                <w:color w:val="auto"/>
              </w:rPr>
            </w:pPr>
          </w:p>
        </w:tc>
        <w:tc>
          <w:tcPr>
            <w:tcW w:w="86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rPr>
              <w:t>April 1,</w:t>
            </w:r>
          </w:p>
        </w:tc>
        <w:tc>
          <w:tcPr>
            <w:tcW w:w="420" w:type="dxa"/>
            <w:vAlign w:val="bottom"/>
          </w:tcPr>
          <w:p>
            <w:pPr>
              <w:spacing w:after="0"/>
              <w:rPr>
                <w:sz w:val="13"/>
                <w:szCs w:val="13"/>
                <w:color w:val="auto"/>
              </w:rPr>
            </w:pPr>
          </w:p>
        </w:tc>
        <w:tc>
          <w:tcPr>
            <w:tcW w:w="980" w:type="dxa"/>
            <w:vAlign w:val="bottom"/>
          </w:tcPr>
          <w:p>
            <w:pPr>
              <w:jc w:val="center"/>
              <w:ind w:left="362"/>
              <w:spacing w:after="0" w:line="153" w:lineRule="exact"/>
              <w:rPr>
                <w:sz w:val="20"/>
                <w:szCs w:val="20"/>
                <w:color w:val="auto"/>
              </w:rPr>
            </w:pPr>
            <w:r>
              <w:rPr>
                <w:rFonts w:ascii="Arial" w:cs="Arial" w:eastAsia="Arial" w:hAnsi="Arial"/>
                <w:sz w:val="14"/>
                <w:szCs w:val="14"/>
                <w:b w:val="1"/>
                <w:bCs w:val="1"/>
                <w:color w:val="auto"/>
                <w:w w:val="96"/>
              </w:rPr>
              <w:t>April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center"/>
              <w:ind w:right="324"/>
              <w:spacing w:after="0" w:line="153" w:lineRule="exact"/>
              <w:rPr>
                <w:sz w:val="20"/>
                <w:szCs w:val="20"/>
                <w:color w:val="auto"/>
              </w:rPr>
            </w:pPr>
            <w:r>
              <w:rPr>
                <w:rFonts w:ascii="Arial" w:cs="Arial" w:eastAsia="Arial" w:hAnsi="Arial"/>
                <w:sz w:val="14"/>
                <w:szCs w:val="14"/>
                <w:b w:val="1"/>
                <w:bCs w:val="1"/>
                <w:color w:val="auto"/>
                <w:w w:val="96"/>
              </w:rPr>
              <w:t>April 1,</w:t>
            </w:r>
          </w:p>
        </w:tc>
        <w:tc>
          <w:tcPr>
            <w:tcW w:w="340" w:type="dxa"/>
            <w:vAlign w:val="bottom"/>
          </w:tcPr>
          <w:p>
            <w:pPr>
              <w:spacing w:after="0"/>
              <w:rPr>
                <w:sz w:val="13"/>
                <w:szCs w:val="13"/>
                <w:color w:val="auto"/>
              </w:rPr>
            </w:pPr>
          </w:p>
        </w:tc>
        <w:tc>
          <w:tcPr>
            <w:tcW w:w="10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6"/>
              </w:rPr>
              <w:t>April 3,</w:t>
            </w:r>
          </w:p>
        </w:tc>
      </w:tr>
      <w:tr>
        <w:trPr>
          <w:trHeight w:val="192"/>
        </w:trPr>
        <w:tc>
          <w:tcPr>
            <w:tcW w:w="6060" w:type="dxa"/>
            <w:vAlign w:val="bottom"/>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r>
      <w:tr>
        <w:trPr>
          <w:trHeight w:val="196"/>
        </w:trPr>
        <w:tc>
          <w:tcPr>
            <w:tcW w:w="6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w:t>
            </w:r>
          </w:p>
        </w:tc>
      </w:tr>
      <w:tr>
        <w:trPr>
          <w:trHeight w:val="27"/>
        </w:trPr>
        <w:tc>
          <w:tcPr>
            <w:tcW w:w="60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April 1, 2016, we had outstanding purchase obligations with our suppliers or contract manufacturers of $22.5 million. In addition, we had contractual obligations of approximately $0.3 million associated with a major service agreement as of April 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April 1, 2016, we had no guarantees applicable to our debt arrangements.</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April 1, 2016, we had commercial commitments of $20.0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April 1, 2016,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April 1, 2016,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We are aggressively defending all current litigation matters. Although there can be no assurances and the outcome of these matters is not determinable, we currently believe that none of these claims or proceedings are likely to have a material adverse effect on our financial position. There are many uncertainties associated with any litigations and these matters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any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color w:val="auto"/>
        </w:rPr>
        <w:t>pending claims and litigation and may revise estimates accordingly. Such revisions in the estimates of the potential liabilities could have a material impact on our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April 7, 2016, our Board of Directors approved certain cost reduction initiatives that will result in annual cost savings between $6.0 million and $7.0 million. These initiatives will allow us to align our operating cost structure with current revenue levels due to the changing dynamics of the telecommunication market. These actions will impact various domestic and international locations and include a reduction in workforce of approximately 87 employees primarily in the services, sales and marketing, and general and administrative functions. We expect to incur total estimated restructuring charges of approximately $4.0 million related to employee severance, benefits and other related charges. We anticipate approximately 50% of the total estimated restructuring charges will be incurred in the fourth quarter of fiscal 2016 and the balance over the following three quarters. These cost reductions are expected to be substantially completed by March 31, 2017.</w:t>
      </w:r>
    </w:p>
    <w:p>
      <w:pPr>
        <w:spacing w:after="0" w:line="13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filed a proxy statement on April 29, 2016 to obtain stockholders’ approval to amend our Amended and Restated Certificate of Incorporation to effect a reverse stock split of our common stock whereby each 12 shares of common stock outstanding would be combined and converted into one share of common stock. The reverse stock split is being proposed to increase the market price of our common stock to satisfy the $1.00 minimum closing bid price required to avoid the delisting of our common stock from The Nasdaq Global Select Market. We expect this action to be completed in June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possible delisting of our stock from the Nasdaq Global Select Stock Market;</w:t>
      </w:r>
    </w:p>
    <w:p>
      <w:pPr>
        <w:spacing w:after="0" w:line="63" w:lineRule="exact"/>
        <w:rPr>
          <w:rFonts w:ascii="Arial" w:cs="Arial" w:eastAsia="Arial" w:hAnsi="Arial"/>
          <w:sz w:val="18"/>
          <w:szCs w:val="18"/>
          <w:i w:val="1"/>
          <w:iCs w:val="1"/>
          <w:color w:val="auto"/>
        </w:rPr>
      </w:pPr>
    </w:p>
    <w:p>
      <w:pPr>
        <w:ind w:left="980" w:right="80" w:hanging="324"/>
        <w:spacing w:after="0" w:line="277" w:lineRule="auto"/>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material weaknesses identified in our system of internal control and associated remediation efforts and investments and other actions needed to remedy those material weaknesses;</w:t>
      </w:r>
    </w:p>
    <w:p>
      <w:pPr>
        <w:spacing w:after="0" w:line="8"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2015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2015 and 2016 Results</w:t>
      </w:r>
    </w:p>
    <w:p>
      <w:pPr>
        <w:spacing w:after="0" w:line="17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condensed consolidated financial statements and the accompanying notes. In the discussion below, our fiscal year ending July 1, 2016 is referred to as “fiscal 2016” or “2016” and fiscal year ended July 3, 2015 is referred to as “fiscal 2015” or “2015”.</w:t>
      </w:r>
    </w:p>
    <w:p>
      <w:pPr>
        <w:spacing w:after="0" w:line="13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strategic focus in fiscal 2016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8" w:right="259" w:bottom="1440"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are focused on what we do well and what will differentiate us in the future. We will continue working to streamline management processes to attain the efficiency levels required by the markets in which we do business.</w:t>
      </w:r>
    </w:p>
    <w:p>
      <w:pPr>
        <w:spacing w:after="0" w:line="1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2015 Annual Report on Form 10-K, a number of factors could prevent us from achieving our objectives, including ongoing pricing pressures attributable to competition and macroeconomic conditions in the geographic markets that we service.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manage our sales activities primarily on a geographic basis in North America and three international geographic regions: (1) Africa and Middle East,</w:t>
      </w:r>
    </w:p>
    <w:p>
      <w:pPr>
        <w:spacing w:after="0" w:line="46" w:lineRule="exact"/>
        <w:rPr>
          <w:sz w:val="20"/>
          <w:szCs w:val="20"/>
          <w:color w:val="auto"/>
        </w:rPr>
      </w:pPr>
    </w:p>
    <w:p>
      <w:pPr>
        <w:ind w:right="26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 and Russia, and (3) Latin America and Asia Pacific. Revenue by region for the third quarter and first three quarters of fiscal 2016 and 2015 and the related changes were shown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revenue in North America was down $4.8 million, or 15.0%, during the third quarter of fiscal 2016 compared with the same quarter of fiscal 2015. North America revenue decreased primarily due to fewer orders from our wireless operator customers as they reached the end of their LTE network build cycle. In addition, we saw a small decrease in sales volume to government and utility markets. On a year-to-date basis, North America revenue decreased $20.5 million, or 17.9%, compared with the same period in fiscal 2015. The year-to-date decrease in North America was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mostly from the reductions in wireless operator purchases, along with smaller reductions in revenue from certain private network customers.</w:t>
      </w:r>
    </w:p>
    <w:p>
      <w:pPr>
        <w:spacing w:after="0" w:line="171"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Our revenue in Africa and Middle East decreased $4.8 million, or 20.9%, for the third quarter of fiscal 2016 compared with the same quarter of fiscal 2015. The decrease in revenue came from decreased sales volume to our private network customers in the Middle East and a small reduction across several customers in Africa in the quarter. On a year-to-date basis, Africa and Middle East revenue didn’t change significantly from the same period in fiscal 2015.</w:t>
      </w:r>
    </w:p>
    <w:p>
      <w:pPr>
        <w:spacing w:after="0" w:line="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Revenue in Europe and Russia decreased $3.9 million, or 47.6%, for the third quarter of fiscal 2016 compared with the same quarter of fiscal 2015. The decrease was mostly due to one customer where we completed a large set of orders in the third quarter of fiscal 2015, which was not repeated in fiscal 2016. On a year-to-date basis, revenue in Europe and Russia was down $11.7 million, or 41.6%, from the same period in fiscal 2015. The decrease came from lower sales to our large customers in the region compared with the same periods in fiscal 2015. Both the unfavorable currency value changes on our US dollar based prices and the limited customer capital spendings in the region contributed to the lower business volume during fiscal 2016.</w:t>
      </w:r>
    </w:p>
    <w:p>
      <w:pPr>
        <w:spacing w:after="0" w:line="10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Revenue in Latin America and Asia Pacific decreased $0.9 million, or 7.7%, during the third quarter of fiscal 2016 compared with the same quarter in fiscal 2015. The decrease was primarily due to fewer deliveries to customers in Latin America in the quarter, which was partially offset by increased sales in Asia Pacific compared with the same quarter of fiscal 2015. On a year-to-date basis, revenue in Latin America and Asia Pacific decreased $5.5 million, or 15.2%, from the same period in fiscal 2015, mostly due to lower product sales to several mid-size customers in Asia Pacific, partially offset by a large increase with one of our major customers in the region. The decrease was also attributable to a year-to-year reduction in sales to private network customers in Latin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revenue from product sales decreased $10.8 million, or 23.0%, for the third quarter of fiscal 2016 compared with the same quarter in fiscal 2015. Product volumes were lower in all sectors, but the majority of the decrease was in North America and Europe. Our services revenue decreased by $3.6 million, or 12.9%, during the third quarter of fiscal 2016 compared with the same quarter of fiscal 2015. Most of the reduction was with customers in the Middle East and Africa.</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revenue from product sales decreased by $24.7 million, or 15.5%, for the first three quarters of fiscal 2016 compared with the same period in fiscal</w:t>
      </w:r>
    </w:p>
    <w:p>
      <w:pPr>
        <w:spacing w:after="0" w:line="46"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2015. The decrease came primarily from weaker product sales in North America, Europe, Latin America and Asia Pacific, offset in part by stronger product sales in the Middle East and Africa. Our services revenue was down by $13.0 million, or 14.6%, during the first three quarters of fiscal 2016 compared with the same period of fiscal 2015, due to reduced service activities in Middle East and Africa, North America and Europe.</w:t>
      </w:r>
    </w:p>
    <w:p>
      <w:pPr>
        <w:spacing w:after="0" w:line="11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the third quarter and first three quarters of fiscal 2016 and 2015, MTN Group in Africa accounted for more than 10% of our total revenue. We have entered into separate and distinct contracts with MTN Group as well as separate arrangements with various MTN Group subsidiaries. The loss of all business from MTN Group could adversely affect our results of operations, cash flows and financial position.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9"/>
              </w:rPr>
              <w:t>April 1, 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April 3, 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w w:val="97"/>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w w:val="93"/>
              </w:rPr>
              <w:t>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3"/>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14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w w:val="97"/>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w w:val="93"/>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Gross margin for the third quarter and the first three quarters of fiscal 2016 decreased by $1.6 million, or 10.0%, and $10.2 million, or 16.5%, respectively, compared with the same periods in fiscal 2015. On the quarter-to-date basis, the decrease came primarily from reduced margin contribution from lower revenue volume that exceeded improved profit margins on sales and reduced supply chain costs. On a year-to-date basis, the decrease was mostly due to lower margin contribution on lower revenue volume that exceeded reduced supply chain costs.</w:t>
      </w:r>
    </w:p>
    <w:p>
      <w:pPr>
        <w:spacing w:after="0" w:line="13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Gross margin as a percentage of revenue increased in the third quarter of fiscal 2016 compared with the same quarter of fiscal 2015, primarily due to improved service margins and lower supply chain costs. Product margin as a percentage of product revenue decreased slightly from the prior year quarter primarily due to lower margins in our Middle East and Africa sectors. Service margin as a percentage of service revenue increased primarily due to more profitable service business in most sectors.</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On a year-to-date basis, gross margin as a percentage of revenue decreased slightly primarily due to lower gross margin rates in services businesses in all sectors compared with the same period in fiscal 2015. Product margin as a percentage of product revenue increased over the same period in fiscal 2015 primarily due to improved product margins in North America, and reduced supply chain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Quarters Ended</w:t>
            </w:r>
          </w:p>
        </w:tc>
        <w:tc>
          <w:tcPr>
            <w:tcW w:w="1020" w:type="dxa"/>
            <w:vAlign w:val="bottom"/>
            <w:tcBorders>
              <w:bottom w:val="single" w:sz="8" w:color="auto"/>
            </w:tcBorders>
          </w:tcPr>
          <w:p>
            <w:pPr>
              <w:spacing w:after="0"/>
              <w:rPr>
                <w:sz w:val="16"/>
                <w:szCs w:val="16"/>
                <w:color w:val="auto"/>
              </w:rPr>
            </w:pP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research and development (“R&amp;D”) expenses decreased $1.4 million, or 21.9%, and $3.7 million, or 19.1%, respectively, in the third quarter and the first three quarters of fiscal 2016 compared with the same periods in fiscal 2015. The decrease for the third quarter of fiscal 2016 compared with the same quarter in fiscal 2015 was primarily due to a $1.2 million reduction in personnel and related expenses and a $0.4 million decrease in facility expense as a result of the restructuring programs we implemented, partially offset by a $0.5 million increase in product development costs.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decrease for the first three quarters of fiscal 2016 compared with the same period in fiscal 2015 was primarily due to a $3.8 million reduction in personnel and related expenses, and a $1.3 million decrease in facility expense as a result of the restructuring programs, partially offset by a $1.5 million increase in our new product development costs. We continue to invest in new product features, new functionality and lower cost platforms that we believe will enable our product lines to retain their technology leads in a cost effective manner.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Quarters Ended</w:t>
            </w:r>
          </w:p>
        </w:tc>
        <w:tc>
          <w:tcPr>
            <w:tcW w:w="1020" w:type="dxa"/>
            <w:vAlign w:val="bottom"/>
            <w:tcBorders>
              <w:bottom w:val="single" w:sz="8" w:color="auto"/>
            </w:tcBorders>
          </w:tcPr>
          <w:p>
            <w:pPr>
              <w:spacing w:after="0"/>
              <w:rPr>
                <w:sz w:val="16"/>
                <w:szCs w:val="16"/>
                <w:color w:val="auto"/>
              </w:rPr>
            </w:pPr>
          </w:p>
        </w:tc>
      </w:tr>
      <w:tr>
        <w:trPr>
          <w:trHeight w:val="264"/>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w w:val="93"/>
              </w:rPr>
              <w:t>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w w:val="93"/>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486"/>
        </w:trPr>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3" w:name="page24"/>
    <w:bookmarkEnd w:id="23"/>
    <w:p>
      <w:pPr>
        <w:ind w:right="60" w:firstLine="432"/>
        <w:spacing w:after="0" w:line="297" w:lineRule="auto"/>
        <w:rPr>
          <w:sz w:val="20"/>
          <w:szCs w:val="20"/>
          <w:color w:val="auto"/>
        </w:rPr>
      </w:pPr>
      <w:r>
        <w:rPr>
          <w:rFonts w:ascii="Arial" w:cs="Arial" w:eastAsia="Arial" w:hAnsi="Arial"/>
          <w:sz w:val="16"/>
          <w:szCs w:val="16"/>
          <w:color w:val="auto"/>
        </w:rPr>
        <w:t>Our selling and administrative expenses declined $1.8 million, or 10.0%, and $8.9 million, or 15.2%, respectively, in the third quarter and the first three quarters of fiscal 2016 compared with the same periods in fiscal 2015. The decrease for the third quarter of fiscal 2016 compared with the same quarter in fiscal 2015 was primarily due to a $1.1 million decrease in personnel and related expenses as a result of the restructuring programs we implemented, a $0.7 million decrease in professional fees, a $0.2 million decrease in shared-based compensation, and a $0.4 million decrease in agent commissions fees, partially offset by a $0.8 million increase in bad debt expenses. We will continue to seek ways to improve our operating efficiency.</w:t>
      </w:r>
    </w:p>
    <w:p>
      <w:pPr>
        <w:spacing w:after="0" w:line="10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decrease for the first three quarters of fiscal 2016 compared with the same period in fiscal 2015 was primarily due to a $2.9 million decrease in personnel and related expenses and a $0.3 million decrease in share-based compensation expenses due to our restructuring programs, a $4.9 million decrease in professional fees primarily associated with the annual audit of our fiscal 2014 financial statements, and a $0.5 million decrease in agent commission fees due to a decrease in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restructuring charges by plan for the third quarter and first three quarters of fiscal 2016 and 2015 are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jc w:val="center"/>
              <w:ind w:right="374"/>
              <w:spacing w:after="0"/>
              <w:rPr>
                <w:sz w:val="20"/>
                <w:szCs w:val="20"/>
                <w:color w:val="auto"/>
              </w:rPr>
            </w:pPr>
            <w:r>
              <w:rPr>
                <w:rFonts w:ascii="Arial" w:cs="Arial" w:eastAsia="Arial" w:hAnsi="Arial"/>
                <w:sz w:val="14"/>
                <w:szCs w:val="14"/>
                <w:b w:val="1"/>
                <w:bCs w:val="1"/>
                <w:color w:val="auto"/>
                <w:w w:val="91"/>
              </w:rPr>
              <w:t>(In millions, except percentages)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jc w:val="center"/>
              <w:ind w:right="374"/>
              <w:spacing w:after="0"/>
              <w:rPr>
                <w:sz w:val="20"/>
                <w:szCs w:val="20"/>
                <w:color w:val="auto"/>
              </w:rPr>
            </w:pPr>
            <w:r>
              <w:rPr>
                <w:rFonts w:ascii="Arial" w:cs="Arial" w:eastAsia="Arial" w:hAnsi="Arial"/>
                <w:sz w:val="18"/>
                <w:szCs w:val="18"/>
                <w:color w:val="auto"/>
                <w:w w:val="90"/>
              </w:rPr>
              <w:t>Fiscal 2015-2016 Plan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jc w:val="center"/>
              <w:ind w:right="374"/>
              <w:spacing w:after="0"/>
              <w:rPr>
                <w:sz w:val="20"/>
                <w:szCs w:val="20"/>
                <w:color w:val="auto"/>
              </w:rPr>
            </w:pPr>
            <w:r>
              <w:rPr>
                <w:rFonts w:ascii="Arial" w:cs="Arial" w:eastAsia="Arial" w:hAnsi="Arial"/>
                <w:sz w:val="18"/>
                <w:szCs w:val="18"/>
                <w:color w:val="auto"/>
                <w:w w:val="90"/>
              </w:rPr>
              <w:t>Fiscal 2014-2015 Plan</w:t>
            </w: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jc w:val="center"/>
              <w:ind w:right="374"/>
              <w:spacing w:after="0"/>
              <w:rPr>
                <w:sz w:val="20"/>
                <w:szCs w:val="20"/>
                <w:color w:val="auto"/>
              </w:rPr>
            </w:pPr>
            <w:r>
              <w:rPr>
                <w:rFonts w:ascii="Arial" w:cs="Arial" w:eastAsia="Arial" w:hAnsi="Arial"/>
                <w:sz w:val="18"/>
                <w:szCs w:val="18"/>
                <w:color w:val="auto"/>
                <w:w w:val="90"/>
              </w:rPr>
              <w:t>Fiscal 2013-2014 Plan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(75.0)%  $</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w:t>
      </w:r>
    </w:p>
    <w:p>
      <w:pPr>
        <w:spacing w:after="0" w:line="116"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During the third quarter and the first three quarters of fiscal 2016, we recorded $0.3 million of severance costs, primarily related to the employee termination charges under the Fiscal 2015-2016 Plan and an additional $0.5 million of facility impairment costs for the Santa Clara headquarters building mainly related to the delayed sublease commencement date under the Fiscal 2014-2015 Plan and the Fiscal 2013-2014 Plan.</w:t>
      </w:r>
    </w:p>
    <w:p>
      <w:pPr>
        <w:spacing w:after="0" w:line="93"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During the third quarter of fiscal 2015, we recorded $3.2 million of restructuring costs primarily related to the employee termination charges under the Fiscal 2015-2016 Plan. Restructuring charges for the first three quarters of fiscal 2015 also included $1.5 million of facilities charge related to the delayed sublease commencement date of our Santa Clara headquarters building under the Fiscal 2014-2015 Plan and the Fiscal 2013-2014 Plan.</w:t>
      </w:r>
    </w:p>
    <w:p>
      <w:pPr>
        <w:spacing w:after="0" w:line="9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April 1, 2016, we have substantially completed our activities under the Fiscal 2014-2015 Plan and Fiscal 2013-2014 Plan, and intend to complete the remaining restructuring activities under the Fiscal 2015-2016 Plan by the end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April 1, 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April 3, 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 under the SVB Credit Facility and discounts on customer letters of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Three Quarters Ended</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22"/>
                <w:szCs w:val="22"/>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w w:val="99"/>
              </w:rPr>
              <w:t>April 1, 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 2015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2016</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 2015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before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  $</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9"/>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p>
    <w:p>
      <w:pPr>
        <w:ind w:left="200" w:right="9400" w:hanging="165"/>
        <w:spacing w:after="0" w:line="291" w:lineRule="auto"/>
        <w:tabs>
          <w:tab w:leader="none" w:pos="233"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loss from continuing operations before income</w:t>
      </w:r>
    </w:p>
    <w:tbl>
      <w:tblPr>
        <w:tblLayout w:type="fixed"/>
        <w:tblInd w:w="20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taxes</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(5.3)%</w:t>
            </w: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(12.9)%</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(6.4)%</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16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Three Quarters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April 1, 2016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April 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Our discontinued operations consist of the WiMAX business, which was sold on September 2, 2011. The income recognized in the first three quarters of fiscal 2016 and fiscal 2015 were primarily due to recovery of certain WiMAX customer receivables that were previously written down. The income recognized in the first three quarters of fiscal 2015 also included a $0.1 million write-off of accrued liabilities due to the buyer.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As of April 1, 2016, our total cash and cash equivalents were $39.7 million of which $26.4 million, or 67%, was held by entities outside the United States. Of the amount of cash and cash equivalents held by our foreign subsidiaries at April 1, 2016, $19.7 million was held in jurisdictions where our undistributed earnings are indefinitely reinvested, and if repatriated, would be subject to U.S. taxes which are currently nominal.</w:t>
      </w:r>
    </w:p>
    <w:p>
      <w:pPr>
        <w:spacing w:after="0" w:line="11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As of April 1, 2016, our principal sources of liquidity consisted of the $39.7 million in cash and cash equivalents, $7.6 million of available credit under our $30.0 million SVB Credit Facility which expires on September 26, 2016 and future collections of receivables from customers. As of April 1, 2016, we were in compliance with the amended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three quarters of fiscal 2016, our total cash and cash equivalents increased by $5.0 million primarily due to $7.1 million of cash provided by operating activities, partially offset by $1.3 million of cash used for capital expenditures and $0.8 million effect of exchange rate changes on cash and cash equivalents.</w:t>
      </w:r>
    </w:p>
    <w:p>
      <w:pPr>
        <w:spacing w:after="0" w:line="1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Cash provided by operating activities was $7.1 million in the first three quarters of fiscal 2016 as compared to cash used in operating activities of $9.5 million in the first three quarters of fiscal 2015. In the condensed consolidated statements of cash flows, cash provided by operating activities is presented as net loss adjusted for non-cash items and changes in operating assets and liabilities. Net loss decreased by $8.6 million for the first three quarters of fiscal 2016 as compared to the same period in fiscal 2015. The net contribution of non-cash items to cash provided by operating activities decreased by $0.5 million for the first three quarters of fiscal 2016 as compared to the same period in fiscal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right="260"/>
        <w:spacing w:after="0" w:line="277" w:lineRule="auto"/>
        <w:rPr>
          <w:sz w:val="20"/>
          <w:szCs w:val="20"/>
          <w:color w:val="auto"/>
        </w:rPr>
      </w:pPr>
      <w:r>
        <w:rPr>
          <w:rFonts w:ascii="Arial" w:cs="Arial" w:eastAsia="Arial" w:hAnsi="Arial"/>
          <w:sz w:val="18"/>
          <w:szCs w:val="18"/>
          <w:color w:val="auto"/>
        </w:rPr>
        <w:t>2015. The net contribution of changes in operating assets and liabilities to cash provided by operating activities increased by $8.5 million for the first three quarters of fiscal 2016 as compared to the same period in fiscal 2015.</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$0.5 million decrease in the net contribution of non-cash items to cash provided by operating activities was primarily due to a $1.4 million decrease in charges for inventory write-downs, a $0.3 million decrease in amortization of identifiable intangible assets as they were fully amortized in fiscal 2015, and $0.3 million lower expenses in both depreciation and amortization of property, plant and equipment and share-based compensation. These decreases were offset by a $0.6 million increase in provision for receivables, a $0.5 million increase in deferred income taxes, and a $0.6 million increase in loss on disposition of property, plant and equipment.</w:t>
      </w:r>
    </w:p>
    <w:p>
      <w:pPr>
        <w:spacing w:after="0" w:line="134" w:lineRule="exact"/>
        <w:rPr>
          <w:sz w:val="20"/>
          <w:szCs w:val="20"/>
          <w:color w:val="auto"/>
        </w:rPr>
      </w:pPr>
    </w:p>
    <w:p>
      <w:pPr>
        <w:jc w:val="both"/>
        <w:ind w:right="20" w:firstLine="432"/>
        <w:spacing w:after="0" w:line="291" w:lineRule="auto"/>
        <w:rPr>
          <w:sz w:val="20"/>
          <w:szCs w:val="20"/>
          <w:color w:val="auto"/>
        </w:rPr>
      </w:pPr>
      <w:r>
        <w:rPr>
          <w:rFonts w:ascii="Arial" w:cs="Arial" w:eastAsia="Arial" w:hAnsi="Arial"/>
          <w:sz w:val="16"/>
          <w:szCs w:val="16"/>
          <w:color w:val="auto"/>
        </w:rPr>
        <w:t>Changes in operating assets and liabilities resulted in a net increase of $8.5 million to cash provided by operating activities for the first three quarters of fiscal 2016 as compared to the same period in 2015. Our net receivable balance fluctuates from period to period, depending on the amount and timing of sales and billing activities as well as cash collections. The change in unbilled costs was due to the timing of billing of projects. The fluctuations in accounts payable and accrued expenses was primarily due to the timing of vendor payments. The decrease in inventories was primarily due to the timing of customer shipments offset by higher deferred cost of sales associated with higher unearned income on projects. The decrease in customer service inventories was primarily due to usage of parts to fulfill warranty obligations. The decrease in customer advance payments and unearned income was due to the timing of revenue recognition on several large contracts. We used $2.1 million in cash during the first three quarters of fiscal 2016 on expenses related to restructuring liabilities.</w:t>
      </w:r>
    </w:p>
    <w:p>
      <w:pPr>
        <w:spacing w:after="0" w:line="113"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During the remainder of fiscal year 2016, we expect to spend approximately $0.7 million for capital expenditures, primarily on equipment for development and manufacturing of new products and to support customer managed services.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September 26, 2016.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540" w:firstLine="432"/>
        <w:spacing w:after="0" w:line="342" w:lineRule="auto"/>
        <w:rPr>
          <w:sz w:val="20"/>
          <w:szCs w:val="20"/>
          <w:color w:val="auto"/>
        </w:rPr>
      </w:pPr>
      <w:r>
        <w:rPr>
          <w:rFonts w:ascii="Arial" w:cs="Arial" w:eastAsia="Arial" w:hAnsi="Arial"/>
          <w:sz w:val="16"/>
          <w:szCs w:val="16"/>
          <w:color w:val="auto"/>
        </w:rPr>
        <w:t>We had liabilities for restructuring activities totaling $3.2 million as of April 1, 2016, $2.7 million of which was classified as current liability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amounts disclosed in our fiscal 2015 Annual Report on Form 10-K include our commercial commitments and contractual obligations. During the first three quarters of fiscal 2016,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2015 Annual Report on Form 10-K. Please refer to Note 11, “Commitments and Contingencies” in this Quarterly Report on Form 10-Q.</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2015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Prior to the fourth quarter of fiscal 2015, these derivatives were designated as cash flow hedges and were carried at fair value.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As a result, the foreign exchange hedges no longer qualified as cash flow hedges. The changes in fair value related to the hedges were recorded in cost of revenues on our statements of operations.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April 1, 2016, we had foreign currency forward contracts outstanding with a total notional amount of $3.0 million consisting of 3 different currencies. The following is a summary of the gross notional amount of our outstanding contracts grouped by the underlying foreign currency as of April 1, 2016: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20"/>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Pr>
          <w:p>
            <w:pPr>
              <w:spacing w:after="0"/>
              <w:rPr>
                <w:sz w:val="16"/>
                <w:szCs w:val="16"/>
                <w:color w:val="auto"/>
              </w:rPr>
            </w:pPr>
          </w:p>
        </w:tc>
        <w:tc>
          <w:tcPr>
            <w:tcW w:w="1160" w:type="dxa"/>
            <w:vAlign w:val="bottom"/>
          </w:tcPr>
          <w:p>
            <w:pPr>
              <w:jc w:val="center"/>
              <w:ind w:right="33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 dollar</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1700" w:type="dxa"/>
            <w:vAlign w:val="bottom"/>
          </w:tcPr>
          <w:p>
            <w:pPr>
              <w:jc w:val="right"/>
              <w:ind w:right="12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foreign exchange loss recorded in our condensed consolidated statements of operations during the third quarter and first three quarters of fiscal 2016 and 2015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Quarters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left="282"/>
              <w:spacing w:after="0" w:line="153" w:lineRule="exact"/>
              <w:rPr>
                <w:sz w:val="20"/>
                <w:szCs w:val="20"/>
                <w:color w:val="auto"/>
              </w:rPr>
            </w:pPr>
            <w:r>
              <w:rPr>
                <w:rFonts w:ascii="Arial" w:cs="Arial" w:eastAsia="Arial" w:hAnsi="Arial"/>
                <w:sz w:val="14"/>
                <w:szCs w:val="14"/>
                <w:b w:val="1"/>
                <w:bCs w:val="1"/>
                <w:color w:val="auto"/>
                <w:w w:val="96"/>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6"/>
              </w:rPr>
              <w:t>April 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282"/>
              <w:spacing w:after="0" w:line="153" w:lineRule="exact"/>
              <w:rPr>
                <w:sz w:val="20"/>
                <w:szCs w:val="20"/>
                <w:color w:val="auto"/>
              </w:rPr>
            </w:pPr>
            <w:r>
              <w:rPr>
                <w:rFonts w:ascii="Arial" w:cs="Arial" w:eastAsia="Arial" w:hAnsi="Arial"/>
                <w:sz w:val="14"/>
                <w:szCs w:val="14"/>
                <w:b w:val="1"/>
                <w:bCs w:val="1"/>
                <w:color w:val="auto"/>
                <w:w w:val="96"/>
              </w:rPr>
              <w:t>April 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gain (loss), net</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April 1, 2016 would have an impact of approximately $0.3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27" w:name="page28"/>
    <w:bookmarkEnd w:id="27"/>
    <w:p>
      <w:pPr>
        <w:ind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three quarters of fiscal 2016 was $0.7 million and was included as a component of stockholders’ equity. As of April 1, 2016 and July 3, 2015, the cumulative translation adjustment decreased our stockholders’ equity by $9.2 million and $8.5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We had $39.7 million in total cash and cash equivalents as of April 1, 2016. Cash equivalents totaled $13.8 million as of April 1, 2016 and were comprised of money market funds and bank certificates of deposit. Cash equivalents have been recorded at fair value on our balance sheet.</w:t>
      </w:r>
    </w:p>
    <w:p>
      <w:pPr>
        <w:spacing w:after="0" w:line="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April 1, 2016 was forty three days, and these investments had an average yield of 3.99% per annum. A 10% change in interest rates on our cash and cash equivalents is not expected to have a material impact on our financial position,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three quarters of fiscal 2016, we had $9.0 million of borrowings outstanding under the SVB Credit Facility that incurred interest at the prime rate plus a spread of 0.50% to 1.50%. During the first three quarters of fiscal 2016, our weighted average interest rate was 3.91% and the interest expense on these borrowings was insignificant.</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Weaknesses on Internal Control over Financial Reporting</w:t>
      </w:r>
    </w:p>
    <w:p>
      <w:pPr>
        <w:spacing w:after="0" w:line="175"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28" w:name="page29"/>
    <w:bookmarkEnd w:id="28"/>
    <w:p>
      <w:pPr>
        <w:ind w:right="220"/>
        <w:spacing w:after="0" w:line="277" w:lineRule="auto"/>
        <w:rPr>
          <w:sz w:val="20"/>
          <w:szCs w:val="20"/>
          <w:color w:val="auto"/>
        </w:rPr>
      </w:pPr>
      <w:r>
        <w:rPr>
          <w:rFonts w:ascii="Arial" w:cs="Arial" w:eastAsia="Arial" w:hAnsi="Arial"/>
          <w:sz w:val="18"/>
          <w:szCs w:val="18"/>
          <w:color w:val="auto"/>
        </w:rPr>
        <w:t>based on the criteria set forth in the Internal Control - Integrated Framework (2013) issued by the Committee of Sponsoring Organizations of the Treadway Commission.</w:t>
      </w:r>
    </w:p>
    <w:p>
      <w:pPr>
        <w:spacing w:after="0" w:line="116"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1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connection with the Company’s assessment of the effectiveness of internal control over financial reporting, the Company identified the following material weaknesses that existed as of July 3, 2015 that continued to exist as of April 1, 2016:</w:t>
      </w:r>
    </w:p>
    <w:p>
      <w:pPr>
        <w:spacing w:after="0" w:line="116" w:lineRule="exact"/>
        <w:rPr>
          <w:sz w:val="20"/>
          <w:szCs w:val="20"/>
          <w:color w:val="auto"/>
        </w:rPr>
      </w:pPr>
    </w:p>
    <w:p>
      <w:pPr>
        <w:ind w:left="980" w:right="20" w:hanging="324"/>
        <w:spacing w:after="0" w:line="26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COSO Components - Risk Assessment and Monitoring Activities. </w:t>
      </w:r>
      <w:r>
        <w:rPr>
          <w:rFonts w:ascii="Arial" w:cs="Arial" w:eastAsia="Arial" w:hAnsi="Arial"/>
          <w:sz w:val="17"/>
          <w:szCs w:val="17"/>
          <w:color w:val="auto"/>
        </w:rPr>
        <w:t>We determined that our controls pertaining to risk assessment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monitoring activities did not operate 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(b) segregation of duty conflicts and the adequacy and effectiveness of compensating controls; and (c) certain processes, further noted in the Control Activities discussion below, resulting in inadequately designed control activities; and (ii) with respect to monitoring activities, (a) we did not design and maintain effective controls for the review, supervision and monitoring of our international accounting operations and for evaluating the adequacy of our internal control over financial reporting, including adequate documentation of control performance; and (b) there were insufficient procedures to effectively determine the adequacy of our internal control over financial reporting.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errors that were determined to be immaterial to the prior period financial statements.</w:t>
      </w:r>
    </w:p>
    <w:p>
      <w:pPr>
        <w:spacing w:after="0" w:line="133" w:lineRule="exact"/>
        <w:rPr>
          <w:rFonts w:ascii="Arial" w:cs="Arial" w:eastAsia="Arial" w:hAnsi="Arial"/>
          <w:sz w:val="17"/>
          <w:szCs w:val="17"/>
          <w:color w:val="auto"/>
        </w:rPr>
      </w:pPr>
    </w:p>
    <w:p>
      <w:pPr>
        <w:jc w:val="both"/>
        <w:ind w:left="980" w:right="30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Account Reconciliations. </w:t>
      </w:r>
      <w:r>
        <w:rPr>
          <w:rFonts w:ascii="Arial" w:cs="Arial" w:eastAsia="Arial" w:hAnsi="Arial"/>
          <w:sz w:val="18"/>
          <w:szCs w:val="18"/>
          <w:color w:val="auto"/>
        </w:rPr>
        <w:t>The design and operating effectiveness of our controls were inadequate to ensure that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were reviewed and approved for accuracy and completeness and that we identified, accumulated and documented appropriate information necessary to support account balances.</w:t>
      </w:r>
    </w:p>
    <w:p>
      <w:pPr>
        <w:spacing w:after="0" w:line="127"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Recognition. </w:t>
      </w:r>
      <w:r>
        <w:rPr>
          <w:rFonts w:ascii="Arial" w:cs="Arial" w:eastAsia="Arial" w:hAnsi="Arial"/>
          <w:sz w:val="18"/>
          <w:szCs w:val="18"/>
          <w:color w:val="auto"/>
        </w:rPr>
        <w:t>The design and operating effectiveness of our controls were inadequate to ensure that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all negotiated customer discounts were agreed upon with the customer in advance of recognizing revenue to ensure that the reported amount and timing of revenue recognition was accurate.</w:t>
      </w:r>
    </w:p>
    <w:p>
      <w:pPr>
        <w:spacing w:after="0" w:line="12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Cut-off Procedures. </w:t>
      </w:r>
      <w:r>
        <w:rPr>
          <w:rFonts w:ascii="Arial" w:cs="Arial" w:eastAsia="Arial" w:hAnsi="Arial"/>
          <w:sz w:val="18"/>
          <w:szCs w:val="18"/>
          <w:color w:val="auto"/>
        </w:rPr>
        <w:t>The design and operating effectiveness of our controls were inadequate to ensure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recognized on shipments made under FOB Destination terms was recognized in the proper period.</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Project Accruals. </w:t>
      </w:r>
      <w:r>
        <w:rPr>
          <w:rFonts w:ascii="Arial" w:cs="Arial" w:eastAsia="Arial" w:hAnsi="Arial"/>
          <w:sz w:val="18"/>
          <w:szCs w:val="18"/>
          <w:color w:val="auto"/>
        </w:rPr>
        <w:t>The design and operating effectiveness of our controls were inadequate to ensure that the project accrual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were accurate.</w:t>
      </w:r>
    </w:p>
    <w:p>
      <w:pPr>
        <w:spacing w:after="0" w:line="116"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Control Activities - Inventory Existence</w:t>
      </w:r>
      <w:r>
        <w:rPr>
          <w:rFonts w:ascii="Arial" w:cs="Arial" w:eastAsia="Arial" w:hAnsi="Arial"/>
          <w:sz w:val="16"/>
          <w:szCs w:val="16"/>
          <w:color w:val="auto"/>
        </w:rPr>
        <w:t>. The design and operating effectiveness of our controls over inventory cycle counts and inventory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consigned locations were inadequate to ensure that the underlying quantities in support of inventory balances were accurate.</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Errors identified in our financial statements and the aforementioned material weaknesses resulted in a reasonable possibility that a material misstatement of our annual or interim consolidated financial statements would not be prevented or detected on a timely basis.</w:t>
      </w:r>
    </w:p>
    <w:p>
      <w:pPr>
        <w:spacing w:after="0" w:line="116"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material weaknesses identified by management could result in a material misstatement to our annual or interim financial statements that would not be prevented or detected. Management has concluded that our internal control over financial reporting was not effective as of April 1, 2016, due to the material weaknesses identified. We reviewed the results of management’s assessment with the Audit Committee of the Company’s Board of Directors.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11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April 1, 2016,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April 1, 2016, our disclosure controls and procedures were not effective at the reasonable assurance level.</w:t>
      </w:r>
    </w:p>
    <w:p>
      <w:pPr>
        <w:spacing w:after="0" w:line="13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Subsequent to our July 3, 2015 fiscal year end, we began taking a number of actions, including designing and implementing new controls and revising existing controls, in order to remediate the material weaknesses described above. We expect to continue our remediation efforts, including testing of the operating effectiveness of new controls, as described below under “Remedial Actions to Address Material Weaknesses” with respect to the material weaknesses identified during the fiscal year ended July 3, 2015 and provide an update on the status of our remediation activities on a quarterly basis.</w:t>
      </w:r>
    </w:p>
    <w:p>
      <w:pPr>
        <w:spacing w:after="0" w:line="100"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1, 2016 that have materially affected, or are reasonably likely to materially affect, our internal control over financial reporting, other than progress with respect to the implementation of certain remediation efforts,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17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continue to evaluate the effectiveness of our remediation efforts, including demonstrating that the new or improved controls operate effectively for a reasonable period of time. If appropriate, we expect to make further changes to our internal controls with the hiring of a new Vice President, Corporate Controller and Principal Accounting Officer and a Senior Director, External Reporting and Compliance. The following actions have been taken, are in process of being taken or we expect to take as soon as practicable, to strengthen our controls and organizational structure:</w:t>
      </w:r>
    </w:p>
    <w:p>
      <w:pPr>
        <w:spacing w:after="0" w:line="117" w:lineRule="exact"/>
        <w:rPr>
          <w:sz w:val="20"/>
          <w:szCs w:val="20"/>
          <w:color w:val="auto"/>
        </w:rPr>
      </w:pPr>
    </w:p>
    <w:p>
      <w:pPr>
        <w:ind w:left="980" w:right="10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providing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27" w:lineRule="exact"/>
        <w:rPr>
          <w:sz w:val="20"/>
          <w:szCs w:val="20"/>
          <w:color w:val="auto"/>
        </w:rPr>
      </w:pPr>
    </w:p>
    <w:p>
      <w:pPr>
        <w:ind w:left="980" w:right="20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enhancing our risk assessment process. With regard to segregation of duty (“SOD”) conflicts associated with our worldwide enterprise resource planning system, we are streamlining and narrowing user system responsibilities in order to reduce the number of SOD conflicts and are developing processes to monitor all remaining SOD conflicts on an ongoing basis. With regard to control design deficiencies, we plan to perform a more robust assessment of risks impacting our accounting and financial reporting and implement new controls or revise existing controls to address such risks.</w:t>
      </w:r>
    </w:p>
    <w:p>
      <w:pPr>
        <w:spacing w:after="0" w:line="134" w:lineRule="exact"/>
        <w:rPr>
          <w:rFonts w:ascii="Arial" w:cs="Arial" w:eastAsia="Arial" w:hAnsi="Arial"/>
          <w:sz w:val="18"/>
          <w:szCs w:val="18"/>
          <w:color w:val="auto"/>
        </w:rPr>
      </w:pPr>
    </w:p>
    <w:p>
      <w:pPr>
        <w:ind w:left="980" w:right="120" w:hanging="324"/>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implementing processes to improve monitoring activities involving the review and supervision of our accounting operations. We expect this to involve (i) implementing increased and enhanced balance sheet reviews to allow more focus on quality account reconciliations; (ii) enhancing monitoring over international activities; and (iii) enhancing monitoring of our project accrual balances.</w:t>
      </w:r>
    </w:p>
    <w:p>
      <w:pPr>
        <w:spacing w:after="0" w:line="111"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improve the accuracy of our revenue cut-off procedures, we are expanding the time period over which FOB Destination shipments are reviewed at quarter-end to provide additional assurance that revenue on all shipments made during the cut-off period is recognized in the proper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0" w:name="page31"/>
    <w:bookmarkEnd w:id="30"/>
    <w:p>
      <w:pPr>
        <w:ind w:left="324" w:hanging="324"/>
        <w:spacing w:after="0" w:line="279" w:lineRule="auto"/>
        <w:tabs>
          <w:tab w:leader="none" w:pos="3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improve the accuracy of our inventory quantities, we are reviewing (i) our inventory cycle count procedures; (ii) our review and supervision of such procedures; (iii) our controls over consigned inventory locations including procedures to validate inventory quantities held at third-party locations; and (iv) our monitoring activities specifically pertaining to cycle counts to ensure that our cycle count procedures address all relevant risks, are adequately documented and are sufficiently supervised and monitored on an ongoing basis.</w:t>
      </w:r>
    </w:p>
    <w:p>
      <w:pPr>
        <w:spacing w:after="0" w:line="200" w:lineRule="exact"/>
        <w:rPr>
          <w:sz w:val="20"/>
          <w:szCs w:val="20"/>
          <w:color w:val="auto"/>
        </w:rPr>
      </w:pPr>
    </w:p>
    <w:p>
      <w:pPr>
        <w:spacing w:after="0" w:line="37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04"/>
          </w:cols>
          <w:pgMar w:left="896" w:top="746" w:right="299" w:bottom="1440" w:gutter="0" w:footer="0" w:header="0"/>
        </w:sectPr>
      </w:pPr>
    </w:p>
    <w:bookmarkStart w:id="31" w:name="page32"/>
    <w:bookmarkEnd w:id="31"/>
    <w:p>
      <w:pPr>
        <w:jc w:val="center"/>
        <w:ind w:right="-5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11,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2015 Annual Report on Form 10-K.</w:t>
      </w:r>
    </w:p>
    <w:p>
      <w:pPr>
        <w:spacing w:after="0" w:line="116"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With the exception of the risk described below, we do not believe that there have been any other material additions or changes to the risk factors previously disclosed in our fiscal 2015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33"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our common stock is delisted from the Nasdaq Stock Market, our business, financial condition, results of operations and stock price could be adversely affected, the liquidity of our stock and our ability to obtain financing could be impaired, and, we may become subject to shareholder claims.</w:t>
      </w:r>
    </w:p>
    <w:p>
      <w:pPr>
        <w:spacing w:after="0" w:line="60" w:lineRule="exact"/>
        <w:rPr>
          <w:sz w:val="20"/>
          <w:szCs w:val="20"/>
          <w:color w:val="auto"/>
        </w:rPr>
      </w:pPr>
    </w:p>
    <w:p>
      <w:pPr>
        <w:ind w:right="40" w:firstLine="455"/>
        <w:spacing w:after="0" w:line="307" w:lineRule="auto"/>
        <w:rPr>
          <w:sz w:val="20"/>
          <w:szCs w:val="20"/>
          <w:color w:val="auto"/>
        </w:rPr>
      </w:pPr>
      <w:r>
        <w:rPr>
          <w:rFonts w:ascii="Arial" w:cs="Arial" w:eastAsia="Arial" w:hAnsi="Arial"/>
          <w:sz w:val="16"/>
          <w:szCs w:val="16"/>
          <w:color w:val="auto"/>
        </w:rPr>
        <w:t>On January 4, 2016, we received a notice from the Nasdaq Stock Market dated December 31, 2015 notifying us that we were not in compliance with Nasdaq Listing Rule 5450(a)(1) because our common stock failed to maintain a minimum closing bid price of $1.00 for 30 consecutive business days. In accordance with Nasdaq Listing Rule 5810(c)(3)(A), we have 180 calendar days, or until July 5, 2016, to regain compliance with the Rule. If at any time before that date the bid price of our common stock closes at $1.00 per share or more for a minimum of 10 consecutive business days, Nasdaq will notify us that we have achieved compliance with the Rule. If we do not regain compliance, then Nasdaq will notify us that our common stock will be delisted from the Nasdaq Global Select Market, unless we request a hearing before a Nasdaq Hearings Panel. Alternatively, we may apply to transfer our common stock to the Nasdaq Capital Market if we satisfy the requirements for initial listing set forth the NASDAQ Listing Rule 5505(a), with the exception of the minimum bid price. If an application for transfer were approved, we would have an additional 180 calendar days to comply with the Rule in order for our common stock to remain listed on the Nasdaq Capital Market. We cannot provide any assurance that our stock price will recover within the permitted grace period.</w:t>
      </w:r>
    </w:p>
    <w:p>
      <w:pPr>
        <w:spacing w:after="0" w:line="97"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Any delisting of our common stock from the Nasdaq Stock Market could adversely affect our ability to attract new investors, decrease the liquidity of our outstanding shares of common stock, reduce our ability to raise additional capital, reduce the price at which our common stock trades, and increase the transaction costs inherent in trading such shares with overall negative effects for our stockholders. In addition, delisting of our common stock could deter broker-dealers from making a market in or otherwise seeking or generating interest in our common stock, and might deter certain institutions and persons from investing in our securities at all. For these reasons and others, delisting could adversely affect our business, financial condition and results of operations.</w:t>
      </w:r>
    </w:p>
    <w:p>
      <w:pPr>
        <w:spacing w:after="0" w:line="104"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In addition to possible delisting of our common stock from the NASDAQ Stock Market, the sustained decrease in the trading price of our common stock may increase our exposure to the risk of securities class action lawsuits, which could result in substantial costs and divert management’s attention and resources, which could adversely affect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904"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350"/>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Employment Agreement, dated January 20, 2016, between Aviat Networks, Inc. and Eric Chang (incorporated by reference to Exhibit 10.1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to the Current Report on Form 8-K filed with the SEC on January 21, 2016, File No. 001-33278)</w:t>
            </w:r>
          </w:p>
        </w:tc>
      </w:tr>
      <w:tr>
        <w:trPr>
          <w:trHeight w:val="37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Amendment No. 5 to Second Amended and Restated Loan and Security Agreement, dated as of March 30, 2016, by and among Aviat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Networks, Inc., Aviat U.S., Inc., Aviat Networks (S) Pte. Ltd. and Silicon Valley Bank (incorporated by reference to Exhibit 10.1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SEC on April 1, 2016, File No. 001-33278)</w:t>
            </w:r>
          </w:p>
        </w:tc>
      </w:tr>
      <w:tr>
        <w:trPr>
          <w:trHeight w:val="37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Aviat Networks, Inc. 2007 Stock Equity Plan (as Amended and Restated Effective November 13, 2015)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Appendix A to Schedule 14A filed with the SEC on October 1, 2015, File No. 001-33278)</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850" w:right="23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79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142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350"/>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Employment Agreement, dated January 20, 2016, between Aviat Networks, Inc. and Eric Chang (incorporated by reference to Exhibit 10.1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to the Current Report on Form 8-K filed with the SEC on January 21, 2016, File No. 001-33278)</w:t>
            </w:r>
          </w:p>
        </w:tc>
      </w:tr>
      <w:tr>
        <w:trPr>
          <w:trHeight w:val="37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Amendment No. 5 to Second Amended and Restated Loan and Security Agreement, dated as of March 30, 2016, by and among Aviat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Networks, Inc., Aviat U.S., Inc., Aviat Networks (S) Pte. Ltd. and Silicon Valley Bank (incorporated by reference to Exhibit 10.1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SEC on April 1, 2016, File No. 001-33278)</w:t>
            </w:r>
          </w:p>
        </w:tc>
      </w:tr>
      <w:tr>
        <w:trPr>
          <w:trHeight w:val="37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Aviat Networks, Inc. 2007 Stock Equity Plan (as Amended and Restated Effective November 13, 2015)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Appendix A to Schedule 14A filed with the SEC on October 1, 2015, File No. 001-33278)</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79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1, 2016,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11, 2016</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1, 2016,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11, 2016</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1, 2016,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11, 2016</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11, 2016</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2019-12-29T11:40:32Z</dcterms:created>
  <dcterms:modified xsi:type="dcterms:W3CDTF">2019-12-29T11:40:32Z</dcterms:modified>
</cp:coreProperties>
</file>