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346075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370840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6"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0"/>
          <w:szCs w:val="10"/>
          <w:b w:val="1"/>
          <w:bCs w:val="1"/>
          <w:color w:val="auto"/>
        </w:rPr>
        <w:t>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3"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September 30,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77"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3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_______ to 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001-33278</w:t>
      </w:r>
    </w:p>
    <w:p>
      <w:pPr>
        <w:spacing w:after="0" w:line="3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5"/>
          <w:szCs w:val="35"/>
          <w:b w:val="1"/>
          <w:bCs w:val="1"/>
          <w:color w:val="auto"/>
        </w:rPr>
        <w:t>AVIAT NETWORKS,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1005" w:right="33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34" w:lineRule="exact"/>
        <w:rPr>
          <w:sz w:val="24"/>
          <w:szCs w:val="24"/>
          <w:color w:val="auto"/>
        </w:rPr>
      </w:pPr>
    </w:p>
    <w:p>
      <w:pPr>
        <w:sectPr>
          <w:pgSz w:w="11900" w:h="16838" w:orient="portrait"/>
          <w:cols w:equalWidth="0" w:num="2">
            <w:col w:w="8100" w:space="720"/>
            <w:col w:w="2420"/>
          </w:cols>
          <w:pgMar w:left="320" w:top="1005"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p>
      <w:pPr>
        <w:spacing w:after="0" w:line="82" w:lineRule="exact"/>
        <w:rPr>
          <w:sz w:val="24"/>
          <w:szCs w:val="24"/>
          <w:color w:val="auto"/>
        </w:rPr>
      </w:pPr>
    </w:p>
    <w:p>
      <w:pPr>
        <w:sectPr>
          <w:pgSz w:w="11900" w:h="16838" w:orient="portrait"/>
          <w:cols w:equalWidth="0" w:num="2">
            <w:col w:w="7320" w:space="720"/>
            <w:col w:w="3200"/>
          </w:cols>
          <w:pgMar w:left="320" w:top="1005"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Austin,</w:t>
      </w:r>
      <w:r>
        <w:rPr>
          <w:sz w:val="20"/>
          <w:szCs w:val="20"/>
          <w:color w:val="auto"/>
        </w:rPr>
        <w:tab/>
      </w:r>
      <w:r>
        <w:rPr>
          <w:rFonts w:ascii="Times New Roman" w:cs="Times New Roman" w:eastAsia="Times New Roman" w:hAnsi="Times New Roman"/>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78728</w:t>
      </w:r>
    </w:p>
    <w:p>
      <w:pPr>
        <w:spacing w:after="0" w:line="45" w:lineRule="exact"/>
        <w:rPr>
          <w:sz w:val="24"/>
          <w:szCs w:val="24"/>
          <w:color w:val="auto"/>
        </w:rPr>
      </w:pPr>
    </w:p>
    <w:p>
      <w:pPr>
        <w:sectPr>
          <w:pgSz w:w="11900" w:h="16838" w:orient="portrait"/>
          <w:cols w:equalWidth="0" w:num="3">
            <w:col w:w="3140" w:space="720"/>
            <w:col w:w="4440" w:space="720"/>
            <w:col w:w="2220"/>
          </w:cols>
          <w:pgMar w:left="320" w:top="1005" w:right="3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21" w:lineRule="exact"/>
        <w:rPr>
          <w:sz w:val="24"/>
          <w:szCs w:val="24"/>
          <w:color w:val="auto"/>
        </w:rPr>
      </w:pPr>
    </w:p>
    <w:p>
      <w:pPr>
        <w:sectPr>
          <w:pgSz w:w="11900" w:h="16838" w:orient="portrait"/>
          <w:cols w:equalWidth="0" w:num="2">
            <w:col w:w="8140" w:space="720"/>
            <w:col w:w="2380"/>
          </w:cols>
          <w:pgMar w:left="320" w:top="100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(408) 941-7100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1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005" w:right="339" w:bottom="1440" w:gutter="0" w:footer="0" w:header="0"/>
          <w:type w:val="continuous"/>
        </w:sectPr>
      </w:pPr>
    </w:p>
    <w:p>
      <w:pPr>
        <w:spacing w:after="0" w:line="24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AVNW</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4"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200" w:lineRule="exact"/>
        <w:rPr>
          <w:sz w:val="24"/>
          <w:szCs w:val="24"/>
          <w:color w:val="auto"/>
        </w:rPr>
      </w:pPr>
    </w:p>
    <w:p>
      <w:pPr>
        <w:sectPr>
          <w:pgSz w:w="11900" w:h="16838" w:orient="portrait"/>
          <w:cols w:equalWidth="0" w:num="3">
            <w:col w:w="3680" w:space="720"/>
            <w:col w:w="2260" w:space="720"/>
            <w:col w:w="3860"/>
          </w:cols>
          <w:pgMar w:left="320" w:top="1005" w:right="339" w:bottom="1440" w:gutter="0" w:footer="0" w:header="0"/>
          <w:type w:val="continuous"/>
        </w:sectPr>
      </w:pPr>
    </w:p>
    <w:p>
      <w:pPr>
        <w:spacing w:after="0" w:line="18"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4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Accelerated filer</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673"/>
        </w:trPr>
        <w:tc>
          <w:tcPr>
            <w:tcW w:w="2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234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49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1" w:name="page2"/>
    <w:bookmarkEnd w:id="1"/>
    <w:p>
      <w:pPr>
        <w:spacing w:after="0" w:line="229" w:lineRule="exact"/>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280035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304800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0"/>
          <w:szCs w:val="20"/>
          <w:color w:val="auto"/>
        </w:rPr>
      </w:pPr>
    </w:p>
    <w:p>
      <w:pPr>
        <w:ind w:right="2020"/>
        <w:spacing w:after="0" w:line="28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outstanding of the registrant’s Common Stock as of October 28, 2022 was 11,320,109.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2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5"/>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4</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22"/>
        </w:trPr>
        <w:tc>
          <w:tcPr>
            <w:tcW w:w="10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7</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23</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32</w:t>
            </w:r>
          </w:p>
        </w:tc>
      </w:tr>
      <w:tr>
        <w:trPr>
          <w:trHeight w:val="222"/>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1A. 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6. Exhibits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22"/>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183"/>
        </w:trPr>
        <w:tc>
          <w:tcPr>
            <w:tcW w:w="102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Exhibit Index</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0000FF"/>
              </w:rPr>
              <w:t>35</w:t>
            </w:r>
          </w:p>
        </w:tc>
      </w:tr>
      <w:tr>
        <w:trPr>
          <w:trHeight w:val="39"/>
        </w:trPr>
        <w:tc>
          <w:tcPr>
            <w:tcW w:w="1020" w:type="dxa"/>
            <w:vAlign w:val="bottom"/>
            <w:shd w:val="clear" w:color="auto" w:fill="0000FF"/>
          </w:tcPr>
          <w:p>
            <w:pPr>
              <w:spacing w:after="0"/>
              <w:rPr>
                <w:sz w:val="3"/>
                <w:szCs w:val="3"/>
                <w:color w:val="auto"/>
              </w:rPr>
            </w:pPr>
          </w:p>
        </w:tc>
        <w:tc>
          <w:tcPr>
            <w:tcW w:w="92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060" w:right="53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PART I.</w:t>
        <w:tab/>
        <w:t>FINANCIAL INFORMATION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37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 share and par value amounts)</w:t>
            </w:r>
          </w:p>
        </w:tc>
        <w:tc>
          <w:tcPr>
            <w:tcW w:w="280" w:type="dxa"/>
            <w:vAlign w:val="bottom"/>
          </w:tcPr>
          <w:p>
            <w:pPr>
              <w:spacing w:after="0"/>
              <w:rPr>
                <w:sz w:val="10"/>
                <w:szCs w:val="1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Pr>
          <w:p>
            <w:pPr>
              <w:spacing w:after="0"/>
              <w:rPr>
                <w:sz w:val="10"/>
                <w:szCs w:val="10"/>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July 1,</w:t>
            </w:r>
          </w:p>
        </w:tc>
        <w:tc>
          <w:tcPr>
            <w:tcW w:w="0" w:type="dxa"/>
            <w:vAlign w:val="bottom"/>
          </w:tcPr>
          <w:p>
            <w:pPr>
              <w:spacing w:after="0"/>
              <w:rPr>
                <w:sz w:val="1"/>
                <w:szCs w:val="1"/>
                <w:color w:val="auto"/>
              </w:rPr>
            </w:pPr>
          </w:p>
        </w:tc>
      </w:tr>
      <w:tr>
        <w:trPr>
          <w:trHeight w:val="150"/>
        </w:trPr>
        <w:tc>
          <w:tcPr>
            <w:tcW w:w="802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 Assets:</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21,607</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36,877</w:t>
            </w: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Marketable securities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10,893</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Accounts receivable, net</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72,471</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73,168</w:t>
            </w: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Unbilled receivables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50,389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45,857</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Inventories</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32,888</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25,394</w:t>
            </w: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Customer service inventories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1,775</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 current assets</w:t>
            </w:r>
          </w:p>
        </w:tc>
        <w:tc>
          <w:tcPr>
            <w:tcW w:w="2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16,279</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12,437</w:t>
            </w:r>
          </w:p>
        </w:tc>
        <w:tc>
          <w:tcPr>
            <w:tcW w:w="0" w:type="dxa"/>
            <w:vAlign w:val="bottom"/>
          </w:tcPr>
          <w:p>
            <w:pPr>
              <w:spacing w:after="0"/>
              <w:rPr>
                <w:sz w:val="1"/>
                <w:szCs w:val="1"/>
                <w:color w:val="auto"/>
              </w:rPr>
            </w:pPr>
          </w:p>
        </w:tc>
      </w:tr>
      <w:tr>
        <w:trPr>
          <w:trHeight w:val="128"/>
        </w:trPr>
        <w:tc>
          <w:tcPr>
            <w:tcW w:w="80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Total current assets</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196,955</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206,401</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Property, plant and equipment, net</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11,923</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8,887</w:t>
            </w: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Goodwill</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Intangible assets, net</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7,166</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income taxes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92,310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95,412</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Right of use assets</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2,987</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2,759</w:t>
            </w: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assets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10,437</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10,445</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ASSETS</w:t>
            </w:r>
          </w:p>
        </w:tc>
        <w:tc>
          <w:tcPr>
            <w:tcW w:w="2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326,728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323,904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0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Current Liabilities:</w:t>
            </w:r>
          </w:p>
        </w:tc>
        <w:tc>
          <w:tcPr>
            <w:tcW w:w="28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Accounts payable</w:t>
            </w:r>
          </w:p>
        </w:tc>
        <w:tc>
          <w:tcPr>
            <w:tcW w:w="2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48,236</w:t>
            </w:r>
          </w:p>
        </w:tc>
        <w:tc>
          <w:tcPr>
            <w:tcW w:w="100" w:type="dxa"/>
            <w:vAlign w:val="bottom"/>
          </w:tcPr>
          <w:p>
            <w:pPr>
              <w:spacing w:after="0"/>
              <w:rPr>
                <w:sz w:val="11"/>
                <w:szCs w:val="11"/>
                <w:color w:val="auto"/>
              </w:rPr>
            </w:pPr>
          </w:p>
        </w:tc>
        <w:tc>
          <w:tcPr>
            <w:tcW w:w="36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42,394</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Accrued expenses</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24,806</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26,451</w:t>
            </w: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Short-term lease liabilities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513</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Advance payments and unearned revenue</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35,483</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33,740</w:t>
            </w: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Restructuring liabilities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1,381</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current liabilities</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110,880</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104,479</w:t>
            </w: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Unearned revenue</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7,844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8,920</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Long-term lease liabilities</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2,407</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2,412</w:t>
            </w: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long-term liabilities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Reserve for uncertain tax positions</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5,366</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5,504</w:t>
            </w: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income taxes</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563</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liabilities</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127,306</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122,151</w:t>
            </w:r>
          </w:p>
        </w:tc>
        <w:tc>
          <w:tcPr>
            <w:tcW w:w="0" w:type="dxa"/>
            <w:vAlign w:val="bottom"/>
          </w:tcPr>
          <w:p>
            <w:pPr>
              <w:spacing w:after="0"/>
              <w:rPr>
                <w:sz w:val="1"/>
                <w:szCs w:val="1"/>
                <w:color w:val="auto"/>
              </w:rPr>
            </w:pPr>
          </w:p>
        </w:tc>
      </w:tr>
      <w:tr>
        <w:trPr>
          <w:trHeight w:val="135"/>
        </w:trPr>
        <w:tc>
          <w:tcPr>
            <w:tcW w:w="8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Commitments and contingencies (Note 13)</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Preferred stock, $0.01 par value, 50,000,000 shares authorized, none issued</w:t>
            </w:r>
          </w:p>
        </w:tc>
        <w:tc>
          <w:tcPr>
            <w:tcW w:w="280" w:type="dxa"/>
            <w:vAlign w:val="bottom"/>
          </w:tcPr>
          <w:p>
            <w:pPr>
              <w:spacing w:after="0"/>
              <w:rPr>
                <w:sz w:val="11"/>
                <w:szCs w:val="1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8020" w:type="dxa"/>
            <w:vAlign w:val="bottom"/>
            <w:shd w:val="clear" w:color="auto" w:fill="CCEEFF"/>
          </w:tcPr>
          <w:p>
            <w:pPr>
              <w:ind w:left="220"/>
              <w:spacing w:after="0" w:line="105" w:lineRule="exact"/>
              <w:rPr>
                <w:sz w:val="20"/>
                <w:szCs w:val="20"/>
                <w:color w:val="auto"/>
              </w:rPr>
            </w:pPr>
            <w:r>
              <w:rPr>
                <w:rFonts w:ascii="Times New Roman" w:cs="Times New Roman" w:eastAsia="Times New Roman" w:hAnsi="Times New Roman"/>
                <w:sz w:val="10"/>
                <w:szCs w:val="10"/>
                <w:color w:val="auto"/>
              </w:rPr>
              <w:t>Common stock, $0.01 par value, 300,000,000 shares authorized, 11,312,974 shares issued and outstanding at September 30, 2022; 11,160,160 shares issued and outstanding at July 1,</w:t>
            </w:r>
          </w:p>
        </w:tc>
        <w:tc>
          <w:tcPr>
            <w:tcW w:w="28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w:t>
            </w:r>
          </w:p>
        </w:tc>
        <w:tc>
          <w:tcPr>
            <w:tcW w:w="0" w:type="dxa"/>
            <w:vAlign w:val="bottom"/>
          </w:tcPr>
          <w:p>
            <w:pPr>
              <w:spacing w:after="0"/>
              <w:rPr>
                <w:sz w:val="1"/>
                <w:szCs w:val="1"/>
                <w:color w:val="auto"/>
              </w:rPr>
            </w:pPr>
          </w:p>
        </w:tc>
      </w:tr>
      <w:tr>
        <w:trPr>
          <w:trHeight w:val="82"/>
        </w:trPr>
        <w:tc>
          <w:tcPr>
            <w:tcW w:w="80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2022</w:t>
            </w:r>
          </w:p>
        </w:tc>
        <w:tc>
          <w:tcPr>
            <w:tcW w:w="28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802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Treasury stock</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(6,147)</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(6,147)</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Additional paid-in-capital</w:t>
            </w: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824,786</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823,259</w:t>
            </w:r>
          </w:p>
        </w:tc>
        <w:tc>
          <w:tcPr>
            <w:tcW w:w="0" w:type="dxa"/>
            <w:vAlign w:val="bottom"/>
          </w:tcPr>
          <w:p>
            <w:pPr>
              <w:spacing w:after="0"/>
              <w:rPr>
                <w:sz w:val="1"/>
                <w:szCs w:val="1"/>
                <w:color w:val="auto"/>
              </w:rPr>
            </w:pPr>
          </w:p>
        </w:tc>
      </w:tr>
      <w:tr>
        <w:trPr>
          <w:trHeight w:val="135"/>
        </w:trPr>
        <w:tc>
          <w:tcPr>
            <w:tcW w:w="80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Accumulated deficit</w:t>
            </w:r>
          </w:p>
        </w:tc>
        <w:tc>
          <w:tcPr>
            <w:tcW w:w="2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(602,188)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(599,442)</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2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(17,142)</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(16,029)</w:t>
            </w:r>
          </w:p>
        </w:tc>
        <w:tc>
          <w:tcPr>
            <w:tcW w:w="0" w:type="dxa"/>
            <w:vAlign w:val="bottom"/>
          </w:tcPr>
          <w:p>
            <w:pPr>
              <w:spacing w:after="0"/>
              <w:rPr>
                <w:sz w:val="1"/>
                <w:szCs w:val="1"/>
                <w:color w:val="auto"/>
              </w:rPr>
            </w:pPr>
          </w:p>
        </w:tc>
      </w:tr>
      <w:tr>
        <w:trPr>
          <w:trHeight w:val="128"/>
        </w:trPr>
        <w:tc>
          <w:tcPr>
            <w:tcW w:w="80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Total equity</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199,422</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201,753</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TOTAL LIABILITIES AND EQUITY</w:t>
            </w:r>
          </w:p>
        </w:tc>
        <w:tc>
          <w:tcPr>
            <w:tcW w:w="28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326,728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323,904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20" w:type="dxa"/>
            <w:vAlign w:val="bottom"/>
          </w:tcPr>
          <w:p>
            <w:pPr>
              <w:spacing w:after="0"/>
              <w:rPr>
                <w:sz w:val="10"/>
                <w:szCs w:val="10"/>
                <w:color w:val="auto"/>
              </w:rPr>
            </w:pPr>
          </w:p>
        </w:tc>
        <w:tc>
          <w:tcPr>
            <w:tcW w:w="144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0"/>
                <w:szCs w:val="10"/>
                <w:color w:val="auto"/>
              </w:rPr>
            </w:pPr>
          </w:p>
        </w:tc>
        <w:tc>
          <w:tcPr>
            <w:tcW w:w="1300" w:type="dxa"/>
            <w:vAlign w:val="bottom"/>
          </w:tcPr>
          <w:p>
            <w:pPr>
              <w:jc w:val="right"/>
              <w:ind w:right="394"/>
              <w:spacing w:after="0" w:line="124"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from product sales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55,101</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50,847</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services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22,311</w:t>
            </w:r>
          </w:p>
        </w:tc>
        <w:tc>
          <w:tcPr>
            <w:tcW w:w="0" w:type="dxa"/>
            <w:vAlign w:val="bottom"/>
          </w:tcPr>
          <w:p>
            <w:pPr>
              <w:spacing w:after="0"/>
              <w:rPr>
                <w:sz w:val="1"/>
                <w:szCs w:val="1"/>
                <w:color w:val="auto"/>
              </w:rPr>
            </w:pPr>
          </w:p>
        </w:tc>
      </w:tr>
      <w:tr>
        <w:trPr>
          <w:trHeight w:val="215"/>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73,158</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31,925</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15,152</w:t>
            </w:r>
          </w:p>
        </w:tc>
        <w:tc>
          <w:tcPr>
            <w:tcW w:w="0" w:type="dxa"/>
            <w:vAlign w:val="bottom"/>
          </w:tcPr>
          <w:p>
            <w:pPr>
              <w:spacing w:after="0"/>
              <w:rPr>
                <w:sz w:val="1"/>
                <w:szCs w:val="1"/>
                <w:color w:val="auto"/>
              </w:rPr>
            </w:pPr>
          </w:p>
        </w:tc>
      </w:tr>
      <w:tr>
        <w:trPr>
          <w:trHeight w:val="215"/>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cost of revenues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47,077</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margin</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26,081</w:t>
            </w: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5,910</w:t>
            </w:r>
          </w:p>
        </w:tc>
        <w:tc>
          <w:tcPr>
            <w:tcW w:w="0" w:type="dxa"/>
            <w:vAlign w:val="bottom"/>
          </w:tcPr>
          <w:p>
            <w:pPr>
              <w:spacing w:after="0"/>
              <w:rPr>
                <w:sz w:val="1"/>
                <w:szCs w:val="1"/>
                <w:color w:val="auto"/>
              </w:rPr>
            </w:pP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administrative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15"/>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19,267</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6,814</w:t>
            </w:r>
          </w:p>
        </w:tc>
        <w:tc>
          <w:tcPr>
            <w:tcW w:w="0" w:type="dxa"/>
            <w:vAlign w:val="bottom"/>
          </w:tcPr>
          <w:p>
            <w:pPr>
              <w:spacing w:after="0"/>
              <w:rPr>
                <w:sz w:val="1"/>
                <w:szCs w:val="1"/>
                <w:color w:val="auto"/>
              </w:rPr>
            </w:pPr>
          </w:p>
        </w:tc>
      </w:tr>
      <w:tr>
        <w:trPr>
          <w:trHeight w:val="222"/>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w:t>
            </w:r>
          </w:p>
        </w:tc>
        <w:tc>
          <w:tcPr>
            <w:tcW w:w="0" w:type="dxa"/>
            <w:vAlign w:val="bottom"/>
          </w:tcPr>
          <w:p>
            <w:pPr>
              <w:spacing w:after="0"/>
              <w:rPr>
                <w:sz w:val="1"/>
                <w:szCs w:val="1"/>
                <w:color w:val="auto"/>
              </w:rPr>
            </w:pPr>
          </w:p>
        </w:tc>
      </w:tr>
      <w:tr>
        <w:trPr>
          <w:trHeight w:val="222"/>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0" w:type="dxa"/>
            <w:vAlign w:val="bottom"/>
          </w:tcPr>
          <w:p>
            <w:pPr>
              <w:spacing w:after="0"/>
              <w:rPr>
                <w:sz w:val="1"/>
                <w:szCs w:val="1"/>
                <w:color w:val="auto"/>
              </w:rPr>
            </w:pPr>
          </w:p>
        </w:tc>
      </w:tr>
      <w:tr>
        <w:trPr>
          <w:trHeight w:val="24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per share of common stock outstanding: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11,159</w:t>
            </w:r>
          </w:p>
        </w:tc>
        <w:tc>
          <w:tcPr>
            <w:tcW w:w="0" w:type="dxa"/>
            <w:vAlign w:val="bottom"/>
          </w:tcPr>
          <w:p>
            <w:pPr>
              <w:spacing w:after="0"/>
              <w:rPr>
                <w:sz w:val="1"/>
                <w:szCs w:val="1"/>
                <w:color w:val="auto"/>
              </w:rPr>
            </w:pPr>
          </w:p>
        </w:tc>
      </w:tr>
      <w:tr>
        <w:trPr>
          <w:trHeight w:val="227"/>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11,954</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300"/>
          </w:cols>
          <w:pgMar w:left="800" w:top="1217" w:right="7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0"/>
                <w:szCs w:val="10"/>
                <w:color w:val="auto"/>
              </w:rPr>
            </w:pPr>
          </w:p>
        </w:tc>
        <w:tc>
          <w:tcPr>
            <w:tcW w:w="144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0"/>
                <w:szCs w:val="10"/>
                <w:color w:val="auto"/>
              </w:rPr>
            </w:pPr>
          </w:p>
        </w:tc>
        <w:tc>
          <w:tcPr>
            <w:tcW w:w="1280" w:type="dxa"/>
            <w:vAlign w:val="bottom"/>
          </w:tcPr>
          <w:p>
            <w:pPr>
              <w:jc w:val="right"/>
              <w:ind w:right="399"/>
              <w:spacing w:after="0" w:line="125"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0" w:type="dxa"/>
            <w:vAlign w:val="bottom"/>
          </w:tcPr>
          <w:p>
            <w:pPr>
              <w:spacing w:after="0"/>
              <w:rPr>
                <w:sz w:val="1"/>
                <w:szCs w:val="1"/>
                <w:color w:val="auto"/>
              </w:rPr>
            </w:pPr>
          </w:p>
        </w:tc>
      </w:tr>
      <w:tr>
        <w:trPr>
          <w:trHeight w:val="22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change in cumulative translation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1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4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 income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700"/>
          </w:cols>
          <w:pgMar w:left="1100" w:top="1060" w:right="10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10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jc w:val="right"/>
              <w:ind w:right="508"/>
              <w:spacing w:after="0" w:line="98" w:lineRule="exact"/>
              <w:rPr>
                <w:sz w:val="20"/>
                <w:szCs w:val="20"/>
                <w:color w:val="auto"/>
              </w:rPr>
            </w:pPr>
            <w:r>
              <w:rPr>
                <w:rFonts w:ascii="Times New Roman" w:cs="Times New Roman" w:eastAsia="Times New Roman" w:hAnsi="Times New Roman"/>
                <w:sz w:val="10"/>
                <w:szCs w:val="10"/>
                <w:b w:val="1"/>
                <w:bCs w:val="1"/>
                <w:color w:val="auto"/>
              </w:rPr>
              <w:t>October 1,</w:t>
            </w:r>
          </w:p>
        </w:tc>
        <w:tc>
          <w:tcPr>
            <w:tcW w:w="0" w:type="dxa"/>
            <w:vAlign w:val="bottom"/>
          </w:tcPr>
          <w:p>
            <w:pPr>
              <w:spacing w:after="0"/>
              <w:rPr>
                <w:sz w:val="1"/>
                <w:szCs w:val="1"/>
                <w:color w:val="auto"/>
              </w:rPr>
            </w:pPr>
          </w:p>
        </w:tc>
      </w:tr>
      <w:tr>
        <w:trPr>
          <w:trHeight w:val="150"/>
        </w:trPr>
        <w:tc>
          <w:tcPr>
            <w:tcW w:w="7920" w:type="dxa"/>
            <w:vAlign w:val="bottom"/>
            <w:vMerge w:val="continue"/>
          </w:tcPr>
          <w:p>
            <w:pPr>
              <w:spacing w:after="0"/>
              <w:rPr>
                <w:sz w:val="13"/>
                <w:szCs w:val="13"/>
                <w:color w:val="auto"/>
              </w:rPr>
            </w:pPr>
          </w:p>
        </w:tc>
        <w:tc>
          <w:tcPr>
            <w:tcW w:w="11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21"/>
        </w:trPr>
        <w:tc>
          <w:tcPr>
            <w:tcW w:w="7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income</w:t>
            </w:r>
          </w:p>
        </w:tc>
        <w:tc>
          <w:tcPr>
            <w:tcW w:w="1100" w:type="dxa"/>
            <w:vAlign w:val="bottom"/>
          </w:tcPr>
          <w:p>
            <w:pPr>
              <w:jc w:val="right"/>
              <w:ind w:right="98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(2,746)</w:t>
            </w:r>
          </w:p>
        </w:tc>
        <w:tc>
          <w:tcPr>
            <w:tcW w:w="100" w:type="dxa"/>
            <w:vAlign w:val="bottom"/>
          </w:tcPr>
          <w:p>
            <w:pPr>
              <w:spacing w:after="0"/>
              <w:rPr>
                <w:sz w:val="13"/>
                <w:szCs w:val="13"/>
                <w:color w:val="auto"/>
              </w:rPr>
            </w:pPr>
          </w:p>
        </w:tc>
        <w:tc>
          <w:tcPr>
            <w:tcW w:w="480" w:type="dxa"/>
            <w:vAlign w:val="bottom"/>
          </w:tcPr>
          <w:p>
            <w:pPr>
              <w:jc w:val="right"/>
              <w:ind w:right="3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4,682</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Adjustments to reconcile net (loss) income to net cash (used in) provided by operating activities: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Depreciation and amortization of property, plant and equipment</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1,344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1,264</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Amortization of intangible assets acquired</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124</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Provision for (Recoveries of) uncollectible receivables</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182</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Share-based compensation</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1,838</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863</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Deferred tax expense</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3,338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1,116</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Charges for inventory and customer service inventory write-downs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405</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381</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Noncash lease expense</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206</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276</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Net loss on marketable securities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1,734</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Accounts receivable</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4,279</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(11,382)</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Unbilled receivables</w:t>
            </w:r>
          </w:p>
        </w:tc>
        <w:tc>
          <w:tcPr>
            <w:tcW w:w="1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(2,251)</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Inventories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(2,214)</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Customer service inventories</w:t>
            </w:r>
          </w:p>
        </w:tc>
        <w:tc>
          <w:tcPr>
            <w:tcW w:w="1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(513)</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Accounts payable</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7,099</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Accrued expenses</w:t>
            </w:r>
          </w:p>
        </w:tc>
        <w:tc>
          <w:tcPr>
            <w:tcW w:w="1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(3,852)</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Advance payments and unearned revenue</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(2,496)</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3,114</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Income taxes payable or receivable</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91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753</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 assets and liabilities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(3,087)</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Change in lease liabilities</w:t>
            </w:r>
          </w:p>
        </w:tc>
        <w:tc>
          <w:tcPr>
            <w:tcW w:w="1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Net cash (used in) provided by operating activities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(6,314)</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682</w:t>
            </w:r>
          </w:p>
        </w:tc>
        <w:tc>
          <w:tcPr>
            <w:tcW w:w="0" w:type="dxa"/>
            <w:vAlign w:val="bottom"/>
          </w:tcPr>
          <w:p>
            <w:pPr>
              <w:spacing w:after="0"/>
              <w:rPr>
                <w:sz w:val="1"/>
                <w:szCs w:val="1"/>
                <w:color w:val="auto"/>
              </w:rPr>
            </w:pPr>
          </w:p>
        </w:tc>
      </w:tr>
      <w:tr>
        <w:trPr>
          <w:trHeight w:val="147"/>
        </w:trPr>
        <w:tc>
          <w:tcPr>
            <w:tcW w:w="7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Investing Activities</w:t>
            </w: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Payments for acquisition of property, plant and equipment</w:t>
            </w:r>
          </w:p>
        </w:tc>
        <w:tc>
          <w:tcPr>
            <w:tcW w:w="1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Proceeds from sale of marketable securities</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7,907</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Acquisition, net of cash acquired and purchases of intangible assets</w:t>
            </w:r>
          </w:p>
        </w:tc>
        <w:tc>
          <w:tcPr>
            <w:tcW w:w="1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(15,769)</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79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Net cash used in investing activities</w:t>
            </w:r>
          </w:p>
        </w:tc>
        <w:tc>
          <w:tcPr>
            <w:tcW w:w="1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(8,336)</w:t>
            </w: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(349)</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Financing Activities</w:t>
            </w: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Proceeds from borrowings</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15,000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Repayments of borrowings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Payments for repurchase of common stock - treasury shares</w:t>
            </w:r>
          </w:p>
        </w:tc>
        <w:tc>
          <w:tcPr>
            <w:tcW w:w="110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w:t>
            </w:r>
          </w:p>
        </w:tc>
        <w:tc>
          <w:tcPr>
            <w:tcW w:w="0" w:type="dxa"/>
            <w:vAlign w:val="bottom"/>
          </w:tcPr>
          <w:p>
            <w:pPr>
              <w:spacing w:after="0"/>
              <w:rPr>
                <w:sz w:val="1"/>
                <w:szCs w:val="1"/>
                <w:color w:val="auto"/>
              </w:rPr>
            </w:pPr>
          </w:p>
        </w:tc>
      </w:tr>
      <w:tr>
        <w:trPr>
          <w:trHeight w:val="22"/>
        </w:trPr>
        <w:tc>
          <w:tcPr>
            <w:tcW w:w="7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Payments for taxes related to net settlement of equity awards</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(670)</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w:t>
            </w:r>
          </w:p>
        </w:tc>
        <w:tc>
          <w:tcPr>
            <w:tcW w:w="0" w:type="dxa"/>
            <w:vAlign w:val="bottom"/>
          </w:tcPr>
          <w:p>
            <w:pPr>
              <w:spacing w:after="0"/>
              <w:rPr>
                <w:sz w:val="1"/>
                <w:szCs w:val="1"/>
                <w:color w:val="auto"/>
              </w:rPr>
            </w:pPr>
          </w:p>
        </w:tc>
      </w:tr>
      <w:tr>
        <w:trPr>
          <w:trHeight w:val="135"/>
        </w:trPr>
        <w:tc>
          <w:tcPr>
            <w:tcW w:w="79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Proceeds from issuance of common stock under employee stock plans</w:t>
            </w:r>
          </w:p>
        </w:tc>
        <w:tc>
          <w:tcPr>
            <w:tcW w:w="110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360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7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Net cash used in financing activities</w:t>
            </w:r>
          </w:p>
        </w:tc>
        <w:tc>
          <w:tcPr>
            <w:tcW w:w="1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(804)</w:t>
            </w:r>
          </w:p>
        </w:tc>
        <w:tc>
          <w:tcPr>
            <w:tcW w:w="0" w:type="dxa"/>
            <w:vAlign w:val="bottom"/>
          </w:tcPr>
          <w:p>
            <w:pPr>
              <w:spacing w:after="0"/>
              <w:rPr>
                <w:sz w:val="1"/>
                <w:szCs w:val="1"/>
                <w:color w:val="auto"/>
              </w:rPr>
            </w:pPr>
          </w:p>
        </w:tc>
      </w:tr>
      <w:tr>
        <w:trPr>
          <w:trHeight w:val="128"/>
        </w:trPr>
        <w:tc>
          <w:tcPr>
            <w:tcW w:w="79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Effect of exchange rate changes on cash, cash equivalents, and restricted cash</w:t>
            </w:r>
          </w:p>
        </w:tc>
        <w:tc>
          <w:tcPr>
            <w:tcW w:w="1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0" w:type="dxa"/>
            <w:vAlign w:val="bottom"/>
          </w:tcPr>
          <w:p>
            <w:pPr>
              <w:spacing w:after="0"/>
              <w:rPr>
                <w:sz w:val="1"/>
                <w:szCs w:val="1"/>
                <w:color w:val="auto"/>
              </w:rPr>
            </w:pP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decrease in cash, cash equivalents, and restricted cash</w:t>
            </w:r>
          </w:p>
        </w:tc>
        <w:tc>
          <w:tcPr>
            <w:tcW w:w="1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(15,307)</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(658)</w:t>
            </w:r>
          </w:p>
        </w:tc>
        <w:tc>
          <w:tcPr>
            <w:tcW w:w="0" w:type="dxa"/>
            <w:vAlign w:val="bottom"/>
          </w:tcPr>
          <w:p>
            <w:pPr>
              <w:spacing w:after="0"/>
              <w:rPr>
                <w:sz w:val="1"/>
                <w:szCs w:val="1"/>
                <w:color w:val="auto"/>
              </w:rPr>
            </w:pPr>
          </w:p>
        </w:tc>
      </w:tr>
      <w:tr>
        <w:trPr>
          <w:trHeight w:val="15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Cash, cash equivalents, and restricted cash, beginning of period</w:t>
            </w: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37,104</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48,198</w:t>
            </w:r>
          </w:p>
        </w:tc>
        <w:tc>
          <w:tcPr>
            <w:tcW w:w="0" w:type="dxa"/>
            <w:vAlign w:val="bottom"/>
          </w:tcPr>
          <w:p>
            <w:pPr>
              <w:spacing w:after="0"/>
              <w:rPr>
                <w:sz w:val="1"/>
                <w:szCs w:val="1"/>
                <w:color w:val="auto"/>
              </w:rPr>
            </w:pPr>
          </w:p>
        </w:tc>
      </w:tr>
      <w:tr>
        <w:trPr>
          <w:trHeight w:val="182"/>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cash equivalents, and restricted cash, end of period</w:t>
            </w:r>
          </w:p>
        </w:tc>
        <w:tc>
          <w:tcPr>
            <w:tcW w:w="1100" w:type="dxa"/>
            <w:vAlign w:val="bottom"/>
            <w:tcBorders>
              <w:bottom w:val="single" w:sz="8" w:color="CCEEFF"/>
            </w:tcBorders>
            <w:shd w:val="clear" w:color="auto" w:fill="CCEEFF"/>
          </w:tcPr>
          <w:p>
            <w:pPr>
              <w:jc w:val="right"/>
              <w:ind w:right="98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21,797</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47,540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80" w:top="1060" w:right="379" w:bottom="1440" w:gutter="0" w:footer="0" w:header="0"/>
        </w:sectPr>
      </w:pPr>
    </w:p>
    <w:bookmarkStart w:id="8" w:name="page9"/>
    <w:bookmarkEnd w:id="8"/>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1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1"/>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3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2"/>
              <w:spacing w:after="0" w:line="118"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40" w:type="dxa"/>
            <w:vAlign w:val="bottom"/>
          </w:tcPr>
          <w:p>
            <w:pPr>
              <w:spacing w:after="0"/>
              <w:rPr>
                <w:sz w:val="15"/>
                <w:szCs w:val="15"/>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8"/>
              </w:rPr>
              <w:t>Total Equity</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1, 2022</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11,160,160</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gridSpan w:val="2"/>
            <w:shd w:val="clear" w:color="auto" w:fill="CCEEFF"/>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w w:val="97"/>
              </w:rPr>
              <w:t>(6,147)</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823,259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(599,442)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(16,029)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201,753</w:t>
            </w:r>
          </w:p>
        </w:tc>
        <w:tc>
          <w:tcPr>
            <w:tcW w:w="0" w:type="dxa"/>
            <w:vAlign w:val="bottom"/>
          </w:tcPr>
          <w:p>
            <w:pPr>
              <w:spacing w:after="0"/>
              <w:rPr>
                <w:sz w:val="1"/>
                <w:szCs w:val="1"/>
                <w:color w:val="auto"/>
              </w:rPr>
            </w:pPr>
          </w:p>
        </w:tc>
      </w:tr>
      <w:tr>
        <w:trPr>
          <w:trHeight w:val="189"/>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(2,746)</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31"/>
        </w:trPr>
        <w:tc>
          <w:tcPr>
            <w:tcW w:w="304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174,317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9"/>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200"/>
              <w:spacing w:after="0" w:line="138" w:lineRule="exact"/>
              <w:rPr>
                <w:sz w:val="20"/>
                <w:szCs w:val="20"/>
                <w:color w:val="auto"/>
              </w:rPr>
            </w:pPr>
            <w:r>
              <w:rPr>
                <w:rFonts w:ascii="Times New Roman" w:cs="Times New Roman" w:eastAsia="Times New Roman" w:hAnsi="Times New Roman"/>
                <w:sz w:val="14"/>
                <w:szCs w:val="14"/>
                <w:color w:val="auto"/>
              </w:rPr>
              <w:t>Shares withheld for taxes related to vesting of</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equity awards</w:t>
            </w:r>
          </w:p>
        </w:tc>
        <w:tc>
          <w:tcPr>
            <w:tcW w:w="9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221"/>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11,312,974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gridSpan w:val="2"/>
            <w:shd w:val="clear" w:color="auto" w:fill="CCEEFF"/>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w w:val="97"/>
              </w:rPr>
              <w:t>(6,147)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824,786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(602,188)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(17,142)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199,422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Three Months Ended October 1, 2021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7"/>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0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center"/>
              <w:ind w:right="1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9"/>
                <w:szCs w:val="9"/>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2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40" w:type="dxa"/>
            <w:vAlign w:val="bottom"/>
          </w:tcPr>
          <w:p>
            <w:pPr>
              <w:spacing w:after="0"/>
              <w:rPr>
                <w:sz w:val="10"/>
                <w:szCs w:val="10"/>
                <w:color w:val="auto"/>
              </w:rPr>
            </w:pPr>
          </w:p>
        </w:tc>
        <w:tc>
          <w:tcPr>
            <w:tcW w:w="10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32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65"/>
        </w:trPr>
        <w:tc>
          <w:tcPr>
            <w:tcW w:w="3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 2021</w:t>
            </w: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11,153,445</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w w:val="98"/>
              </w:rPr>
              <w:t>(787)</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818,939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(620,602)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(14,327)</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183,335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04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66,235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0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Shares withheld for taxes related to vesting of</w:t>
            </w:r>
          </w:p>
        </w:tc>
        <w:tc>
          <w:tcPr>
            <w:tcW w:w="9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(10,134)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equity awards</w:t>
            </w:r>
          </w:p>
        </w:tc>
        <w:tc>
          <w:tcPr>
            <w:tcW w:w="98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repurchase</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(22,543)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533"/>
              <w:spacing w:after="0"/>
              <w:rPr>
                <w:sz w:val="20"/>
                <w:szCs w:val="20"/>
                <w:color w:val="auto"/>
              </w:rPr>
            </w:pPr>
            <w:r>
              <w:rPr>
                <w:rFonts w:ascii="Times New Roman" w:cs="Times New Roman" w:eastAsia="Times New Roman" w:hAnsi="Times New Roman"/>
                <w:sz w:val="14"/>
                <w:szCs w:val="14"/>
                <w:color w:val="auto"/>
                <w:w w:val="98"/>
              </w:rPr>
              <w:t>(713)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1, 2021</w:t>
            </w:r>
          </w:p>
        </w:tc>
        <w:tc>
          <w:tcPr>
            <w:tcW w:w="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11,187,003</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819,711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(615,920)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(14,491)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187,912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20"/>
          </w:cols>
          <w:pgMar w:left="320" w:top="1060" w:right="1059" w:bottom="1440" w:gutter="0" w:footer="0" w:header="0"/>
        </w:sectPr>
      </w:pPr>
    </w:p>
    <w:bookmarkStart w:id="9" w:name="page10"/>
    <w:bookmarkEnd w:id="9"/>
    <w:p>
      <w:pPr>
        <w:ind w:left="4600"/>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1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The Company and Basis of Presentation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4"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months ended September 30, 2022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1, 2022.</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unaudited condensed consolidated financial statements include the accounts of the Company and its wholly owned and majority-owned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intercompany transactions and accounts have been eliminated.</w:t>
      </w:r>
    </w:p>
    <w:p>
      <w:pPr>
        <w:spacing w:after="0" w:line="15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operate on a 52-week or 53-week year ending on the Friday closest to June 30. The three months ended September 30, 2022 and the three months ended October 1, 2021 both consisted of 13 weeks. Fiscal year 2023 will be comprised of 52 weeks and will end on June 30, 2023. Fiscal year 2022 was comprised of 52 weeks and ended on July 1,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business combinations, provision for uncollectible receivables, inventory valuation, valuation allowances for deferred tax assets, uncertainties in income taxes, contingencies and recoverability of long-lived assets. The actual results that we experience may differ materially from our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Significant Accounting Policies</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There have been no material changes in our significant accounting policies as of September 30, 2022 and for the three months ended September 30, 2022, as compared to the significant accounting policies described in our Annual Report on Form 10-K for the fiscal year ended July 1,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Standards Adopted</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June 2016, the Financial Accounting Standards Board (“FASB”) issued Accounting Standard Update (“ASU”) 2016-13, Financial Instruments-Credit Losses (Topic 326): Measurement of Credit Losses on Financial Instruments (ASU 2016-13) and also issued subsequent amendments to the initial guidance: ASU 2018-19, ASU 2019-04, ASU 2019-05 and ASU 2022-02 (collectively, Topic 326). Topic 326 requires measurement and recognition of expected credit losses for financial assets held. Topic 326 became effective for us in our first quarter of fiscal 2023. The adoption had no material impact on our unaudited condensed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Standards Not Yet Adopted</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March 2020, the FASB issued ASU 2020-04, Reference Rate Reform (Topic 848).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will be effective through December 31, 2022. We are currently evaluating the potential impact of ASU 2020-04 will have on our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Balance Sheet Components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74" w:lineRule="exact"/>
        <w:rPr>
          <w:sz w:val="20"/>
          <w:szCs w:val="20"/>
          <w:color w:val="auto"/>
        </w:rPr>
      </w:pPr>
    </w:p>
    <w:p>
      <w:pPr>
        <w:ind w:right="100"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3"/>
                <w:szCs w:val="13"/>
                <w:color w:val="auto"/>
              </w:rPr>
            </w:pPr>
          </w:p>
        </w:tc>
        <w:tc>
          <w:tcPr>
            <w:tcW w:w="138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w w:val="95"/>
              </w:rPr>
              <w:t>July 1,</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36,877</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assets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cash, cash equivalents, and restricted cash in the Statement of Cash Flows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7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Our net accounts receivable are summarized below:</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3"/>
                <w:szCs w:val="13"/>
                <w:color w:val="auto"/>
              </w:rPr>
            </w:pPr>
          </w:p>
        </w:tc>
        <w:tc>
          <w:tcPr>
            <w:tcW w:w="1380" w:type="dxa"/>
            <w:vAlign w:val="bottom"/>
          </w:tcPr>
          <w:p>
            <w:pPr>
              <w:jc w:val="center"/>
              <w:ind w:right="319"/>
              <w:spacing w:after="0" w:line="157"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74,102</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Allowances for collection losses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73,168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Our inventories are summarized below</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3"/>
                <w:szCs w:val="13"/>
                <w:color w:val="auto"/>
              </w:rPr>
            </w:pPr>
          </w:p>
        </w:tc>
        <w:tc>
          <w:tcPr>
            <w:tcW w:w="1380" w:type="dxa"/>
            <w:vAlign w:val="bottom"/>
          </w:tcPr>
          <w:p>
            <w:pPr>
              <w:jc w:val="center"/>
              <w:ind w:right="319"/>
              <w:spacing w:after="0" w:line="159"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products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14,916</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Raw materials and supplies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10,478</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inventories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25,394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Consigned inventories included within raw materials and supplies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vMerge w:val="continue"/>
          </w:tcPr>
          <w:p>
            <w:pPr>
              <w:spacing w:after="0"/>
              <w:rPr>
                <w:sz w:val="17"/>
                <w:szCs w:val="17"/>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9,962</w:t>
            </w:r>
          </w:p>
        </w:tc>
        <w:tc>
          <w:tcPr>
            <w:tcW w:w="120" w:type="dxa"/>
            <w:vAlign w:val="bottom"/>
          </w:tcPr>
          <w:p>
            <w:pPr>
              <w:spacing w:after="0"/>
              <w:rPr>
                <w:sz w:val="17"/>
                <w:szCs w:val="17"/>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currently rely on a few vendors for substantially all of our inventory purchases.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 w:name="page12"/>
    <w:bookmarkEnd w:id="11"/>
    <w:p>
      <w:pPr>
        <w:jc w:val="both"/>
        <w:ind w:right="100" w:firstLine="470"/>
        <w:spacing w:after="0" w:line="270" w:lineRule="auto"/>
        <w:rPr>
          <w:sz w:val="20"/>
          <w:szCs w:val="20"/>
          <w:color w:val="auto"/>
        </w:rPr>
      </w:pPr>
      <w:r>
        <w:rPr>
          <w:rFonts w:ascii="Times New Roman" w:cs="Times New Roman" w:eastAsia="Times New Roman" w:hAnsi="Times New Roman"/>
          <w:sz w:val="17"/>
          <w:szCs w:val="17"/>
          <w:color w:val="auto"/>
        </w:rPr>
        <w:t>We record charges to adjust our inventory and customer service inventory due to excess and obsolete inventory resulting from lower sales forecasts, product transitioning, or discontinuance. The charges during the three months ended September 30, 2022 and October 1, 2021 were classified in cost of product sales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0"/>
                <w:szCs w:val="10"/>
                <w:color w:val="auto"/>
              </w:rPr>
            </w:pPr>
          </w:p>
        </w:tc>
        <w:tc>
          <w:tcPr>
            <w:tcW w:w="162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0"/>
                <w:szCs w:val="10"/>
                <w:color w:val="auto"/>
              </w:rPr>
            </w:pPr>
          </w:p>
        </w:tc>
        <w:tc>
          <w:tcPr>
            <w:tcW w:w="1200" w:type="dxa"/>
            <w:vAlign w:val="bottom"/>
          </w:tcPr>
          <w:p>
            <w:pPr>
              <w:jc w:val="right"/>
              <w:ind w:right="5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October 1,</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Excess and obsolete inventory</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Customer service inventory write-downs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inventory charges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Held for Sale</w:t>
      </w:r>
    </w:p>
    <w:p>
      <w:pPr>
        <w:spacing w:after="0" w:line="161" w:lineRule="exact"/>
        <w:rPr>
          <w:sz w:val="20"/>
          <w:szCs w:val="20"/>
          <w:color w:val="auto"/>
        </w:rPr>
      </w:pPr>
    </w:p>
    <w:p>
      <w:pPr>
        <w:jc w:val="both"/>
        <w:ind w:right="100" w:firstLine="470"/>
        <w:spacing w:after="0" w:line="263" w:lineRule="auto"/>
        <w:rPr>
          <w:sz w:val="20"/>
          <w:szCs w:val="20"/>
          <w:color w:val="auto"/>
        </w:rPr>
      </w:pPr>
      <w:r>
        <w:rPr>
          <w:rFonts w:ascii="Times New Roman" w:cs="Times New Roman" w:eastAsia="Times New Roman" w:hAnsi="Times New Roman"/>
          <w:sz w:val="17"/>
          <w:szCs w:val="17"/>
          <w:color w:val="auto"/>
        </w:rPr>
        <w:t>We consider properties to be Assets held for sale when management approves and commits to a plan to dispose of a property or group of properties. The property held for sale prior to the sale date is separately presented on the balance sheet as Assets held for sale.</w:t>
      </w:r>
    </w:p>
    <w:p>
      <w:pPr>
        <w:spacing w:after="0" w:line="107"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During the second quarter of fiscal 2021 management initiated the sale of our facility located in the United Kingdom. We completed the sale during the third quarter of fiscal 2022 with proceeds of $2.3 million, reflecting a gain of $0.1 million. We have no assets held for sale as of September 30,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property, plant and equipment, net are summarized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3"/>
                <w:szCs w:val="13"/>
                <w:color w:val="auto"/>
              </w:rPr>
            </w:pPr>
          </w:p>
        </w:tc>
        <w:tc>
          <w:tcPr>
            <w:tcW w:w="13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22"/>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5,796</w:t>
            </w: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21,368</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49,584</w:t>
            </w: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property, plant and equipment, gross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69,921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76,958</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(57,998)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(68,071)</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Included in the total plant, property and equipment above there was $1.1 million of assets in progress which have not been placed in service as of September 30, 2022 and $1.2 million as of July 1, 2022. Depreciation and amortization expense related to property, plant and equipment, including amortization of software developed for internal use,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Borders>
              <w:top w:val="single" w:sz="8" w:color="auto"/>
            </w:tcBorders>
            <w:gridSpan w:val="4"/>
          </w:tcPr>
          <w:p>
            <w:pPr>
              <w:ind w:left="4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5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October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7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6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Our accrued expenses are summarized below:</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708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8,273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agent commissions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1,476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warranties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2,755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12,302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accrued expenses</w:t>
            </w: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9"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Warranties</w:t>
      </w:r>
    </w:p>
    <w:p>
      <w:pPr>
        <w:spacing w:after="0" w:line="174"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We accrue for the estimated cost to repair or replace products under warranty. Changes in our warranty liability, which are included as a component of accrued expenses in our unaudited condensed consolidated balance sheets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3"/>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jc w:val="right"/>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5"/>
              </w:rPr>
              <w:t>October 1,</w:t>
            </w: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75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the beginning of the period</w:t>
            </w:r>
          </w:p>
        </w:tc>
        <w:tc>
          <w:tcPr>
            <w:tcW w:w="3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Warranty provision recorded during the period</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Assumed in Redline acquisition</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Consumption during the period</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the end of the period</w:t>
            </w:r>
          </w:p>
        </w:tc>
        <w:tc>
          <w:tcPr>
            <w:tcW w:w="300" w:type="dxa"/>
            <w:vAlign w:val="bottom"/>
            <w:tcBorders>
              <w:bottom w:val="single" w:sz="8" w:color="auto"/>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Payments and Unearned Revenue</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9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Our advance payments and unearned revenue are summarized below:</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75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payments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Unearned revenue</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33,006</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7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advance payments and unearned revenue</w:t>
            </w: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35,483</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right="100" w:firstLine="470"/>
        <w:spacing w:after="0" w:line="267" w:lineRule="auto"/>
        <w:rPr>
          <w:sz w:val="20"/>
          <w:szCs w:val="20"/>
          <w:color w:val="auto"/>
        </w:rPr>
      </w:pPr>
      <w:r>
        <w:rPr>
          <w:rFonts w:ascii="Times New Roman" w:cs="Times New Roman" w:eastAsia="Times New Roman" w:hAnsi="Times New Roman"/>
          <w:sz w:val="17"/>
          <w:szCs w:val="17"/>
          <w:color w:val="auto"/>
        </w:rPr>
        <w:t>Excluded from the balances above are $7.8 million and $8.9 million in long-term unearned revenue as of September 30, 2022 and July 1, 2022, respectively.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Fair Value Measurements of Assets and Liabilities</w:t>
      </w:r>
    </w:p>
    <w:p>
      <w:pPr>
        <w:spacing w:after="0" w:line="172"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7" w:lineRule="exact"/>
        <w:rPr>
          <w:sz w:val="20"/>
          <w:szCs w:val="20"/>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Observable inputs such as quoted prices in active markets for identical assets or liabilities;</w:t>
      </w:r>
    </w:p>
    <w:p>
      <w:pPr>
        <w:spacing w:after="0" w:line="65"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market-based inputs or observable inputs that are corroborated by market data; and</w:t>
      </w:r>
    </w:p>
    <w:p>
      <w:pPr>
        <w:spacing w:after="0" w:line="65"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fair values, and valuation input levels of our assets and liabilities that are measured at fair value on a recurring basis as of September 30, 2022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 2022 were as follows: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320" w:type="dxa"/>
            <w:vAlign w:val="bottom"/>
          </w:tcPr>
          <w:p>
            <w:pPr>
              <w:spacing w:after="0"/>
              <w:rPr>
                <w:sz w:val="16"/>
                <w:szCs w:val="16"/>
                <w:color w:val="auto"/>
              </w:rPr>
            </w:pPr>
          </w:p>
        </w:tc>
        <w:tc>
          <w:tcPr>
            <w:tcW w:w="14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20" w:type="dxa"/>
            <w:vAlign w:val="bottom"/>
          </w:tcPr>
          <w:p>
            <w:pPr>
              <w:spacing w:after="0"/>
              <w:rPr>
                <w:sz w:val="18"/>
                <w:szCs w:val="18"/>
                <w:color w:val="auto"/>
              </w:rPr>
            </w:pPr>
          </w:p>
        </w:tc>
        <w:tc>
          <w:tcPr>
            <w:tcW w:w="14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Inputs</w:t>
            </w:r>
          </w:p>
        </w:tc>
      </w:tr>
      <w:tr>
        <w:trPr>
          <w:trHeight w:val="23"/>
        </w:trPr>
        <w:tc>
          <w:tcPr>
            <w:tcW w:w="5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2"/>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5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Level 1</w:t>
            </w:r>
          </w:p>
        </w:tc>
      </w:tr>
      <w:tr>
        <w:trPr>
          <w:trHeight w:val="222"/>
        </w:trPr>
        <w:tc>
          <w:tcPr>
            <w:tcW w:w="5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Bank certificates of deposit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3,682</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Level 2</w:t>
            </w:r>
          </w:p>
        </w:tc>
      </w:tr>
      <w:tr>
        <w:trPr>
          <w:trHeight w:val="22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Level 1</w:t>
            </w:r>
          </w:p>
        </w:tc>
      </w:tr>
    </w:tbl>
    <w:p>
      <w:pPr>
        <w:spacing w:after="0" w:line="230"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We classify items within Level 1 if quoted prices are available in active markets. Our Level 1 items mainly are money market funds. As of September 30, 2022 and July 1, 2022, these money market funds were valued at $1.00 net asset value per share.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5" w:right="239" w:bottom="1440" w:gutter="0" w:footer="0" w:header="0"/>
        </w:sectPr>
      </w:pPr>
    </w:p>
    <w:bookmarkStart w:id="13" w:name="page14"/>
    <w:bookmarkEnd w:id="13"/>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marketable securities are included in current assets on our balance sheet as they are available to be converted into cash to fund current operations. These marketable securities are publicly traded stock measured at fair value and classified within Level 1. During the first quarter ended September 30, 2022, we recognized a loss of $1.2 million associated with the sales of our marketable securities.</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classify items in Level 2 if the observable inputs to quoted market prices, benchmark yields, reported trades, broker/dealer quotes, or alternative pricing sources are available with reasonable levels of price transparency. Our bank certificates of deposit are classified within Level 2.</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2022 and July 1, 2022, we did not have any recurring assets or liabilities that were valued using significant unobservable inputs.</w:t>
      </w:r>
    </w:p>
    <w:p>
      <w:pPr>
        <w:spacing w:after="0" w:line="17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policy is to recognize asset or liability transfers among Level 1, Level 2, and Level 3 as of the actual date of the events or change in circumstances that caused the transfer. During the first three months of fiscal 2023 and 2022, we had no transfers between levels of the fair value hierarchy of our assets or liabilities measured at fair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Leases</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three months ended September 30, 2022.</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summarizes our lease costs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0" w:type="dxa"/>
            <w:vAlign w:val="bottom"/>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880" w:type="dxa"/>
            <w:vAlign w:val="bottom"/>
            <w:gridSpan w:val="3"/>
          </w:tcPr>
          <w:p>
            <w:pPr>
              <w:ind w:left="460"/>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0"/>
                <w:szCs w:val="10"/>
                <w:color w:val="auto"/>
              </w:rPr>
            </w:pP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costs</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Variable lease costs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lease costs</w:t>
            </w:r>
          </w:p>
        </w:tc>
        <w:tc>
          <w:tcPr>
            <w:tcW w:w="110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60" w:type="dxa"/>
            <w:vAlign w:val="bottom"/>
          </w:tcPr>
          <w:p>
            <w:pPr>
              <w:spacing w:after="0"/>
              <w:rPr>
                <w:sz w:val="24"/>
                <w:szCs w:val="24"/>
                <w:color w:val="auto"/>
              </w:rPr>
            </w:pPr>
          </w:p>
        </w:tc>
        <w:tc>
          <w:tcPr>
            <w:tcW w:w="85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The following summarizes our lease term and discount rate for the three months ended September 30, 2022: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54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 years</w:t>
            </w:r>
          </w:p>
        </w:tc>
        <w:tc>
          <w:tcPr>
            <w:tcW w:w="0" w:type="dxa"/>
            <w:vAlign w:val="bottom"/>
          </w:tcPr>
          <w:p>
            <w:pPr>
              <w:spacing w:after="0"/>
              <w:rPr>
                <w:sz w:val="1"/>
                <w:szCs w:val="1"/>
                <w:color w:val="auto"/>
              </w:rPr>
            </w:pPr>
          </w:p>
        </w:tc>
      </w:tr>
      <w:tr>
        <w:trPr>
          <w:trHeight w:val="227"/>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4" w:name="page15"/>
    <w:bookmarkEnd w:id="14"/>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September 30, 2022, our future minimum lease payments under all non-cancelable operating leases with an initial term in excess of one year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2"/>
        </w:trPr>
        <w:tc>
          <w:tcPr>
            <w:tcW w:w="9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rPr>
              <w:t>(In thousands)</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22"/>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2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r>
      <w:tr>
        <w:trPr>
          <w:trHeight w:val="222"/>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15"/>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40"/>
        </w:trPr>
        <w:tc>
          <w:tcPr>
            <w:tcW w:w="9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Credit Facility and Debt</w:t>
      </w:r>
    </w:p>
    <w:p>
      <w:pPr>
        <w:spacing w:after="0" w:line="17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May 17, 2021, we entered into Amendment No. 4 to Third Amended and Restated Loan and Security Agreement with Silicon Valley Bank (the “SVB Credit Facility”) which extended the expiration date to June 28, 2024. The SVB Credit Facility provides for a $25.0 million accounts receivable formula-based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September 30, 2022, available credit under the SVB Credit Facility was $22.0 million, reflecting the lower available limit of $25.0 million less outstanding letters of credit of $3.0 million. We borrowed and repaid $15.0 million against the SVB Credit Facility during the fiscal quarter and the interest rate was 5.83%. As of September 30, 2022 there was no borrowing outstanding.</w:t>
      </w:r>
    </w:p>
    <w:p>
      <w:pPr>
        <w:spacing w:after="0" w:line="1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spacing w:after="0" w:line="11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September 30, 2022, we were in compliance with the quarterly financial covenants contained in the SVB Credit Facility, as amended.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Revenue Recognition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 Performance Obligations, and Backlog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5" w:name="page16"/>
    <w:bookmarkEnd w:id="15"/>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receivables and liabilities from contracts with customers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16"/>
                <w:szCs w:val="16"/>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Balances</w:t>
            </w: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72,471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73,168</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50,389</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45,857</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commissions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payments and unearned revenue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33,740</w:t>
            </w: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Unearned revenue, long-term</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7,844</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8,920</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Significant changes in contract balances may arise as a result of recognition over time for services, transfer of control for equipment, and periodic payments (both in arrears and in advance).</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As of September 30, 2022, we had $43.3 million in advance payments and unearned revenue and long-term unearned revenue, of which approximately 44% is expected to be recognized as revenue in the remainder of fiscal 2023 and the balance thereafter. During the three months ended September 30, 2022 we recognized approximately $5.9 million of revenue which was included in advance payments and unearned revenue at July 1,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aggregate amount of transaction price allocated to our unsatisfied (or partially unsatisfied) performance obligations was approximately $120.1 million at September 30, 2022. Of this amount, we expect to recognize approximately 50% as revenue during the next 12 months, with the remaining amount to be recognized as revenue within two to five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Segment and Geographic Information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operate in one reportable business segment: the design, manufacturing, and sale of a range of wireless networking products, solutions, and services.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financial performance is regularly reviewed by our chief operating decision maker who is our Chief Executive Officer (“CEO”).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6" w:name="page17"/>
    <w:bookmarkEnd w:id="16"/>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 revenue by region and country based on the location where our customers accept delivery of our products and services. Revenue by region for the three months ended September 30, 2022 and October 1, 2021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0"/>
                <w:szCs w:val="10"/>
                <w:color w:val="auto"/>
              </w:rPr>
            </w:pPr>
          </w:p>
        </w:tc>
        <w:tc>
          <w:tcPr>
            <w:tcW w:w="168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0"/>
                <w:szCs w:val="10"/>
                <w:color w:val="auto"/>
              </w:rPr>
            </w:pPr>
          </w:p>
        </w:tc>
        <w:tc>
          <w:tcPr>
            <w:tcW w:w="1300" w:type="dxa"/>
            <w:vAlign w:val="bottom"/>
          </w:tcPr>
          <w:p>
            <w:pPr>
              <w:jc w:val="right"/>
              <w:ind w:right="500"/>
              <w:spacing w:after="0" w:line="124"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48,848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50,937</w:t>
            </w:r>
          </w:p>
        </w:tc>
        <w:tc>
          <w:tcPr>
            <w:tcW w:w="0" w:type="dxa"/>
            <w:vAlign w:val="bottom"/>
          </w:tcPr>
          <w:p>
            <w:pPr>
              <w:spacing w:after="0"/>
              <w:rPr>
                <w:sz w:val="1"/>
                <w:szCs w:val="1"/>
                <w:color w:val="auto"/>
              </w:rPr>
            </w:pPr>
          </w:p>
        </w:tc>
      </w:tr>
      <w:tr>
        <w:trPr>
          <w:trHeight w:val="222"/>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Africa and the Middle East</w:t>
            </w:r>
          </w:p>
        </w:tc>
        <w:tc>
          <w:tcPr>
            <w:tcW w:w="2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10,984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10,702</w:t>
            </w:r>
          </w:p>
        </w:tc>
        <w:tc>
          <w:tcPr>
            <w:tcW w:w="0" w:type="dxa"/>
            <w:vAlign w:val="bottom"/>
          </w:tcPr>
          <w:p>
            <w:pPr>
              <w:spacing w:after="0"/>
              <w:rPr>
                <w:sz w:val="1"/>
                <w:szCs w:val="1"/>
                <w:color w:val="auto"/>
              </w:rPr>
            </w:pPr>
          </w:p>
        </w:tc>
      </w:tr>
      <w:tr>
        <w:trPr>
          <w:trHeight w:val="222"/>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Latin America and Asia Pacific</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16,919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8,816</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81,251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73,158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2"/>
            <w:vMerge w:val="restart"/>
          </w:tcPr>
          <w:p>
            <w:pPr>
              <w:ind w:left="480"/>
              <w:spacing w:after="0"/>
              <w:rPr>
                <w:sz w:val="20"/>
                <w:szCs w:val="20"/>
                <w:color w:val="auto"/>
              </w:rPr>
            </w:pPr>
            <w:r>
              <w:rPr>
                <w:rFonts w:ascii="Times New Roman" w:cs="Times New Roman" w:eastAsia="Times New Roman" w:hAnsi="Times New Roman"/>
                <w:sz w:val="17"/>
                <w:szCs w:val="17"/>
                <w:color w:val="auto"/>
              </w:rPr>
              <w:t>Customers accounting for 10% or more of our total revenue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5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gridSpan w:val="3"/>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0"/>
                <w:szCs w:val="10"/>
                <w:color w:val="auto"/>
              </w:rPr>
            </w:pPr>
          </w:p>
        </w:tc>
        <w:tc>
          <w:tcPr>
            <w:tcW w:w="1300" w:type="dxa"/>
            <w:vAlign w:val="bottom"/>
          </w:tcPr>
          <w:p>
            <w:pPr>
              <w:jc w:val="center"/>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October 1,</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Motorola Solutions, Inc.</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457"/>
        </w:trPr>
        <w:tc>
          <w:tcPr>
            <w:tcW w:w="756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Customer accounting for 10% or more of our accounts receivable were as follows: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ind w:right="620"/>
              <w:spacing w:after="0" w:line="15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3"/>
                <w:szCs w:val="13"/>
                <w:color w:val="auto"/>
              </w:rPr>
            </w:pPr>
          </w:p>
        </w:tc>
        <w:tc>
          <w:tcPr>
            <w:tcW w:w="1300" w:type="dxa"/>
            <w:vAlign w:val="bottom"/>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Mobile Telephone Networks Group (MTN Group)</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November 2021 our Board of Directors approved a stock repurchase program to purchase up to $10.0 million of our common stock. As of September 30, 2022, $8.0 million remains available and we may choose to suspend or discontinue the repurchase program at any time.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During the first quarter of fiscal 2023, we did not repurchase any shares of our common stock in the open market.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Incentive Programs</w:t>
      </w:r>
    </w:p>
    <w:p>
      <w:pPr>
        <w:spacing w:after="0" w:line="17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As of September 30, 2022, we had one stock incentive plan for our employees and non-employee directors, the 2018 Amended and Restated Incentive Plan (the “2018 Plan”). The 2018 Plan provides for the issuance of share-based awards in the form of stock options, stock appreciation rights, restricted stock awards and units, and performance share awards and units.</w:t>
      </w:r>
    </w:p>
    <w:p>
      <w:pPr>
        <w:spacing w:after="0" w:line="12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9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three months ended September 30, 2022, we granted 51,772 restricted stock units, 49,321 market-based stock units and 110,945 stock options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17"/>
          <w:szCs w:val="17"/>
          <w:color w:val="auto"/>
        </w:rPr>
        <w:t>Total compensation expense for share-based awards included in our unaudited condensed consolidated statements of operations was as follows:</w:t>
      </w: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320" w:type="dxa"/>
            <w:vAlign w:val="bottom"/>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right"/>
              <w:ind w:right="119"/>
              <w:spacing w:after="0" w:line="125"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520" w:type="dxa"/>
            <w:vAlign w:val="bottom"/>
            <w:tcBorders>
              <w:bottom w:val="single" w:sz="8" w:color="CCEEFF"/>
            </w:tcBorders>
            <w:gridSpan w:val="3"/>
            <w:vMerge w:val="continue"/>
          </w:tcPr>
          <w:p>
            <w:pPr>
              <w:spacing w:after="0"/>
              <w:rPr>
                <w:sz w:val="16"/>
                <w:szCs w:val="16"/>
                <w:color w:val="auto"/>
              </w:rPr>
            </w:pPr>
          </w:p>
        </w:tc>
        <w:tc>
          <w:tcPr>
            <w:tcW w:w="13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7520" w:type="dxa"/>
            <w:vAlign w:val="bottom"/>
            <w:gridSpan w:val="3"/>
            <w:shd w:val="clear" w:color="auto" w:fill="CCEEFF"/>
          </w:tcPr>
          <w:p>
            <w:pPr>
              <w:spacing w:after="0" w:line="168" w:lineRule="exact"/>
              <w:rPr>
                <w:sz w:val="20"/>
                <w:szCs w:val="20"/>
                <w:color w:val="auto"/>
              </w:rPr>
            </w:pPr>
            <w:r>
              <w:rPr>
                <w:rFonts w:ascii="Times New Roman" w:cs="Times New Roman" w:eastAsia="Times New Roman" w:hAnsi="Times New Roman"/>
                <w:sz w:val="17"/>
                <w:szCs w:val="17"/>
                <w:b w:val="1"/>
                <w:bCs w:val="1"/>
                <w:color w:val="auto"/>
              </w:rPr>
              <w:t>By Expense Category:</w:t>
            </w:r>
          </w:p>
        </w:tc>
        <w:tc>
          <w:tcPr>
            <w:tcW w:w="1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Cost of revenues</w:t>
            </w:r>
          </w:p>
        </w:tc>
        <w:tc>
          <w:tcPr>
            <w:tcW w:w="588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ind w:right="11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Selling and administrative</w:t>
            </w: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1,531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1340" w:type="dxa"/>
            <w:vAlign w:val="bottom"/>
            <w:tcBorders>
              <w:bottom w:val="single" w:sz="8" w:color="auto"/>
            </w:tcBorders>
            <w:shd w:val="clear" w:color="auto" w:fill="CCEEFF"/>
          </w:tcPr>
          <w:p>
            <w:pPr>
              <w:jc w:val="right"/>
              <w:ind w:right="11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1,838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20" w:type="dxa"/>
            <w:vAlign w:val="bottom"/>
            <w:tcBorders>
              <w:top w:val="single" w:sz="8" w:color="CCEEFF"/>
              <w:bottom w:val="single" w:sz="8" w:color="CCEEFF"/>
            </w:tcBorders>
            <w:gridSpan w:val="3"/>
            <w:vMerge w:val="restart"/>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By Types of Award:</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752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w:t>
            </w:r>
          </w:p>
        </w:tc>
        <w:tc>
          <w:tcPr>
            <w:tcW w:w="6060" w:type="dxa"/>
            <w:vAlign w:val="bottom"/>
            <w:gridSpan w:val="2"/>
            <w:shd w:val="clear" w:color="auto" w:fill="CCEEFF"/>
          </w:tcPr>
          <w:p>
            <w:pPr>
              <w:spacing w:after="0"/>
              <w:rPr>
                <w:sz w:val="20"/>
                <w:szCs w:val="20"/>
                <w:color w:val="auto"/>
              </w:rPr>
            </w:pPr>
          </w:p>
        </w:tc>
        <w:tc>
          <w:tcPr>
            <w:tcW w:w="1340" w:type="dxa"/>
            <w:vAlign w:val="bottom"/>
            <w:shd w:val="clear" w:color="auto" w:fill="CCEEFF"/>
          </w:tcPr>
          <w:p>
            <w:pPr>
              <w:jc w:val="right"/>
              <w:ind w:right="11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Restricted and performance stock awards and units</w:t>
            </w: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1,328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1340" w:type="dxa"/>
            <w:vAlign w:val="bottom"/>
            <w:tcBorders>
              <w:bottom w:val="single" w:sz="8" w:color="auto"/>
            </w:tcBorders>
            <w:shd w:val="clear" w:color="auto" w:fill="CCEEFF"/>
          </w:tcPr>
          <w:p>
            <w:pPr>
              <w:jc w:val="right"/>
              <w:ind w:right="11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1,838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As of September 30, 2022, there was approximately $2.7 million of total unrecognized compensation expense related to non-vested stock options granted which is expected to be recognized over a weighted-average period of 2.1 years. As of September 30, 2022, there was $11.8 million of total unrecognized compensation expense related to non-vested stock awards which is expected to be recognized over a weighted-average period of 1.9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Restructuring Activities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restructuring-related activities:</w:t>
      </w:r>
    </w:p>
    <w:p>
      <w:pPr>
        <w:spacing w:after="0" w:line="28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Severance and Benefits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500" w:type="dxa"/>
            <w:vAlign w:val="bottom"/>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Q1 2023 Plan</w:t>
            </w: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Q4 2022 Plan</w:t>
            </w: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Fiscal 2021 Plan</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Accrual balance, July 1, 2022</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7"/>
                <w:szCs w:val="17"/>
                <w:color w:val="auto"/>
              </w:rPr>
              <w:t>1,381</w:t>
            </w:r>
          </w:p>
        </w:tc>
        <w:tc>
          <w:tcPr>
            <w:tcW w:w="0" w:type="dxa"/>
            <w:vAlign w:val="bottom"/>
          </w:tcPr>
          <w:p>
            <w:pPr>
              <w:spacing w:after="0"/>
              <w:rPr>
                <w:sz w:val="1"/>
                <w:szCs w:val="1"/>
                <w:color w:val="auto"/>
              </w:rPr>
            </w:pPr>
          </w:p>
        </w:tc>
      </w:tr>
      <w:tr>
        <w:trPr>
          <w:trHeight w:val="222"/>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Charges,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center"/>
              <w:ind w:left="576"/>
              <w:spacing w:after="0"/>
              <w:rPr>
                <w:sz w:val="20"/>
                <w:szCs w:val="20"/>
                <w:color w:val="auto"/>
              </w:rPr>
            </w:pPr>
            <w:r>
              <w:rPr>
                <w:rFonts w:ascii="Times New Roman" w:cs="Times New Roman" w:eastAsia="Times New Roman" w:hAnsi="Times New Roman"/>
                <w:sz w:val="17"/>
                <w:szCs w:val="17"/>
                <w:color w:val="auto"/>
              </w:rPr>
              <w:t>1,950</w:t>
            </w: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7"/>
                <w:szCs w:val="17"/>
                <w:color w:val="auto"/>
              </w:rPr>
              <w:t>(1,809)</w:t>
            </w: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Accrual balance, September 30, 2022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7"/>
                <w:szCs w:val="17"/>
                <w:color w:val="auto"/>
              </w:rPr>
              <w:t>1,522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As of September 30, 2022, the accrual balance of $1.5 million was in short-term restructuring liabilities on our unaudited condensed consolidated balance sheets. Included in the above plans for which we were carrying a provision were positions identified for termination that have not been executed from a restructuring perspective.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Q1 2023 Plan</w:t>
      </w:r>
    </w:p>
    <w:p>
      <w:pPr>
        <w:spacing w:after="0" w:line="174"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During the first quarter of fiscal 2023, our Board of Directors approved a restructuring plan, (the “Q1 2023 Plan”) from the acquisition of Redline Communications, Inc. (“Redline”). The Q1 2023 Plan which is anticipated to generate cost saving on integration of Redline, entails a reduction in force of approximately 20 employees due to integrating work into existing Aviat teams, to be implemented through the end of Q3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Q4 2022 Plan</w:t>
      </w:r>
    </w:p>
    <w:p>
      <w:pPr>
        <w:spacing w:after="0" w:line="174"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During the fourth quarter of fiscal 2022, our Board of Directors approved a restructuring plan (the “Q4 2022 Plan”) to restructure specific groups to optimize skill sets and align structure to execute on strategic deliverables. The Q4 2022 Plan was anticipated to entail a reduction in force of approximately 11 employees to be implemented through early fiscal year 2023, with a certain number of positions being consolidated.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2021 Plan</w:t>
      </w:r>
    </w:p>
    <w:p>
      <w:pPr>
        <w:spacing w:after="0" w:line="174"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During the third quarter of fiscal 2021, our Board of Directors approved restructuring plans (the “Fiscal 2021 Plan”) to continue to reduce our operating costs and improve profitability as part of our transformational initiative to optimize our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9" w:right="239" w:bottom="1440" w:gutter="0" w:footer="0" w:header="0"/>
        </w:sectPr>
      </w:pPr>
    </w:p>
    <w:bookmarkStart w:id="18" w:name="page19"/>
    <w:bookmarkEnd w:id="18"/>
    <w:p>
      <w:pPr>
        <w:jc w:val="both"/>
        <w:spacing w:after="0" w:line="276" w:lineRule="auto"/>
        <w:rPr>
          <w:sz w:val="20"/>
          <w:szCs w:val="20"/>
          <w:color w:val="auto"/>
        </w:rPr>
      </w:pPr>
      <w:r>
        <w:rPr>
          <w:rFonts w:ascii="Times New Roman" w:cs="Times New Roman" w:eastAsia="Times New Roman" w:hAnsi="Times New Roman"/>
          <w:sz w:val="17"/>
          <w:szCs w:val="17"/>
          <w:color w:val="auto"/>
        </w:rPr>
        <w:t>business model and increase efficiencies. We recorded restructuring charges of $2.4 million related to the Fiscal 2021 Plan in fiscal 2021. The Fiscal 2021 Plan was anticipated to entail a reduction in force of approximately 30 employees and will be completed in the current fiscal year, with a certain number of positions being consolidated and/or relocated.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Acquisition</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the first quarter of fiscal 2023, we completed the acquisition of Redline, a leading provider of mission-critical data infrastructure. Acquiring Redline allows Aviat to expand its Private Networks Offering with Private LTE/5G, Unlicensed Wireless Access Solutions, by creating an integrated end-to-end offering for wireless access and transport in the Private Networks segment, leveraging Aviat's sales channel to address a large dollar Private LTE/5G addressable market and increasing Aviat’s reach in mission-critical industrial Private Networks.</w:t>
      </w:r>
    </w:p>
    <w:p>
      <w:pPr>
        <w:spacing w:after="0" w:line="1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consideration paid by Aviat for this all-cash acquisition was $20.4 million. Cash acquired as part of acquisition was $4.6 million for total net consideration of $15.8 million. A summary of the preliminary allocation, pursuant to the completion of purchase price allocation, of the total purchase consideration is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Purchase consideration</w:t>
            </w:r>
          </w:p>
        </w:tc>
        <w:tc>
          <w:tcPr>
            <w:tcW w:w="1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tangible assets acquired</w:t>
            </w: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Purchased intangible assets</w:t>
            </w:r>
          </w:p>
        </w:tc>
        <w:tc>
          <w:tcPr>
            <w:tcW w:w="360" w:type="dxa"/>
            <w:vAlign w:val="bottom"/>
          </w:tcPr>
          <w:p>
            <w:pPr>
              <w:spacing w:after="0"/>
              <w:rPr>
                <w:sz w:val="16"/>
                <w:szCs w:val="16"/>
                <w:color w:val="auto"/>
              </w:rPr>
            </w:pPr>
          </w:p>
        </w:tc>
        <w:tc>
          <w:tcPr>
            <w:tcW w:w="142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Redline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20,411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w:t>
            </w:r>
          </w:p>
        </w:tc>
      </w:tr>
    </w:tbl>
    <w:p>
      <w:pPr>
        <w:spacing w:after="0" w:line="200" w:lineRule="exact"/>
        <w:rPr>
          <w:sz w:val="20"/>
          <w:szCs w:val="20"/>
          <w:color w:val="auto"/>
        </w:rPr>
      </w:pPr>
    </w:p>
    <w:p>
      <w:pPr>
        <w:spacing w:after="0" w:line="2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details of our intangible assets: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useful life)</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4,950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72"/>
        </w:trPr>
        <w:tc>
          <w:tcPr>
            <w:tcW w:w="3960" w:type="dxa"/>
            <w:vAlign w:val="bottom"/>
          </w:tcPr>
          <w:p>
            <w:pPr>
              <w:spacing w:after="0"/>
              <w:rPr>
                <w:sz w:val="24"/>
                <w:szCs w:val="24"/>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Useful life in Years</w:t>
            </w: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 amortization</w:t>
            </w:r>
          </w:p>
        </w:tc>
        <w:tc>
          <w:tcPr>
            <w:tcW w:w="440" w:type="dxa"/>
            <w:vAlign w:val="bottom"/>
          </w:tcPr>
          <w:p>
            <w:pPr>
              <w:spacing w:after="0"/>
              <w:rPr>
                <w:sz w:val="24"/>
                <w:szCs w:val="24"/>
                <w:color w:val="auto"/>
              </w:rPr>
            </w:pPr>
          </w:p>
        </w:tc>
        <w:tc>
          <w:tcPr>
            <w:tcW w:w="13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39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Purchased intangible with finite lives: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2"/>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Patents</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r>
      <w:tr>
        <w:trPr>
          <w:trHeight w:val="222"/>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Customer relationship</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r>
      <w:tr>
        <w:trPr>
          <w:trHeight w:val="222"/>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Trade names</w:t>
            </w:r>
          </w:p>
        </w:tc>
        <w:tc>
          <w:tcPr>
            <w:tcW w:w="1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purchased intangible assets with finite lives</w:t>
            </w: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7"/>
          <w:szCs w:val="17"/>
          <w:color w:val="auto"/>
        </w:rPr>
        <w:t>Amortization of purchased intangible assets for the three months ended September 30, 2022 was $0.1 million included in operating expenses. There were no impairment charges for the three months ended September 30, 2022.</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 forma information for this acquisition is not provided because it did not have a material effect on the Company’s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7"/>
          <w:szCs w:val="17"/>
          <w:color w:val="auto"/>
        </w:rPr>
        <w:t>The estimated future amortization expense of intangible assets with finite lives as of September 30, 2022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2"/>
        </w:trPr>
        <w:tc>
          <w:tcPr>
            <w:tcW w:w="9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tcPr>
          <w:p>
            <w:pPr>
              <w:jc w:val="right"/>
              <w:ind w:right="63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222"/>
        </w:trPr>
        <w:tc>
          <w:tcPr>
            <w:tcW w:w="9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r>
      <w:tr>
        <w:trPr>
          <w:trHeight w:val="222"/>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r>
      <w:tr>
        <w:trPr>
          <w:trHeight w:val="222"/>
        </w:trPr>
        <w:tc>
          <w:tcPr>
            <w:tcW w:w="9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r>
      <w:tr>
        <w:trPr>
          <w:trHeight w:val="222"/>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r>
      <w:tr>
        <w:trPr>
          <w:trHeight w:val="222"/>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4,810</w:t>
            </w:r>
          </w:p>
        </w:tc>
      </w:tr>
      <w:tr>
        <w:trPr>
          <w:trHeight w:val="240"/>
        </w:trPr>
        <w:tc>
          <w:tcPr>
            <w:tcW w:w="9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Income Taxes</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effective tax rate varies from the U.S. federal statutory rate of 21% primarily due to results of foreign operations that are subject to income taxes at different statutory rates and certain jurisdictions where we cannot recognize tax benefit on current losses. During interim periods, we accrue tax expenses for jurisdictions that are anticipated to be profitable for fiscal 2023.</w:t>
      </w:r>
    </w:p>
    <w:p>
      <w:pPr>
        <w:spacing w:after="0" w:line="110"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The determination of our income taxes for the three months ended September 30, 2022 and October 1, 2021 was based on our estimated annual effective tax rate adjusted for losses in certain jurisdictions for which no tax benefit can be recognized. Our tax expense for the three months ended September 30, 2022 was primarily due to tax expense related to U.S. and profitable subsidiaries, including deferred tax expense associated with our acquisition of Redline in July 2022 and the subsequent multi-step restructure plan where the two Redline Communication Canadian corporations converted to ULC companies and then amalgamated by the end of September 2022. The tax expense for the three months ended October 1, 2021 was primarily due to tax expense related to U.S. and profitable subsidiaries.</w:t>
      </w:r>
    </w:p>
    <w:p>
      <w:pPr>
        <w:spacing w:after="0" w:line="200" w:lineRule="exact"/>
        <w:rPr>
          <w:sz w:val="20"/>
          <w:szCs w:val="20"/>
          <w:color w:val="auto"/>
        </w:rPr>
      </w:pPr>
    </w:p>
    <w:p>
      <w:pPr>
        <w:spacing w:after="0" w:line="21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have a number of open income tax audits covering various tax years, which vary from jurisdiction to jurisdiction. Our major tax jurisdictions that are open and subject to potential audits include the U.S., Singapore, Ghana, Kenya, Nigeria and Saudi Arabia. The earliest years for these jurisdictions are as follows: U.S. - 2003; Singapore - 2015; Ghana - 2016; Kenya - 2018; Nigeria - 2006; and Saudi Arabia - 2019.</w:t>
      </w:r>
    </w:p>
    <w:p>
      <w:pPr>
        <w:spacing w:after="0" w:line="18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account for interest and penalties related to unrecognized tax benefits as part of our provision for federal, foreign, and state income taxes. Such interest expense was not material for the three months ended September 30, 2022 and October 1, 2021.</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CAA and ARPA and the impact they may have on our future business.</w:t>
      </w:r>
    </w:p>
    <w:p>
      <w:pPr>
        <w:spacing w:after="0" w:line="188"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August 16, 2022, the U.S. enacted the Inflation Reduction Act of 2022 (“IRA”) which includes a new corporate alternative minimum tax of 15% on adjusted financial statement income of corporations with profits greater than $1 billion and a 1% excise tax on stock repurchases by public corporations effective for taxable years beginning after December 31, 2022. We will continue to evaluate the applicability and effect of the IRA as more guidance is issued.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9"/>
        </w:trPr>
        <w:tc>
          <w:tcPr>
            <w:tcW w:w="45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Note 12. Net (Loss) Income Per Share of Common Stock</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w:t>
            </w:r>
          </w:p>
        </w:tc>
        <w:tc>
          <w:tcPr>
            <w:tcW w:w="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following</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table</w:t>
            </w:r>
          </w:p>
        </w:tc>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presents</w:t>
            </w:r>
          </w:p>
        </w:tc>
        <w:tc>
          <w:tcPr>
            <w:tcW w:w="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computation</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and</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diluted</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net</w:t>
            </w:r>
          </w:p>
        </w:tc>
        <w:tc>
          <w:tcPr>
            <w:tcW w:w="114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income</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share:</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October 1,</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60" w:type="dxa"/>
            <w:vAlign w:val="bottom"/>
            <w:tcBorders>
              <w:bottom w:val="single" w:sz="8" w:color="CCEEFF"/>
            </w:tcBorders>
            <w:gridSpan w:val="3"/>
            <w:vMerge w:val="continue"/>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 income</w:t>
            </w: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(2,746)</w:t>
            </w:r>
          </w:p>
        </w:tc>
        <w:tc>
          <w:tcPr>
            <w:tcW w:w="12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Weighted-average shares outstanding, basic</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11,159</w:t>
            </w:r>
          </w:p>
        </w:tc>
        <w:tc>
          <w:tcPr>
            <w:tcW w:w="0" w:type="dxa"/>
            <w:vAlign w:val="bottom"/>
          </w:tcPr>
          <w:p>
            <w:pPr>
              <w:spacing w:after="0"/>
              <w:rPr>
                <w:sz w:val="1"/>
                <w:szCs w:val="1"/>
                <w:color w:val="auto"/>
              </w:rPr>
            </w:pPr>
          </w:p>
        </w:tc>
      </w:tr>
      <w:tr>
        <w:trPr>
          <w:trHeight w:val="222"/>
        </w:trPr>
        <w:tc>
          <w:tcPr>
            <w:tcW w:w="37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Effect of potentially dilutive equivalent shares</w:t>
            </w: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0" w:type="dxa"/>
            <w:vAlign w:val="bottom"/>
          </w:tcPr>
          <w:p>
            <w:pPr>
              <w:spacing w:after="0"/>
              <w:rPr>
                <w:sz w:val="1"/>
                <w:szCs w:val="1"/>
                <w:color w:val="auto"/>
              </w:rPr>
            </w:pPr>
          </w:p>
        </w:tc>
      </w:tr>
      <w:tr>
        <w:trPr>
          <w:trHeight w:val="240"/>
        </w:trPr>
        <w:tc>
          <w:tcPr>
            <w:tcW w:w="374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Weighted-average shares outstanding, diluted</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gridSpan w:val="5"/>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(loss) income per share of common stock outstanding:</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(0.25)</w:t>
            </w:r>
          </w:p>
        </w:tc>
        <w:tc>
          <w:tcPr>
            <w:tcW w:w="12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22"/>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(0.25)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weighted-average equity awards that were excluded from the diluted net (loss) income per share calculations since they were anti-dilutive:</w:t>
      </w: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48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3"/>
          </w:tcPr>
          <w:p>
            <w:pPr>
              <w:ind w:left="4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jc w:val="right"/>
              <w:ind w:right="500"/>
              <w:spacing w:after="0" w:line="124" w:lineRule="exact"/>
              <w:rPr>
                <w:sz w:val="20"/>
                <w:szCs w:val="20"/>
                <w:color w:val="auto"/>
              </w:rPr>
            </w:pPr>
            <w:r>
              <w:rPr>
                <w:rFonts w:ascii="Times New Roman" w:cs="Times New Roman" w:eastAsia="Times New Roman" w:hAnsi="Times New Roman"/>
                <w:sz w:val="14"/>
                <w:szCs w:val="14"/>
                <w:b w:val="1"/>
                <w:bCs w:val="1"/>
                <w:color w:val="auto"/>
                <w:w w:val="95"/>
              </w:rPr>
              <w:t>October 1,</w:t>
            </w: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stock units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shares of common stock excluded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Orders and Other Commitments</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September 30, 2022, we had outstanding purchase obligations with our suppliers or contract manufacturers of $62.7 million. In addition, we had contractual obligations of approximately $3.7 million associated with software licenses.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Guarantees and Commercial Commitments</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30, 2022, we had no guarantees applicable to our debt arrangements.</w:t>
      </w:r>
    </w:p>
    <w:p>
      <w:pPr>
        <w:spacing w:after="0" w:line="11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30, 2022, we had commercial commitments outstanding of $64.3 million, that were not recorded on our unaudited condensed consolidated balance sheets. We do not believe, based on historical experience and information currently available, that it is probable that any significant amounts will be required to be paid on these performance guarantees in the future.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7"/>
          <w:szCs w:val="17"/>
          <w:color w:val="auto"/>
        </w:rPr>
        <w:t>The following table presents details of our commercial commitments: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9"/>
        </w:trPr>
        <w:tc>
          <w:tcPr>
            <w:tcW w:w="9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Letters of credit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w:t>
            </w:r>
          </w:p>
        </w:tc>
      </w:tr>
      <w:tr>
        <w:trPr>
          <w:trHeight w:val="222"/>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Bonds</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61,345</w:t>
            </w:r>
          </w:p>
        </w:tc>
      </w:tr>
      <w:tr>
        <w:trPr>
          <w:trHeight w:val="240"/>
        </w:trPr>
        <w:tc>
          <w:tcPr>
            <w:tcW w:w="9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64,344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September 30, 2022,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September 30, 2022, we had not recorded any liabilities related to these indemnifications.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are subject from time to time to disputes with customers concerning our products and services. In May 2016, we received notification of a claim for damages from a customer alleging that certain of our products were defective which we settled with an immaterial amount during the third quarter of 2021.</w:t>
      </w:r>
    </w:p>
    <w:p>
      <w:pPr>
        <w:spacing w:after="0" w:line="9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Liabilities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9"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2" w:name="page23"/>
    <w:bookmarkEnd w:id="22"/>
    <w:p>
      <w:pPr>
        <w:jc w:val="both"/>
        <w:spacing w:after="0" w:line="276" w:lineRule="auto"/>
        <w:rPr>
          <w:sz w:val="20"/>
          <w:szCs w:val="20"/>
          <w:color w:val="auto"/>
        </w:rPr>
      </w:pPr>
      <w:r>
        <w:rPr>
          <w:rFonts w:ascii="Times New Roman" w:cs="Times New Roman" w:eastAsia="Times New Roman" w:hAnsi="Times New Roman"/>
          <w:sz w:val="17"/>
          <w:szCs w:val="17"/>
          <w:color w:val="auto"/>
        </w:rPr>
        <w:t>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1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174"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In March 2020, the World Health Organization characterized a recent pandemic of respiratory illness caused by novel coronavirus disease, known as COVID-19, as a pandemic. The pandemic continues to result in government authorities implementing numerous measures to try to contain the virus, such as travel bans and restrictions, quarantines, shelter-in-place or stay-at-home orders, and business shutdowns in various locations. Our global operations expose us to risks associated with public health crises and epidemics/pandemics, such as the COVID-19 pandemic. The COVID-19 pandemic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the COVID-19 pandemic on our financial condition, liquidity, operations, suppliers, industry, and workforce.</w:t>
      </w:r>
    </w:p>
    <w:p>
      <w:pPr>
        <w:spacing w:after="0" w:line="33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72"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33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65" w:lineRule="exact"/>
        <w:rPr>
          <w:sz w:val="20"/>
          <w:szCs w:val="20"/>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COVID-19 on our business, operations and cash flows;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continued price and margin erosion as a result of increased competition in the microwave transmission industry;</w:t>
      </w:r>
    </w:p>
    <w:p>
      <w:pPr>
        <w:spacing w:after="0" w:line="52" w:lineRule="exact"/>
        <w:rPr>
          <w:rFonts w:ascii="Times New Roman" w:cs="Times New Roman" w:eastAsia="Times New Roman" w:hAnsi="Times New Roman"/>
          <w:sz w:val="17"/>
          <w:szCs w:val="17"/>
          <w:i w:val="1"/>
          <w:iCs w:val="1"/>
          <w:color w:val="auto"/>
        </w:rPr>
      </w:pPr>
    </w:p>
    <w:p>
      <w:pPr>
        <w:ind w:left="940" w:hanging="308"/>
        <w:spacing w:after="0" w:line="241" w:lineRule="auto"/>
        <w:tabs>
          <w:tab w:leader="none" w:pos="9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our ability to realize the anticipated benefits of any proposed or recent acquisitions within the anticipated timeframe or at all, including the risk that proposed or recent acquisitions will not be integrated successfully;</w:t>
      </w:r>
    </w:p>
    <w:p>
      <w:pPr>
        <w:spacing w:after="0" w:line="83" w:lineRule="exact"/>
        <w:rPr>
          <w:rFonts w:ascii="Arial" w:cs="Arial" w:eastAsia="Arial" w:hAnsi="Arial"/>
          <w:sz w:val="21"/>
          <w:szCs w:val="2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the volume, timing, and customer, product, and geographic mix of our product orders;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meet financial covenant requirements which could impact, among other things, our liquidity;</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timing of our receipt of payment for products or services from our customers;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meet projected new product development dates or anticipated cost reductions of new products;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line="298" w:lineRule="auto"/>
        <w:tabs>
          <w:tab w:leader="none" w:pos="936"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suppliers’ inability to perform and deliver on time as a result of their financial condition, component shortages, the effects of COVID-19 or other supply chain constraints;</w:t>
      </w:r>
    </w:p>
    <w:p>
      <w:pPr>
        <w:spacing w:after="0" w:line="37"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customer acceptance of new products;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ability of our subcontractors to timely perform;</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continued weakness in the global economy affecting customer spending;</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retention of our key personnel;</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manage and maintain key customer relationships;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uncertain economic conditions in the telecommunications sector combined with operator and supplier consolidation;</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failure to protect our intellectual property rights or defend against intellectual property infringement claims by others;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results of our restructuring efforts;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ability to preserve and use our net operating loss carryforwards;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currency and interest rate risks;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4" w:name="page25"/>
    <w:bookmarkEnd w:id="24"/>
    <w:p>
      <w:pPr>
        <w:ind w:left="940" w:hanging="308"/>
        <w:spacing w:after="0" w:line="298" w:lineRule="auto"/>
        <w:tabs>
          <w:tab w:leader="none" w:pos="9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current and future government regulations, including the effects of current restrictions on various commercial and economic activities in response to the COVID-19 pandemic;</w:t>
      </w:r>
    </w:p>
    <w:p>
      <w:pPr>
        <w:spacing w:after="0" w:line="37" w:lineRule="exact"/>
        <w:rPr>
          <w:rFonts w:ascii="Times New Roman" w:cs="Times New Roman" w:eastAsia="Times New Roman" w:hAnsi="Times New Roman"/>
          <w:sz w:val="17"/>
          <w:szCs w:val="17"/>
          <w:i w:val="1"/>
          <w:iCs w:val="1"/>
          <w:color w:val="auto"/>
        </w:rPr>
      </w:pPr>
    </w:p>
    <w:p>
      <w:pPr>
        <w:ind w:left="940" w:hanging="308"/>
        <w:spacing w:after="0" w:line="298" w:lineRule="auto"/>
        <w:tabs>
          <w:tab w:leader="none" w:pos="9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general economic conditions, including uncertainty regarding the timing, pace and extent of an economic recovery in the United States and other countries where we conduct business;</w:t>
      </w:r>
    </w:p>
    <w:p>
      <w:pPr>
        <w:spacing w:after="0" w:line="37"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conduct of unethical business practices in developing countries;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political turmoil in countries where we have significant business;</w:t>
      </w:r>
    </w:p>
    <w:p>
      <w:pPr>
        <w:spacing w:after="0" w:line="118" w:lineRule="exact"/>
        <w:rPr>
          <w:rFonts w:ascii="Times New Roman" w:cs="Times New Roman" w:eastAsia="Times New Roman" w:hAnsi="Times New Roman"/>
          <w:sz w:val="17"/>
          <w:szCs w:val="17"/>
          <w:i w:val="1"/>
          <w:iCs w:val="1"/>
          <w:color w:val="auto"/>
        </w:rPr>
      </w:pPr>
    </w:p>
    <w:p>
      <w:pPr>
        <w:jc w:val="both"/>
        <w:ind w:left="940" w:hanging="308"/>
        <w:spacing w:after="0" w:line="289" w:lineRule="auto"/>
        <w:tabs>
          <w:tab w:leader="none" w:pos="9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spacing w:after="0" w:line="261"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implement our stock repurchase program or that it will enhance long-term stockholder value.</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Other factors besides those listed here could also adversely affect us. See “Item 1A. Risk Factors” in our fiscal 2022 Annual Report on Form 10-K filed with the SEC on September 14, 2022 for more information regarding factors that may cause our results to differ materially from those expressed or implied by the forward-looking statements contained in this Quarterly Report on Form 10-Q.</w:t>
      </w:r>
    </w:p>
    <w:p>
      <w:pPr>
        <w:spacing w:after="0" w:line="11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Business; Operating Environment and Key Factors Impacting Fiscal 2023 and 2022 Results</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30, 2023 is referred to as “fiscal 2023” or “2023” and our fiscal year ended July 1, 2022 is referred to as “fiscal 2022” or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 w:lineRule="exact"/>
        <w:rPr>
          <w:sz w:val="20"/>
          <w:szCs w:val="20"/>
          <w:color w:val="auto"/>
        </w:rPr>
      </w:pPr>
    </w:p>
    <w:p>
      <w:pPr>
        <w:jc w:val="both"/>
        <w:ind w:firstLine="470"/>
        <w:spacing w:after="0" w:line="245" w:lineRule="auto"/>
        <w:rPr>
          <w:sz w:val="20"/>
          <w:szCs w:val="20"/>
          <w:color w:val="auto"/>
        </w:rPr>
      </w:pPr>
      <w:r>
        <w:rPr>
          <w:rFonts w:ascii="Times New Roman" w:cs="Times New Roman" w:eastAsia="Times New Roman" w:hAnsi="Times New Roman"/>
          <w:sz w:val="17"/>
          <w:szCs w:val="17"/>
          <w:color w:val="auto"/>
        </w:rPr>
        <w:t>Aviat sells radios, routers, software and services. We have more than 3,000 customers and significant relationships with global service providers and private network operators. Our manufacturing base in North America consists of a combination of contract manufacturing and assembly and test operated in Austin, Texas by Aviat. Our technology is underpinned by more than 200 patents. We compete on the basis of total cost of ownership, microwave radio expertise and solutions for mission critical communications. We have a global presence.</w:t>
      </w:r>
    </w:p>
    <w:p>
      <w:pPr>
        <w:spacing w:after="0" w:line="37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COVID-19 pandemic related disruptions to our business, operations, customers and suppliers lessened over the course of fiscal 2022. While supply chain lead-times remain extended and difficult to manage, the impact on our ability to fulfill orders for the year ended July 1, 2022 was minimal. Depending on the progression of pandemic-related factors such as supply constraints, potential for temporary manufacturing restrictions and our ability to perform field services during shelter in place orders, we could experience constraints and delays in fulfilling customer orders in future periods. We are monitoring, assessing and adapting to the situation to mitigate impacts on our business, supply chain and customer demand. We expect the potential for these challenges to continue until business and economic activities return to more normal levels.</w:t>
      </w:r>
    </w:p>
    <w:p>
      <w:pPr>
        <w:spacing w:after="0" w:line="12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continue to be impacted by inflationary pressures incurred to overcome supply chain and logistical bottlenecks. We will monitor, assess and adapt to the situation and prepare for implications to our business, supply chain and customer demand. We expect these challenges to continue until business and economic activities return to more normal levels.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Business Combination with Redline Communications</w:t>
      </w:r>
    </w:p>
    <w:p>
      <w:pPr>
        <w:spacing w:after="0" w:line="23"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color w:val="auto"/>
        </w:rPr>
        <w:t>On April 13, 2022, Aviat and Redline Communications, Inc. (“Redline”), a leading provider of mission-critical data infrastructure, signed a definitive agreement for Aviat to acquire all outstanding common stock of Redline. The transaction closed on July 5, 2022. Redline allows Aviat to expand its Private Networks Offering with Private LTE/5G, Unlicensed Wireless Access Solutions, by creating an integrated end-to-end offering for wireless access and transport</w:t>
      </w:r>
    </w:p>
    <w:p>
      <w:pPr>
        <w:spacing w:after="0" w:line="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in the Private Networks segment, leveraging Aviat's sales channel to address a large dollar Private LTE/5G addressable market and increasing Aviat’s reach in mission-critical industrial Private Networks.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Operations Review</w:t>
      </w:r>
    </w:p>
    <w:p>
      <w:pPr>
        <w:spacing w:after="0" w:line="17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market for mobile backhaul continued to be our primary addressable market segment globally in the first three months of fiscal 2023.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LTE deployments, and 5G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Annual Report on Form 10-K filed with the SEC on September 14, 2022, a number of factors could prevent us from achieving our objectives, including ongoing pricing pressures attributable to competition and macroeconomic conditions in the geographic markets that we serve.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manage our sales activities primarily on a geographic basis in North America and three international geographic regions: (1) Africa and the Middle East, (2) Europe, and (3) Latin America and Asia Pacific. Revenue by region for the three months ended September 30, 2022 and October 1, 2021 and the related changes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80" w:type="dxa"/>
            <w:vAlign w:val="bottom"/>
          </w:tcPr>
          <w:p>
            <w:pPr>
              <w:spacing w:after="0"/>
              <w:rPr>
                <w:sz w:val="15"/>
                <w:szCs w:val="15"/>
                <w:color w:val="auto"/>
              </w:rPr>
            </w:pPr>
          </w:p>
        </w:tc>
        <w:tc>
          <w:tcPr>
            <w:tcW w:w="11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50,937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6"/>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10,702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66.5 %</w:t>
            </w:r>
          </w:p>
        </w:tc>
        <w:tc>
          <w:tcPr>
            <w:tcW w:w="0" w:type="dxa"/>
            <w:vAlign w:val="bottom"/>
          </w:tcPr>
          <w:p>
            <w:pPr>
              <w:spacing w:after="0"/>
              <w:rPr>
                <w:sz w:val="1"/>
                <w:szCs w:val="1"/>
                <w:color w:val="auto"/>
              </w:rPr>
            </w:pPr>
          </w:p>
        </w:tc>
      </w:tr>
      <w:tr>
        <w:trPr>
          <w:trHeight w:val="20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 and Asia Pacific</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8,816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91.9 %</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73,158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revenue in North America decreased by $2.1 million, or 4.1%, during the first quarter of fiscal 2023 compared with the same period of fiscal 2022.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in North America revenue during the three months of fiscal 2023 was primarily due to timing of private network projects.</w:t>
      </w:r>
    </w:p>
    <w:p>
      <w:pPr>
        <w:spacing w:after="0" w:line="15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revenue in Africa and the Middle East increased by $0.3 million or 2.6% during the first quarter of fiscal 2023 compared with the same period of fiscal 2022. This increase in revenue during the three months of fiscal 2023 was primarily due to increased sales to mobile operators in the region.</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Revenue in Europe increased by $1.8 million, or 66.5%, for the first quarter of fiscal 2023 compared with the same period of fiscal 2022. This increase during the three months of fiscal 2023 was primarily due to increased sales to mobile operators in the region.</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Revenue in Latin America and Asia Pacific increased by $8.1 million, or 91.9%, during the first quarter of fiscal 2023 compared with the same period of fiscal 2022. The increase during the three months of fiscal 2023 was primarily due to increased sales to mobile operator customers.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6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55,101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0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26,150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3,839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81,251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8,093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revenue from product sales increased by $4.3 million, or 8.4%, for the first quarter of fiscal 2023 compared with the same quarter of fiscal 2022. This is driven by strong growth in Asia Pacific and Latin America as well as the contribution from the Redline acquisition. Our services revenue increased by $3.8 million, or 17.2%, during the first quarter of fiscal 2023 compared with the same quarter of fiscal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3"/>
        </w:trPr>
        <w:tc>
          <w:tcPr>
            <w:tcW w:w="4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154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81,251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73,158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0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51,797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47,077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29,454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26,081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340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36.3 %</w:t>
            </w:r>
          </w:p>
        </w:tc>
        <w:tc>
          <w:tcPr>
            <w:tcW w:w="4180" w:type="dxa"/>
            <w:vAlign w:val="bottom"/>
          </w:tcPr>
          <w:p>
            <w:pPr>
              <w:jc w:val="right"/>
              <w:ind w:right="3062"/>
              <w:spacing w:after="0"/>
              <w:rPr>
                <w:sz w:val="20"/>
                <w:szCs w:val="20"/>
                <w:color w:val="auto"/>
              </w:rPr>
            </w:pPr>
            <w:r>
              <w:rPr>
                <w:rFonts w:ascii="Times New Roman" w:cs="Times New Roman" w:eastAsia="Times New Roman" w:hAnsi="Times New Roman"/>
                <w:sz w:val="16"/>
                <w:szCs w:val="16"/>
                <w:color w:val="auto"/>
              </w:rPr>
              <w:t>35.7 %</w:t>
            </w:r>
          </w:p>
        </w:tc>
      </w:tr>
      <w:tr>
        <w:trPr>
          <w:trHeight w:val="212"/>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Product margin %</w:t>
            </w:r>
          </w:p>
        </w:tc>
        <w:tc>
          <w:tcPr>
            <w:tcW w:w="34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rPr>
              <w:t>36.0 %</w:t>
            </w:r>
          </w:p>
        </w:tc>
        <w:tc>
          <w:tcPr>
            <w:tcW w:w="4180" w:type="dxa"/>
            <w:vAlign w:val="bottom"/>
            <w:shd w:val="clear" w:color="auto" w:fill="CCEEFF"/>
          </w:tcPr>
          <w:p>
            <w:pPr>
              <w:jc w:val="right"/>
              <w:ind w:right="3062"/>
              <w:spacing w:after="0"/>
              <w:rPr>
                <w:sz w:val="20"/>
                <w:szCs w:val="20"/>
                <w:color w:val="auto"/>
              </w:rPr>
            </w:pPr>
            <w:r>
              <w:rPr>
                <w:rFonts w:ascii="Times New Roman" w:cs="Times New Roman" w:eastAsia="Times New Roman" w:hAnsi="Times New Roman"/>
                <w:sz w:val="16"/>
                <w:szCs w:val="16"/>
                <w:color w:val="auto"/>
              </w:rPr>
              <w:t>37.2 %</w:t>
            </w:r>
          </w:p>
        </w:tc>
      </w:tr>
      <w:tr>
        <w:trPr>
          <w:trHeight w:val="204"/>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margin %</w:t>
            </w:r>
          </w:p>
        </w:tc>
        <w:tc>
          <w:tcPr>
            <w:tcW w:w="340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36.7 %</w:t>
            </w:r>
          </w:p>
        </w:tc>
        <w:tc>
          <w:tcPr>
            <w:tcW w:w="4180" w:type="dxa"/>
            <w:vAlign w:val="bottom"/>
          </w:tcPr>
          <w:p>
            <w:pPr>
              <w:jc w:val="right"/>
              <w:ind w:right="3062"/>
              <w:spacing w:after="0"/>
              <w:rPr>
                <w:sz w:val="20"/>
                <w:szCs w:val="20"/>
                <w:color w:val="auto"/>
              </w:rPr>
            </w:pPr>
            <w:r>
              <w:rPr>
                <w:rFonts w:ascii="Times New Roman" w:cs="Times New Roman" w:eastAsia="Times New Roman" w:hAnsi="Times New Roman"/>
                <w:sz w:val="16"/>
                <w:szCs w:val="16"/>
                <w:color w:val="auto"/>
              </w:rPr>
              <w:t>32.1 %</w:t>
            </w:r>
          </w:p>
        </w:tc>
      </w:tr>
    </w:tbl>
    <w:p>
      <w:pPr>
        <w:spacing w:after="0" w:line="235"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Gross margin for the first quarter of fiscal 2023 increased by $3.4 million, or 12.9% compared with the same quarter of fiscal 2022. For the first three months of fiscal 2023, gross margin improved over the same period in fiscal 2022 primarily due to higher volume of Private Network business and increased sales through the Aviat Store which serves primarily the Rural Broadband space. Gross margins continue to be pressured by expedite fees and inflation as we work to overcome supply chain issues. However, our pricing actions to offset higher costs continue to gain momentum, as well as the accretive contribution of the Redline business.</w:t>
      </w:r>
    </w:p>
    <w:p>
      <w:pPr>
        <w:spacing w:after="0" w:line="329"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Product margin as a percentage of product revenue decreased in the first quarter of fiscal 2023 compared with the same period of fiscal 2022 primarily due to increased supply chain costs. Service margin as a percentage of service revenue increased in the first quarter of fiscal 2023 compared to the same period in fiscal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6,087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5,910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4"/>
        </w:trPr>
        <w:tc>
          <w:tcPr>
            <w:tcW w:w="4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research and development expenses increased by $0.2 million, or 3.0%, in the three months of fiscal 2023 compared with the same period of fiscal 2022 primarily due to the increased product development activities.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Administrative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4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17,504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12,698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0" w:type="dxa"/>
            <w:vAlign w:val="bottom"/>
          </w:tcPr>
          <w:p>
            <w:pPr>
              <w:spacing w:after="0"/>
              <w:rPr>
                <w:sz w:val="1"/>
                <w:szCs w:val="1"/>
                <w:color w:val="auto"/>
              </w:rPr>
            </w:pPr>
          </w:p>
        </w:tc>
      </w:tr>
      <w:tr>
        <w:trPr>
          <w:trHeight w:val="204"/>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7" w:name="page28"/>
    <w:bookmarkEnd w:id="27"/>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selling and administrative expenses increased by $4.8 million, or 37.8%, in the first quarter of fiscal 2023 compared with the same period in fiscal 2022. The increase for the three months of fiscal 2023 compared to comparable period of fiscal 2022 was primarily due to variable compensation and Redline related integration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charges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659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195.9 %</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the first quarter of fiscal 2023, we recorded restructuring charges of $2.0 million primarily related to the restructuring plan (the “Fiscal 2023 Plan”).</w:t>
      </w:r>
    </w:p>
    <w:p>
      <w:pPr>
        <w:spacing w:after="0" w:line="14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As of September 30, 2022, the accrual balance of $1.5 million was in short-term restructuring liabilities on our unaudited condensed consolidated balance sheets. Included in the plans for which we were carrying a provision were positions identified for termination that have not been executed from a restructuring perspective.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Expense/Income,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percentage not meaningful</w:t>
      </w:r>
    </w:p>
    <w:p>
      <w:pPr>
        <w:spacing w:after="0" w:line="1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other expenses (income), net increased by $2.8 million in the three months of fiscal 2023, compared with the same period of fiscal 2022 primarily due to loss of value related to the marketable securities and the movement in foreign exchange .</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6,842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0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79.5 %</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60"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The tax expense for the first three months of fiscal 2023 was primarily due to the tax expense related to U.S. and profitable foreign subsidiaries, including deferred tax expense associated with our acquisition of Redline in July 2022 and subsequent restructuring impact. See Note 10: Acquisition. The tax expense for the first quarter of fiscal 2022 was primarily due to tax expense related to U.S. and profitable subsidiaries.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8" w:name="page29"/>
    <w:bookmarkEnd w:id="28"/>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Capital Resources, and Financial Strategies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Cash</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2022, our total cash and cash equivalents were $21.6 million. Approximately $8.2 million, or 38.0%, was held in the United States. The remaining balance of $13.4 million, or 62.0%, was held by entities outside the United States. Of the amount of cash and cash equivalents held by our foreign subsidiaries on September 30, 2022, $12.1 million was held in jurisdictions where our undistributed earnings are indefinitely reinvested, and if repatriated, would be subject to foreign withholding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Cash provided by or used in operating activities is presented as net income adjusted for non-cash items and changes in operating assets and liabilities. Net cash used in operating activities was $6.3 million for the first three months of fiscal 2023, compared to $0.7 million cash provided from operations for the first three months of fiscal 2022; this difference was primarily related to a net change in Accounts receivable and partially offset by the net change in Accounts payable. Net cash provided by noncash items was $9.2 million for the first three months of 2023. The net changes in operating assets and liabilities resulted in a net use of cash of $12.7 million for the first three months of fiscal 2023, compared to net use of cash of $7.9 million for the same period in fiscal 2022.</w:t>
      </w:r>
    </w:p>
    <w:p>
      <w:pPr>
        <w:spacing w:after="0" w:line="11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Changes in operating assets and liabilities resulted in a net use of cash for the first three months of fiscal 2023 primarily related to Accounts receivable that fluctuate from period to period, depending on the amount, timing of sales and billing activities and cash collections; and an increase in certain levels of inventories primarily to mitigate supply chain constraints. The use of cash from assets and liabilities was partially offset by the timing of payments from Accounts payable and by customer Advance payments and unearned revenue.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was $8.3 million for the first three months of fiscal 2023, consisting of payment for acquisition net of cash and cash equivalent, and investment in property, plant, and equipment, less consideration received from sale of marketable securities. Net cash used in investing activities was $0.5 million for the first three months of fiscal 2022, driven by investments in property, plant, and equipment.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Financing cash flows consist primarily from repayments of short-term debt, repurchase of stock and proceeds from the sale of shares of common stock through employee equity plans. Net cash used in financing activities was $0.3 million for the first three months of fiscal 2023, due to payments for taxes related to settlement of equity awards of $0.7 million partially offset by the issuance of common stock under employee stock plans of $0.4 million. Net cash used in financing activities was $0.8 million for the first three months of fiscal 2022, primarily due to the purchase of treasury stock of $0.7 million.</w:t>
      </w:r>
    </w:p>
    <w:p>
      <w:pPr>
        <w:spacing w:after="0" w:line="11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of September 30, 2022, our principal sources of liquidity consisted of $21.6 million in cash and cash equivalents; $22.0 million of available credit under our $25.0 million SVB Credit Facility, which matures on June 28, 2024,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 Additionally, we have an effective shelf registration statement on Form S-3 allowing us to offer and sell, either individually or in combination, in one or more offerings, up to a total dollar amount of $200 million of any combination of the securities described in the shelf registration statement or a related prospectus supplement.</w:t>
      </w:r>
    </w:p>
    <w:p>
      <w:pPr>
        <w:spacing w:after="0" w:line="12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 with a $25.0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69" w:lineRule="auto"/>
        <w:rPr>
          <w:sz w:val="20"/>
          <w:szCs w:val="20"/>
          <w:color w:val="auto"/>
        </w:rPr>
      </w:pPr>
      <w:r>
        <w:rPr>
          <w:rFonts w:ascii="Times New Roman" w:cs="Times New Roman" w:eastAsia="Times New Roman" w:hAnsi="Times New Roman"/>
          <w:sz w:val="17"/>
          <w:szCs w:val="17"/>
          <w:color w:val="auto"/>
        </w:rPr>
        <w:t>accounts receivable formula-based revolving credit facility can also be utilized to issue letters of credit with a $12.0 million sub-limit. As of September 30, 2022, available credit under the SVB Credit Facility was $22.0 million, reflecting the lower available limit of $25.0 million less outstanding letters of credit of $3.0 million. We borrowed and repaid $15.0 million against the SVB Credit Facility during the fiscal quarter and the interest rate was 5.83%.. As of September 30, 2022 there was no borrowing outstanding.</w:t>
      </w:r>
    </w:p>
    <w:p>
      <w:pPr>
        <w:spacing w:after="0" w:line="11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September 30, 2022, we were in compliance with the quarterly financial covenants, as amended, contained in the SVB Credit Facility and there was no amount outstanding under the SVB Credit Facility.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Payments</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had liabilities for restructuring activities totaling $1.5 million as of September 30, 2022, which were classified as current liabilities and expected to be paid out in cash over the next 12 months. We expect to fund these future payments with available cash and cash provided by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amounts disclosed in our fiscal 2022 Annual Report on Form 10-K filed with the SEC on September 14, 2022 include our commercial commitments and contractual obligations. During the first three months of fiscal 2023, no material changes occurred in our contractual obligations to purchase goods and services or to make payments under operating leases or our contingent liabilities on outstanding letters of credit, guarantees, and other arrangements as disclosed in our fiscal 2022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consider the following items to qualify as off-balance sheet arrangements:</w:t>
      </w:r>
    </w:p>
    <w:p>
      <w:pPr>
        <w:spacing w:after="0" w:line="118" w:lineRule="exact"/>
        <w:rPr>
          <w:sz w:val="20"/>
          <w:szCs w:val="20"/>
          <w:color w:val="auto"/>
        </w:rPr>
      </w:pPr>
    </w:p>
    <w:p>
      <w:pPr>
        <w:ind w:left="940" w:hanging="308"/>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under certain guarantee contracts;</w:t>
      </w:r>
    </w:p>
    <w:p>
      <w:pPr>
        <w:spacing w:after="0" w:line="118"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retained or contingent interest in assets transferred to an unconsolidated entity or similar entity or similar arrangement that serves as credit, liquidity or market risk support to that entity for such assets;</w:t>
      </w:r>
    </w:p>
    <w:p>
      <w:pPr>
        <w:spacing w:after="0" w:line="42"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including a contingent obligation, under certain derivative instruments; and</w:t>
      </w:r>
    </w:p>
    <w:p>
      <w:pPr>
        <w:spacing w:after="0" w:line="118"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September 30, 2022, we did not have material financial guarantees or other contractual commitments that are reasonably likely to adversely affect our current or future financial condition. In addition, we are not currently a party to any related party transactions that materially affect our results of operations, cash flows or financial condition.</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2022, we had commercial commitments of $64.3 million.</w:t>
      </w:r>
    </w:p>
    <w:p>
      <w:pPr>
        <w:spacing w:after="0" w:line="15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Please refer to “Note 13 Commitments and Contingencies” of the Notes to unaudited condensed consolidated financial statements in this Quarterly Report on Form 10-Q for Contractual Obligations and Off-Balance Sheet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For information about our critical accounting estimates, see the “Critical Accounting Estimates” section of “Item 7. Management’s Discussion and Analysis of Financial Condition and Results of Operations” in our fiscal 2022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Information about our market risk is presented in Part II, Item 7A of our Annual Report on Form 10-K for the year ended July 1, 2022. There have been no material changes to the Company’s market risk during the first three months of fiscal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Exchange Rate Risk</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use foreign exchange forward contracts to hedge forecasted foreign currency transactions relating to forecasted sales and purchase transactions. The foreign exchange hedges do not qualify as cash flow hedges. The changes in fair value related to the hedges were recorded in income or expenses line items on our statements of operations.</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2022, there were no forward contracts in foreign currency.</w:t>
      </w:r>
    </w:p>
    <w:p>
      <w:pPr>
        <w:spacing w:after="0" w:line="17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three months of fiscal 2023 and 2022 was $(1.1) million and $(0.2) million, respectively, and was included as a component of stockholders’ equity. As of September 30, 2022 and July 1, 2022, the accumulated other comprehensive income, driven by cumulative translation adjustments decreased our equity by $17.1 million and $16.0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exposure to market risk for changes in interest rates relates primarily to our cash equivalents and borrowings under our credit facility.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Exposure on Cash Equivalents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had $21.6 million in total cash and cash equivalents as of September 30, 2022. Cash equivalents totaled $10.2 million as of September 30, 2022 and were comprised of money market funds and bank certificates of deposit. Cash equivalents investments have been recorded at fair value on our balance sheet. Fair value is measured using inputs that fall into a three-level hierarchy that prioritizes the inputs used to measure fair value based on observability of such inputs. For more information on the fair value measurements of cash equivalents, please refer to “Note 3 Fair Value Measurements of Assets and Liabilities” of the Notes to unaudited condensed consolidated financial statements in this Quarterly Report on Form 10-Q.</w:t>
      </w:r>
    </w:p>
    <w:p>
      <w:pPr>
        <w:spacing w:after="0" w:line="11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cash equivalents earn interest at fixed rates; therefore, changes in interest rates will not generate a gain or loss on these investments unless they are sold prior to maturity. The weighted-average days to maturity for cash equivalents held as of September 30, 2022 was 33 days, and these investments had an average yield of approximately 5.76% per annum. A 10% change in interest rates on our cash equivalents is not expected to have a material impact on our financial position, results of operations, or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Exposure on Borrowings</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borrowings under the SVB Credit Facility incurred interest at the prime rate plus a spread of 0.50% to 1.50% with such spread determined based on our adjusted quick ratio. During the first three months of fiscal 2023, our weighted-average interest rate was 5.83%, and the interest expense on these borrowings was immaterial.</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Based on management’s evaluation, with the participation of our President and CEO, and Chief Financial Officer (“CFO”), as of September 30, 2022,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Controls over Financial Reporting</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There were no changes to our internal controls over financial reporting as defined in Rules 13a-15(f) or 15d-15(f) that occurred during the quarter ended September 30, 2022 that have materially affected, or are reasonably likely to materially affect, our internal controls over financial reporting.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material.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174"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32" w:name="page33"/>
    <w:bookmarkEnd w:id="32"/>
    <w:p>
      <w:pPr>
        <w:spacing w:after="0" w:line="200" w:lineRule="exact"/>
        <w:rPr>
          <w:sz w:val="20"/>
          <w:szCs w:val="20"/>
          <w:color w:val="auto"/>
        </w:rPr>
      </w:pP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For a discussion of legal proceedings as of September 30, 2022, please refer to “Legal Proceedings” and “Contingent Liabilities” under “Note 13 Commitments and Contingencies” of the Notes to unaudited condensed consolidated financial statements in this Quarterly Report on Form 10-Q, which are incorporated into this item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72" w:lineRule="exact"/>
        <w:rPr>
          <w:sz w:val="20"/>
          <w:szCs w:val="20"/>
          <w:color w:val="auto"/>
        </w:rPr>
      </w:pPr>
    </w:p>
    <w:p>
      <w:pPr>
        <w:jc w:val="both"/>
        <w:ind w:firstLine="627"/>
        <w:spacing w:after="0" w:line="288" w:lineRule="auto"/>
        <w:rPr>
          <w:sz w:val="20"/>
          <w:szCs w:val="20"/>
          <w:color w:val="auto"/>
        </w:rPr>
      </w:pPr>
      <w:r>
        <w:rPr>
          <w:rFonts w:ascii="Times New Roman" w:cs="Times New Roman" w:eastAsia="Times New Roman" w:hAnsi="Times New Roman"/>
          <w:sz w:val="17"/>
          <w:szCs w:val="17"/>
          <w:color w:val="auto"/>
        </w:rPr>
        <w:t>Investors should carefully review and consider the information regarding certain factors which could materially affect our business, operating results, cash flows, and financial condition set forth under Item 1A, Risk Factors, in our fiscal 2022 Annual Report on Form 10-K filed with the SEC on September 14, 2022.</w:t>
      </w:r>
    </w:p>
    <w:p>
      <w:pPr>
        <w:spacing w:after="0" w:line="31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During the first quarter of fiscal 2023 we did not repurchase any shares of our common stock in the open market.</w:t>
      </w:r>
    </w:p>
    <w:p>
      <w:pPr>
        <w:spacing w:after="0" w:line="170"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In November 2021 our Board of Directors approved a stock repurchase program to purchase up to $10.0 million of our common stock. As of September 30, 2022, $8.0 million remains available under the stock repurchase program, and we may choose to suspend or discontinue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8300"/>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72"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8"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72"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8"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72"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72" w:lineRule="exact"/>
        <w:rPr>
          <w:sz w:val="20"/>
          <w:szCs w:val="20"/>
          <w:color w:val="auto"/>
        </w:rPr>
      </w:pPr>
    </w:p>
    <w:p>
      <w:pPr>
        <w:ind w:right="200" w:firstLine="470"/>
        <w:spacing w:after="0" w:line="295" w:lineRule="auto"/>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u w:val="single" w:color="auto"/>
            <w:color w:val="0000FF"/>
          </w:rPr>
          <w:t>Amended and Restated Bylaws of Aviat Networks, Inc. (incorporated by reference to Exhibit 3.1 to the Current Report on Form 8-K filed with the SEC</w:t>
        </w:r>
      </w:hyperlink>
      <w:r>
        <w:rPr>
          <w:rFonts w:ascii="Times New Roman" w:cs="Times New Roman" w:eastAsia="Times New Roman" w:hAnsi="Times New Roman"/>
          <w:sz w:val="17"/>
          <w:szCs w:val="17"/>
          <w:u w:val="single" w:color="auto"/>
          <w:color w:val="0000FF"/>
        </w:rPr>
        <w:t xml:space="preserve"> </w:t>
      </w:r>
      <w:hyperlink r:id="rId48">
        <w:r>
          <w:rPr>
            <w:rFonts w:ascii="Times New Roman" w:cs="Times New Roman" w:eastAsia="Times New Roman" w:hAnsi="Times New Roman"/>
            <w:sz w:val="17"/>
            <w:szCs w:val="17"/>
            <w:u w:val="single" w:color="auto"/>
            <w:color w:val="0000FF"/>
          </w:rPr>
          <w:t>on August 23, 2022, File No. 001-33278)</w:t>
        </w:r>
        <w:r>
          <w:rPr>
            <w:rFonts w:ascii="Times New Roman" w:cs="Times New Roman" w:eastAsia="Times New Roman" w:hAnsi="Times New Roman"/>
            <w:sz w:val="17"/>
            <w:szCs w:val="17"/>
            <w:color w:val="000000"/>
          </w:rPr>
          <w:t>nce to exhibits previously filed with the SEC:</w:t>
        </w:r>
      </w:hyperlink>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3"/>
        </w:trPr>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line="176"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Amended and Restated Certificate of Incorporation of Aviat Networks, Inc., as amended (incorporated by reference to Exhibit 3.1 to the</w:t>
              </w:r>
            </w:hyperlink>
          </w:p>
        </w:tc>
      </w:tr>
      <w:tr>
        <w:trPr>
          <w:trHeight w:val="182"/>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80" w:type="dxa"/>
            <w:vAlign w:val="bottom"/>
            <w:tcBorders>
              <w:top w:val="single" w:sz="8" w:color="0000FF"/>
              <w:bottom w:val="single" w:sz="8" w:color="0000FF"/>
            </w:tcBorders>
            <w:gridSpan w:val="5"/>
            <w:shd w:val="clear" w:color="auto" w:fill="CCEEFF"/>
          </w:tcPr>
          <w:p>
            <w:pPr>
              <w:spacing w:after="0" w:line="150"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Current Report on Form 10-Q filed with the SEC on February 10, 2017, File No. 001-33278)</w:t>
              </w:r>
            </w:hyperlink>
          </w:p>
        </w:tc>
        <w:tc>
          <w:tcPr>
            <w:tcW w:w="34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1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8"/>
          </w:tcPr>
          <w:p>
            <w:pPr>
              <w:spacing w:after="0" w:line="183"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Amended and Restated Bylaws of Aviat Networks, Inc. (incorporated by reference to Exhibit 3.1 to the Current Report on Form 8-K filed with</w:t>
              </w:r>
            </w:hyperlink>
          </w:p>
        </w:tc>
      </w:tr>
      <w:tr>
        <w:trPr>
          <w:trHeight w:val="150"/>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the SEC on August 23, 2022, File No. 001-33278)</w:t>
              </w:r>
            </w:hyperlink>
          </w:p>
        </w:tc>
        <w:tc>
          <w:tcPr>
            <w:tcW w:w="20" w:type="dxa"/>
            <w:vAlign w:val="bottom"/>
          </w:tcPr>
          <w:p>
            <w:pPr>
              <w:spacing w:after="0"/>
              <w:rPr>
                <w:sz w:val="13"/>
                <w:szCs w:val="13"/>
                <w:color w:val="auto"/>
              </w:rPr>
            </w:pPr>
          </w:p>
        </w:tc>
      </w:tr>
      <w:tr>
        <w:trPr>
          <w:trHeight w:val="32"/>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0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1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31.1*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FF"/>
              </w:rPr>
              <w:t>Rule 13a-14(a)/15d-14(a) Certification of President and Chief Executive Officer</w:t>
            </w:r>
          </w:p>
        </w:tc>
      </w:tr>
      <w:tr>
        <w:trPr>
          <w:trHeight w:val="193"/>
        </w:trPr>
        <w:tc>
          <w:tcPr>
            <w:tcW w:w="11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56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Rule 13a-14(a)/15d-14(a) Certification of Chief Financial Officer</w:t>
            </w:r>
          </w:p>
        </w:tc>
        <w:tc>
          <w:tcPr>
            <w:tcW w:w="1020" w:type="dxa"/>
            <w:vAlign w:val="bottom"/>
            <w:tcBorders>
              <w:top w:val="single" w:sz="8" w:color="0000FF"/>
            </w:tcBorders>
          </w:tcPr>
          <w:p>
            <w:pPr>
              <w:spacing w:after="0"/>
              <w:rPr>
                <w:sz w:val="16"/>
                <w:szCs w:val="16"/>
                <w:color w:val="auto"/>
              </w:rPr>
            </w:pPr>
          </w:p>
        </w:tc>
        <w:tc>
          <w:tcPr>
            <w:tcW w:w="4420" w:type="dxa"/>
            <w:vAlign w:val="bottom"/>
            <w:tcBorders>
              <w:top w:val="single" w:sz="8" w:color="CCEEFF"/>
            </w:tcBorders>
            <w:gridSpan w:val="5"/>
          </w:tcPr>
          <w:p>
            <w:pPr>
              <w:spacing w:after="0"/>
              <w:rPr>
                <w:sz w:val="16"/>
                <w:szCs w:val="16"/>
                <w:color w:val="auto"/>
              </w:rPr>
            </w:pPr>
          </w:p>
        </w:tc>
      </w:tr>
      <w:tr>
        <w:trPr>
          <w:trHeight w:val="212"/>
        </w:trPr>
        <w:tc>
          <w:tcPr>
            <w:tcW w:w="112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0000FF"/>
            </w:tcBorders>
            <w:gridSpan w:val="4"/>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c>
          <w:tcPr>
            <w:tcW w:w="4300" w:type="dxa"/>
            <w:vAlign w:val="bottom"/>
            <w:tcBorders>
              <w:bottom w:val="single" w:sz="8" w:color="CCEEFF"/>
            </w:tcBorders>
            <w:gridSpan w:val="4"/>
            <w:shd w:val="clear" w:color="auto" w:fill="CCEEFF"/>
          </w:tcPr>
          <w:p>
            <w:pPr>
              <w:spacing w:after="0"/>
              <w:rPr>
                <w:sz w:val="18"/>
                <w:szCs w:val="18"/>
                <w:color w:val="auto"/>
              </w:rPr>
            </w:pP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7"/>
        </w:trPr>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6765" cy="140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ind w:left="1260" w:hanging="1238"/>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 w:lineRule="exact"/>
        <w:rPr>
          <w:sz w:val="20"/>
          <w:szCs w:val="20"/>
          <w:color w:val="auto"/>
        </w:rPr>
      </w:pPr>
    </w:p>
    <w:p>
      <w:pPr>
        <w:ind w:left="1260" w:hanging="1238"/>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4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7"/>
          <w:szCs w:val="17"/>
          <w:color w:val="auto"/>
        </w:rPr>
        <w:t>AVIAT NETWORKS, INC.</w:t>
      </w:r>
    </w:p>
    <w:p>
      <w:pPr>
        <w:ind w:left="6220"/>
        <w:spacing w:after="0"/>
        <w:rPr>
          <w:sz w:val="20"/>
          <w:szCs w:val="20"/>
          <w:color w:val="auto"/>
        </w:rPr>
      </w:pPr>
      <w:r>
        <w:rPr>
          <w:rFonts w:ascii="Times New Roman" w:cs="Times New Roman" w:eastAsia="Times New Roman" w:hAnsi="Times New Roman"/>
          <w:sz w:val="17"/>
          <w:szCs w:val="17"/>
          <w:color w:val="auto"/>
        </w:rPr>
        <w:t>(Registrant)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2, 2022</w:t>
      </w:r>
    </w:p>
    <w:p>
      <w:pPr>
        <w:spacing w:after="0" w:line="314" w:lineRule="exact"/>
        <w:rPr>
          <w:sz w:val="20"/>
          <w:szCs w:val="20"/>
          <w:color w:val="auto"/>
        </w:rPr>
      </w:pPr>
    </w:p>
    <w:p>
      <w:pPr>
        <w:ind w:left="5820"/>
        <w:spacing w:after="0"/>
        <w:tabs>
          <w:tab w:leader="none" w:pos="6260" w:val="left"/>
        </w:tabs>
        <w:rPr>
          <w:sz w:val="20"/>
          <w:szCs w:val="20"/>
          <w:color w:val="auto"/>
        </w:rPr>
      </w:pPr>
      <w:r>
        <w:rPr>
          <w:rFonts w:ascii="Times New Roman" w:cs="Times New Roman" w:eastAsia="Times New Roman" w:hAnsi="Times New Roman"/>
          <w:sz w:val="17"/>
          <w:szCs w:val="17"/>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36830</wp:posOffset>
            </wp:positionV>
            <wp:extent cx="3161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61665" cy="8255"/>
                    </a:xfrm>
                    <a:prstGeom prst="rect">
                      <a:avLst/>
                    </a:prstGeom>
                    <a:noFill/>
                  </pic:spPr>
                </pic:pic>
              </a:graphicData>
            </a:graphic>
          </wp:anchor>
        </w:drawing>
      </w:r>
    </w:p>
    <w:p>
      <w:pPr>
        <w:spacing w:after="0" w:line="1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David M. Gray</w:t>
      </w:r>
    </w:p>
    <w:p>
      <w:pPr>
        <w:ind w:left="6280"/>
        <w:spacing w:after="0" w:line="224" w:lineRule="auto"/>
        <w:rPr>
          <w:sz w:val="20"/>
          <w:szCs w:val="20"/>
          <w:color w:val="auto"/>
        </w:rPr>
      </w:pPr>
      <w:r>
        <w:rPr>
          <w:rFonts w:ascii="Times New Roman" w:cs="Times New Roman" w:eastAsia="Times New Roman" w:hAnsi="Times New Roman"/>
          <w:sz w:val="17"/>
          <w:szCs w:val="17"/>
          <w:color w:val="auto"/>
        </w:rPr>
        <w:t>Senior Vice President and Chief Financial Officer (duly authorized</w:t>
      </w:r>
    </w:p>
    <w:p>
      <w:pPr>
        <w:spacing w:after="0" w:line="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29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A. Smith, certify that:</w:t>
      </w:r>
    </w:p>
    <w:p>
      <w:pPr>
        <w:spacing w:after="0" w:line="170" w:lineRule="exact"/>
        <w:rPr>
          <w:sz w:val="20"/>
          <w:szCs w:val="20"/>
          <w:color w:val="auto"/>
        </w:rPr>
      </w:pPr>
    </w:p>
    <w:p>
      <w:pPr>
        <w:ind w:left="640" w:hanging="322"/>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fiscal quarter ended September 30, 2022, of Aviat Networks, Inc.;</w:t>
      </w:r>
    </w:p>
    <w:p>
      <w:pPr>
        <w:spacing w:after="0" w:line="170" w:lineRule="exact"/>
        <w:rPr>
          <w:rFonts w:ascii="Times New Roman" w:cs="Times New Roman" w:eastAsia="Times New Roman" w:hAnsi="Times New Roman"/>
          <w:sz w:val="17"/>
          <w:szCs w:val="17"/>
          <w:color w:val="auto"/>
        </w:rPr>
      </w:pPr>
    </w:p>
    <w:p>
      <w:pPr>
        <w:jc w:val="both"/>
        <w:ind w:left="640" w:hanging="322"/>
        <w:spacing w:after="0" w:line="288"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jc w:val="both"/>
        <w:ind w:left="640" w:hanging="322"/>
        <w:spacing w:after="0" w:line="276"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5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4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 2022</w:t>
            </w:r>
          </w:p>
        </w:tc>
        <w:tc>
          <w:tcPr>
            <w:tcW w:w="4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Peter A. Smith</w:t>
            </w:r>
          </w:p>
        </w:tc>
      </w:tr>
      <w:tr>
        <w:trPr>
          <w:trHeight w:val="210"/>
        </w:trPr>
        <w:tc>
          <w:tcPr>
            <w:tcW w:w="63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9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Peter A. Smith</w:t>
            </w:r>
          </w:p>
        </w:tc>
      </w:tr>
      <w:tr>
        <w:trPr>
          <w:trHeight w:val="227"/>
        </w:trPr>
        <w:tc>
          <w:tcPr>
            <w:tcW w:w="63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6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M. Gray, certify that:</w:t>
      </w:r>
    </w:p>
    <w:p>
      <w:pPr>
        <w:spacing w:after="0" w:line="170" w:lineRule="exact"/>
        <w:rPr>
          <w:sz w:val="20"/>
          <w:szCs w:val="20"/>
          <w:color w:val="auto"/>
        </w:rPr>
      </w:pPr>
    </w:p>
    <w:p>
      <w:pPr>
        <w:ind w:left="640" w:hanging="322"/>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fiscal quarter ended September 30, 2022, of Aviat Networks, Inc.;</w:t>
      </w:r>
    </w:p>
    <w:p>
      <w:pPr>
        <w:spacing w:after="0" w:line="170" w:lineRule="exact"/>
        <w:rPr>
          <w:rFonts w:ascii="Times New Roman" w:cs="Times New Roman" w:eastAsia="Times New Roman" w:hAnsi="Times New Roman"/>
          <w:sz w:val="17"/>
          <w:szCs w:val="17"/>
          <w:color w:val="auto"/>
        </w:rPr>
      </w:pPr>
    </w:p>
    <w:p>
      <w:pPr>
        <w:jc w:val="both"/>
        <w:ind w:left="640" w:hanging="322"/>
        <w:spacing w:after="0" w:line="288"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jc w:val="both"/>
        <w:ind w:left="640" w:hanging="322"/>
        <w:spacing w:after="0" w:line="276"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5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4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 2022</w:t>
            </w:r>
          </w:p>
        </w:tc>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David M. Gray</w:t>
            </w:r>
          </w:p>
        </w:tc>
      </w:tr>
      <w:tr>
        <w:trPr>
          <w:trHeight w:val="210"/>
        </w:trPr>
        <w:tc>
          <w:tcPr>
            <w:tcW w:w="55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David M. Gray</w:t>
            </w:r>
          </w:p>
        </w:tc>
      </w:tr>
      <w:tr>
        <w:trPr>
          <w:trHeight w:val="227"/>
        </w:trPr>
        <w:tc>
          <w:tcPr>
            <w:tcW w:w="55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bl>
    <w:p>
      <w:pPr>
        <w:sectPr>
          <w:pgSz w:w="11900" w:h="16838" w:orient="portrait"/>
          <w:cols w:equalWidth="0" w:num="1">
            <w:col w:w="11240"/>
          </w:cols>
          <w:pgMar w:left="320" w:top="86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01" w:lineRule="exact"/>
        <w:rPr>
          <w:sz w:val="20"/>
          <w:szCs w:val="20"/>
          <w:color w:val="auto"/>
        </w:rPr>
      </w:pPr>
    </w:p>
    <w:p>
      <w:pPr>
        <w:jc w:val="center"/>
        <w:spacing w:after="0" w:line="334" w:lineRule="auto"/>
        <w:rPr>
          <w:sz w:val="20"/>
          <w:szCs w:val="20"/>
          <w:color w:val="auto"/>
        </w:rPr>
      </w:pPr>
      <w:r>
        <w:rPr>
          <w:rFonts w:ascii="Times New Roman" w:cs="Times New Roman" w:eastAsia="Times New Roman" w:hAnsi="Times New Roman"/>
          <w:sz w:val="17"/>
          <w:szCs w:val="17"/>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connection with the filing of the Quarterly Report on Form 10-Q of Aviat Networks, Inc. (“Aviat Networks”) for the fiscal quarter ended September 30, 2022,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30" w:lineRule="exact"/>
        <w:rPr>
          <w:sz w:val="20"/>
          <w:szCs w:val="20"/>
          <w:color w:val="auto"/>
        </w:rPr>
      </w:pPr>
    </w:p>
    <w:p>
      <w:pPr>
        <w:ind w:left="640" w:hanging="322"/>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6"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spacing w:after="0"/>
              <w:rPr>
                <w:sz w:val="17"/>
                <w:szCs w:val="17"/>
                <w:color w:val="auto"/>
              </w:rPr>
            </w:pPr>
          </w:p>
        </w:tc>
      </w:tr>
      <w:tr>
        <w:trPr>
          <w:trHeight w:val="227"/>
        </w:trPr>
        <w:tc>
          <w:tcPr>
            <w:tcW w:w="58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November 2, 2022</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Peter A. Smith</w:t>
            </w:r>
          </w:p>
        </w:tc>
      </w:tr>
      <w:tr>
        <w:trPr>
          <w:trHeight w:val="210"/>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Name: Peter A. Smith</w:t>
            </w:r>
          </w:p>
        </w:tc>
      </w:tr>
      <w:tr>
        <w:trPr>
          <w:trHeight w:val="227"/>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Title: President and Chief Executive Officer</w:t>
            </w:r>
          </w:p>
        </w:tc>
      </w:tr>
      <w:tr>
        <w:trPr>
          <w:trHeight w:val="413"/>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spacing w:after="0"/>
              <w:rPr>
                <w:sz w:val="24"/>
                <w:szCs w:val="24"/>
                <w:color w:val="auto"/>
              </w:rPr>
            </w:pPr>
          </w:p>
        </w:tc>
      </w:tr>
      <w:tr>
        <w:trPr>
          <w:trHeight w:val="227"/>
        </w:trPr>
        <w:tc>
          <w:tcPr>
            <w:tcW w:w="58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November 2, 2022</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M. Gray</w:t>
            </w:r>
          </w:p>
        </w:tc>
      </w:tr>
      <w:tr>
        <w:trPr>
          <w:trHeight w:val="210"/>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Name: David M. Gray</w:t>
            </w:r>
          </w:p>
        </w:tc>
      </w:tr>
      <w:tr>
        <w:trPr>
          <w:trHeight w:val="227"/>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8" Type="http://schemas.openxmlformats.org/officeDocument/2006/relationships/hyperlink" Target="http://www.sec.gov/Archives/edgar/data/1377789/000137778922000134/amendedandrestatedbylaws82.htm" TargetMode="External"/><Relationship Id="rId49" Type="http://schemas.openxmlformats.org/officeDocument/2006/relationships/hyperlink" Target="http://www.sec.gov/Archives/edgar/data/1377789/000137778917000022/avnwexhibit31amended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2022-11-02T16:04:47Z</dcterms:created>
  <dcterms:modified xsi:type="dcterms:W3CDTF">2022-11-02T16:04:47Z</dcterms:modified>
</cp:coreProperties>
</file>