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4440" w:right="2880" w:hanging="4414"/>
        <w:spacing w:after="0" w:line="279" w:lineRule="auto"/>
        <w:tabs>
          <w:tab w:leader="none" w:pos="43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July 1, 2022 or</w:t>
      </w:r>
    </w:p>
    <w:p>
      <w:pPr>
        <w:spacing w:after="0" w:line="4"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001-33278</w:t>
      </w:r>
    </w:p>
    <w:p>
      <w:pPr>
        <w:spacing w:after="0" w:line="3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AVIAT NETWORKS, INC.</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34" w:lineRule="exact"/>
        <w:rPr>
          <w:sz w:val="24"/>
          <w:szCs w:val="24"/>
          <w:color w:val="auto"/>
        </w:rPr>
      </w:pPr>
    </w:p>
    <w:tbl>
      <w:tblPr>
        <w:tblLayout w:type="fixed"/>
        <w:tblInd w:w="340" w:type="dxa"/>
        <w:tblCellMar>
          <w:top w:w="0" w:type="dxa"/>
          <w:left w:w="0" w:type="dxa"/>
          <w:bottom w:w="0" w:type="dxa"/>
          <w:right w:w="0" w:type="dxa"/>
        </w:tblCellMar>
      </w:tblPr>
      <w:tr>
        <w:trPr>
          <w:trHeight w:val="212"/>
        </w:trPr>
        <w:tc>
          <w:tcPr>
            <w:tcW w:w="1580" w:type="dxa"/>
            <w:vAlign w:val="bottom"/>
          </w:tcPr>
          <w:p>
            <w:pPr>
              <w:spacing w:after="0"/>
              <w:rPr>
                <w:sz w:val="18"/>
                <w:szCs w:val="18"/>
                <w:color w:val="auto"/>
              </w:rPr>
            </w:pPr>
          </w:p>
        </w:tc>
        <w:tc>
          <w:tcPr>
            <w:tcW w:w="2800" w:type="dxa"/>
            <w:vAlign w:val="bottom"/>
            <w:gridSpan w:val="2"/>
          </w:tcPr>
          <w:p>
            <w:pPr>
              <w:jc w:val="center"/>
              <w:ind w:right="153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20-5961564</w:t>
            </w:r>
          </w:p>
        </w:tc>
      </w:tr>
      <w:tr>
        <w:trPr>
          <w:trHeight w:val="166"/>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r>
      <w:tr>
        <w:trPr>
          <w:trHeight w:val="617"/>
        </w:trPr>
        <w:tc>
          <w:tcPr>
            <w:tcW w:w="438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200 Parker Drive, Suite C100A,  Austin,  Texas</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78728</w:t>
            </w:r>
          </w:p>
        </w:tc>
      </w:tr>
      <w:tr>
        <w:trPr>
          <w:trHeight w:val="166"/>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488"/>
        </w:trPr>
        <w:tc>
          <w:tcPr>
            <w:tcW w:w="1580" w:type="dxa"/>
            <w:vAlign w:val="bottom"/>
          </w:tcPr>
          <w:p>
            <w:pPr>
              <w:spacing w:after="0"/>
              <w:rPr>
                <w:sz w:val="24"/>
                <w:szCs w:val="24"/>
                <w:color w:val="auto"/>
              </w:rPr>
            </w:pPr>
          </w:p>
        </w:tc>
        <w:tc>
          <w:tcPr>
            <w:tcW w:w="6720" w:type="dxa"/>
            <w:vAlign w:val="bottom"/>
            <w:gridSpan w:val="6"/>
          </w:tcPr>
          <w:p>
            <w:pPr>
              <w:jc w:val="right"/>
              <w:ind w:right="368"/>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941-7100</w:t>
            </w:r>
          </w:p>
        </w:tc>
        <w:tc>
          <w:tcPr>
            <w:tcW w:w="1580" w:type="dxa"/>
            <w:vAlign w:val="bottom"/>
          </w:tcPr>
          <w:p>
            <w:pPr>
              <w:spacing w:after="0"/>
              <w:rPr>
                <w:sz w:val="24"/>
                <w:szCs w:val="24"/>
                <w:color w:val="auto"/>
              </w:rPr>
            </w:pPr>
          </w:p>
        </w:tc>
      </w:tr>
      <w:tr>
        <w:trPr>
          <w:trHeight w:val="243"/>
        </w:trPr>
        <w:tc>
          <w:tcPr>
            <w:tcW w:w="1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560" w:type="dxa"/>
            <w:vAlign w:val="bottom"/>
            <w:gridSpan w:val="5"/>
          </w:tcPr>
          <w:p>
            <w:pPr>
              <w:jc w:val="right"/>
              <w:ind w:right="748"/>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580" w:type="dxa"/>
            <w:vAlign w:val="bottom"/>
          </w:tcPr>
          <w:p>
            <w:pPr>
              <w:spacing w:after="0"/>
              <w:rPr>
                <w:sz w:val="21"/>
                <w:szCs w:val="21"/>
                <w:color w:val="auto"/>
              </w:rPr>
            </w:pPr>
          </w:p>
        </w:tc>
      </w:tr>
      <w:tr>
        <w:trPr>
          <w:trHeight w:val="445"/>
        </w:trPr>
        <w:tc>
          <w:tcPr>
            <w:tcW w:w="1580" w:type="dxa"/>
            <w:vAlign w:val="bottom"/>
          </w:tcPr>
          <w:p>
            <w:pPr>
              <w:spacing w:after="0"/>
              <w:rPr>
                <w:sz w:val="24"/>
                <w:szCs w:val="24"/>
                <w:color w:val="auto"/>
              </w:rPr>
            </w:pPr>
          </w:p>
        </w:tc>
        <w:tc>
          <w:tcPr>
            <w:tcW w:w="2800" w:type="dxa"/>
            <w:vAlign w:val="bottom"/>
            <w:gridSpan w:val="2"/>
          </w:tcPr>
          <w:p>
            <w:pPr>
              <w:jc w:val="center"/>
              <w:ind w:right="155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8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5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20" w:type="dxa"/>
            <w:vAlign w:val="bottom"/>
            <w:gridSpan w:val="2"/>
            <w:shd w:val="clear" w:color="auto" w:fill="000000"/>
          </w:tcPr>
          <w:p>
            <w:pPr>
              <w:spacing w:after="0" w:line="20" w:lineRule="exact"/>
              <w:rPr>
                <w:sz w:val="1"/>
                <w:szCs w:val="1"/>
                <w:color w:val="auto"/>
              </w:rPr>
            </w:pPr>
          </w:p>
        </w:tc>
      </w:tr>
      <w:tr>
        <w:trPr>
          <w:trHeight w:val="213"/>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400" w:type="dxa"/>
            <w:vAlign w:val="bottom"/>
          </w:tcPr>
          <w:p>
            <w:pPr>
              <w:spacing w:after="0"/>
              <w:rPr>
                <w:sz w:val="18"/>
                <w:szCs w:val="18"/>
                <w:color w:val="auto"/>
              </w:rPr>
            </w:pPr>
          </w:p>
        </w:tc>
        <w:tc>
          <w:tcPr>
            <w:tcW w:w="228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color w:val="auto"/>
                <w:w w:val="96"/>
              </w:rPr>
              <w:t>AVNW</w:t>
            </w:r>
          </w:p>
        </w:tc>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NASDAQ Stock Market LLC</w:t>
            </w:r>
          </w:p>
        </w:tc>
      </w:tr>
      <w:tr>
        <w:trPr>
          <w:trHeight w:val="203"/>
        </w:trPr>
        <w:tc>
          <w:tcPr>
            <w:tcW w:w="43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Preferred Share Purchase Rights</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NASDAQ Stock Market LLC</w:t>
            </w:r>
          </w:p>
        </w:tc>
      </w:tr>
      <w:tr>
        <w:trPr>
          <w:trHeight w:val="374"/>
        </w:trPr>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560" w:type="dxa"/>
            <w:vAlign w:val="bottom"/>
            <w:gridSpan w:val="5"/>
          </w:tcPr>
          <w:p>
            <w:pPr>
              <w:jc w:val="right"/>
              <w:ind w:right="368"/>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1580" w:type="dxa"/>
            <w:vAlign w:val="bottom"/>
          </w:tcPr>
          <w:p>
            <w:pPr>
              <w:spacing w:after="0"/>
              <w:rPr>
                <w:sz w:val="24"/>
                <w:szCs w:val="24"/>
                <w:color w:val="auto"/>
              </w:rPr>
            </w:pPr>
          </w:p>
        </w:tc>
      </w:tr>
      <w:tr>
        <w:trPr>
          <w:trHeight w:val="243"/>
        </w:trPr>
        <w:tc>
          <w:tcPr>
            <w:tcW w:w="8300" w:type="dxa"/>
            <w:vAlign w:val="bottom"/>
            <w:gridSpan w:val="7"/>
          </w:tcPr>
          <w:p>
            <w:pPr>
              <w:jc w:val="right"/>
              <w:ind w:right="748"/>
              <w:spacing w:after="0"/>
              <w:rPr>
                <w:sz w:val="20"/>
                <w:szCs w:val="20"/>
                <w:color w:val="auto"/>
              </w:rPr>
            </w:pPr>
            <w:r>
              <w:rPr>
                <w:rFonts w:ascii="Times New Roman" w:cs="Times New Roman" w:eastAsia="Times New Roman" w:hAnsi="Times New Roman"/>
                <w:sz w:val="18"/>
                <w:szCs w:val="18"/>
                <w:color w:val="auto"/>
              </w:rPr>
              <w:t>_____________________________________________</w:t>
            </w:r>
          </w:p>
        </w:tc>
        <w:tc>
          <w:tcPr>
            <w:tcW w:w="1580" w:type="dxa"/>
            <w:vAlign w:val="bottom"/>
          </w:tcPr>
          <w:p>
            <w:pPr>
              <w:spacing w:after="0"/>
              <w:rPr>
                <w:sz w:val="21"/>
                <w:szCs w:val="21"/>
                <w:color w:val="auto"/>
              </w:rPr>
            </w:pPr>
          </w:p>
        </w:tc>
      </w:tr>
      <w:tr>
        <w:trPr>
          <w:trHeight w:val="230"/>
        </w:trPr>
        <w:tc>
          <w:tcPr>
            <w:tcW w:w="8300" w:type="dxa"/>
            <w:vAlign w:val="bottom"/>
            <w:gridSpan w:val="7"/>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tc>
        <w:tc>
          <w:tcPr>
            <w:tcW w:w="158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54"/>
        </w:trPr>
        <w:tc>
          <w:tcPr>
            <w:tcW w:w="8300" w:type="dxa"/>
            <w:vAlign w:val="bottom"/>
            <w:gridSpan w:val="7"/>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tc>
        <w:tc>
          <w:tcPr>
            <w:tcW w:w="158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bl>
    <w:p>
      <w:pPr>
        <w:spacing w:after="0" w:line="1" w:lineRule="exact"/>
        <w:rPr>
          <w:sz w:val="24"/>
          <w:szCs w:val="24"/>
          <w:color w:val="auto"/>
        </w:rPr>
      </w:pPr>
    </w:p>
    <w:p>
      <w:pPr>
        <w:jc w:val="both"/>
        <w:ind w:firstLine="324"/>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ind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324"/>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tbl>
      <w:tblPr>
        <w:tblLayout w:type="fixed"/>
        <w:tblInd w:w="680" w:type="dxa"/>
        <w:tblCellMar>
          <w:top w:w="0" w:type="dxa"/>
          <w:left w:w="0" w:type="dxa"/>
          <w:bottom w:w="0" w:type="dxa"/>
          <w:right w:w="0" w:type="dxa"/>
        </w:tblCellMar>
      </w:tblP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2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Accelerated filer</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2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52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3480" w:type="dxa"/>
            <w:vAlign w:val="bottom"/>
          </w:tcPr>
          <w:p>
            <w:pPr>
              <w:spacing w:after="0"/>
              <w:rPr>
                <w:sz w:val="22"/>
                <w:szCs w:val="22"/>
                <w:color w:val="auto"/>
              </w:rPr>
            </w:pPr>
          </w:p>
        </w:tc>
        <w:tc>
          <w:tcPr>
            <w:tcW w:w="1100" w:type="dxa"/>
            <w:vAlign w:val="bottom"/>
          </w:tcPr>
          <w:p>
            <w:pPr>
              <w:spacing w:after="0"/>
              <w:rPr>
                <w:sz w:val="22"/>
                <w:szCs w:val="22"/>
                <w:color w:val="auto"/>
              </w:rPr>
            </w:pPr>
          </w:p>
        </w:tc>
      </w:tr>
    </w:tbl>
    <w:p>
      <w:pPr>
        <w:spacing w:after="0" w:line="109" w:lineRule="exact"/>
        <w:rPr>
          <w:sz w:val="24"/>
          <w:szCs w:val="24"/>
          <w:color w:val="auto"/>
        </w:rPr>
      </w:pPr>
    </w:p>
    <w:p>
      <w:pPr>
        <w:ind w:firstLine="324"/>
        <w:spacing w:after="0" w:line="20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0" w:firstLine="324"/>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ind w:left="340"/>
        <w:spacing w:after="0" w:line="184" w:lineRule="exact"/>
        <w:tabs>
          <w:tab w:leader="none" w:pos="83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52" w:lineRule="exact"/>
        <w:rPr>
          <w:sz w:val="24"/>
          <w:szCs w:val="24"/>
          <w:color w:val="auto"/>
        </w:rPr>
      </w:pPr>
    </w:p>
    <w:p>
      <w:pPr>
        <w:ind w:firstLine="324"/>
        <w:spacing w:after="0" w:line="281" w:lineRule="auto"/>
        <w:rPr>
          <w:sz w:val="20"/>
          <w:szCs w:val="20"/>
          <w:color w:val="auto"/>
        </w:rPr>
      </w:pPr>
      <w:r>
        <w:rPr>
          <w:rFonts w:ascii="Times New Roman" w:cs="Times New Roman" w:eastAsia="Times New Roman" w:hAnsi="Times New Roman"/>
          <w:sz w:val="16"/>
          <w:szCs w:val="16"/>
          <w:color w:val="auto"/>
        </w:rPr>
        <w:t>As of December 31, 2021, the aggregate market value of the registrant’s common stock held by non-affiliates was approximately $349.7 million. For purposes of this calculation, the registrant has assumed that its directors, executive officers and holders of 10% or more of the outstanding common stock are affiliates.</w:t>
      </w:r>
    </w:p>
    <w:p>
      <w:pPr>
        <w:spacing w:after="0" w:line="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As of September 2, 2022, there were 11,186,477 shares of the registrant’s common stock outstanding.</w:t>
      </w:r>
    </w:p>
    <w:p>
      <w:pPr>
        <w:spacing w:after="0" w:line="4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1" w:name="page2"/>
    <w:bookmarkEnd w:id="1"/>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DOCUMENTS INCORPORATED BY REFERENCE</w:t>
      </w:r>
    </w:p>
    <w:p>
      <w:pPr>
        <w:spacing w:after="0" w:line="48"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fiscal 2022 Annual Meeting of Stockholders (“Proxy Statement”), which will be filed with the Securities and Exchange Commission within 120 days after the end of the registrant’s fiscal year ended July 1, 2022,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4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4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101"/>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80" w:type="dxa"/>
            <w:vAlign w:val="bottom"/>
          </w:tcPr>
          <w:p>
            <w:pPr>
              <w:jc w:val="center"/>
              <w:ind w:right="2070"/>
              <w:spacing w:after="0"/>
              <w:rPr>
                <w:sz w:val="20"/>
                <w:szCs w:val="20"/>
                <w:color w:val="auto"/>
              </w:rPr>
            </w:pPr>
            <w:r>
              <w:rPr>
                <w:rFonts w:ascii="Times New Roman" w:cs="Times New Roman" w:eastAsia="Times New Roman" w:hAnsi="Times New Roman"/>
                <w:sz w:val="18"/>
                <w:szCs w:val="18"/>
                <w:b w:val="1"/>
                <w:bCs w:val="1"/>
                <w:color w:val="auto"/>
                <w:w w:val="98"/>
              </w:rPr>
              <w:t>AVIAT NETWORKS, INC.</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80" w:type="dxa"/>
            <w:vAlign w:val="bottom"/>
          </w:tcPr>
          <w:p>
            <w:pPr>
              <w:jc w:val="center"/>
              <w:ind w:right="2070"/>
              <w:spacing w:after="0"/>
              <w:rPr>
                <w:sz w:val="20"/>
                <w:szCs w:val="20"/>
                <w:color w:val="auto"/>
              </w:rPr>
            </w:pPr>
            <w:r>
              <w:rPr>
                <w:rFonts w:ascii="Times New Roman" w:cs="Times New Roman" w:eastAsia="Times New Roman" w:hAnsi="Times New Roman"/>
                <w:sz w:val="18"/>
                <w:szCs w:val="18"/>
                <w:b w:val="1"/>
                <w:bCs w:val="1"/>
                <w:color w:val="auto"/>
                <w:w w:val="98"/>
              </w:rPr>
              <w:t>For the Fiscal Year Ended July 1, 2022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80" w:type="dxa"/>
            <w:vAlign w:val="bottom"/>
          </w:tcPr>
          <w:p>
            <w:pPr>
              <w:jc w:val="center"/>
              <w:ind w:right="207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8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20" w:type="dxa"/>
            <w:vAlign w:val="bottom"/>
            <w:shd w:val="clear" w:color="auto" w:fill="CCEEFF"/>
          </w:tcPr>
          <w:p>
            <w:pPr>
              <w:spacing w:after="0"/>
              <w:rPr>
                <w:sz w:val="16"/>
                <w:szCs w:val="16"/>
                <w:color w:val="auto"/>
              </w:rPr>
            </w:pPr>
          </w:p>
        </w:tc>
        <w:tc>
          <w:tcPr>
            <w:tcW w:w="14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68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5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58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640" w:type="dxa"/>
            <w:vAlign w:val="bottom"/>
            <w:tcBorders>
              <w:top w:val="single" w:sz="8" w:color="0000FF"/>
              <w:bottom w:val="single" w:sz="8" w:color="0000FF"/>
            </w:tcBorders>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w w:val="95"/>
              </w:rPr>
              <w:t>Item 1B.</w:t>
            </w:r>
          </w:p>
        </w:tc>
        <w:tc>
          <w:tcPr>
            <w:tcW w:w="480" w:type="dxa"/>
            <w:vAlign w:val="bottom"/>
            <w:tcBorders>
              <w:top w:val="single" w:sz="8" w:color="CCEEFF"/>
            </w:tcBorders>
            <w:gridSpan w:val="2"/>
          </w:tcPr>
          <w:p>
            <w:pPr>
              <w:spacing w:after="0"/>
              <w:rPr>
                <w:sz w:val="16"/>
                <w:szCs w:val="16"/>
                <w:color w:val="auto"/>
              </w:rPr>
            </w:pPr>
          </w:p>
        </w:tc>
        <w:tc>
          <w:tcPr>
            <w:tcW w:w="9580" w:type="dxa"/>
            <w:vAlign w:val="bottom"/>
            <w:tcBorders>
              <w:top w:val="single" w:sz="8" w:color="CCEEFF"/>
            </w:tcBorders>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80" w:type="dxa"/>
            <w:vAlign w:val="bottom"/>
            <w:tcBorders>
              <w:top w:val="single" w:sz="8" w:color="0000FF"/>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2.</w:t>
            </w:r>
          </w:p>
        </w:tc>
        <w:tc>
          <w:tcPr>
            <w:tcW w:w="600" w:type="dxa"/>
            <w:vAlign w:val="bottom"/>
            <w:tcBorders>
              <w:bottom w:val="single" w:sz="8" w:color="CCEEFF"/>
            </w:tcBorders>
            <w:gridSpan w:val="4"/>
            <w:shd w:val="clear" w:color="auto" w:fill="CCEEFF"/>
          </w:tcPr>
          <w:p>
            <w:pPr>
              <w:spacing w:after="0"/>
              <w:rPr>
                <w:sz w:val="18"/>
                <w:szCs w:val="18"/>
                <w:color w:val="auto"/>
              </w:rPr>
            </w:pPr>
          </w:p>
        </w:tc>
        <w:tc>
          <w:tcPr>
            <w:tcW w:w="9580" w:type="dxa"/>
            <w:vAlign w:val="bottom"/>
            <w:tcBorders>
              <w:bottom w:val="single" w:sz="8" w:color="CCEEFF"/>
            </w:tcBorders>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95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58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6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9580" w:type="dxa"/>
            <w:vAlign w:val="bottom"/>
            <w:tcBorders>
              <w:top w:val="single" w:sz="8" w:color="CCEEFF"/>
            </w:tcBorders>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80" w:type="dxa"/>
            <w:vAlign w:val="bottom"/>
            <w:tcBorders>
              <w:top w:val="single" w:sz="8" w:color="CCEE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6.</w:t>
            </w:r>
          </w:p>
        </w:tc>
        <w:tc>
          <w:tcPr>
            <w:tcW w:w="600" w:type="dxa"/>
            <w:vAlign w:val="bottom"/>
            <w:gridSpan w:val="4"/>
            <w:shd w:val="clear" w:color="auto" w:fill="CCEEFF"/>
          </w:tcPr>
          <w:p>
            <w:pPr>
              <w:spacing w:after="0"/>
              <w:rPr>
                <w:sz w:val="16"/>
                <w:szCs w:val="16"/>
                <w:color w:val="auto"/>
              </w:rPr>
            </w:pPr>
          </w:p>
        </w:tc>
        <w:tc>
          <w:tcPr>
            <w:tcW w:w="958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Borders>
              <w:bottom w:val="single" w:sz="8" w:color="0000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7.</w:t>
            </w:r>
          </w:p>
        </w:tc>
        <w:tc>
          <w:tcPr>
            <w:tcW w:w="600" w:type="dxa"/>
            <w:vAlign w:val="bottom"/>
            <w:gridSpan w:val="4"/>
          </w:tcPr>
          <w:p>
            <w:pPr>
              <w:spacing w:after="0"/>
              <w:rPr>
                <w:sz w:val="16"/>
                <w:szCs w:val="16"/>
                <w:color w:val="auto"/>
              </w:rPr>
            </w:pPr>
          </w:p>
        </w:tc>
        <w:tc>
          <w:tcPr>
            <w:tcW w:w="95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7A.</w:t>
            </w:r>
          </w:p>
        </w:tc>
        <w:tc>
          <w:tcPr>
            <w:tcW w:w="958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640" w:type="dxa"/>
            <w:vAlign w:val="bottom"/>
            <w:tcBorders>
              <w:top w:val="single" w:sz="8" w:color="0000FF"/>
            </w:tcBorders>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8.</w:t>
            </w:r>
          </w:p>
        </w:tc>
        <w:tc>
          <w:tcPr>
            <w:tcW w:w="480" w:type="dxa"/>
            <w:vAlign w:val="bottom"/>
            <w:tcBorders>
              <w:top w:val="single" w:sz="8" w:color="CCEEFF"/>
            </w:tcBorders>
            <w:gridSpan w:val="2"/>
          </w:tcPr>
          <w:p>
            <w:pPr>
              <w:spacing w:after="0"/>
              <w:rPr>
                <w:sz w:val="16"/>
                <w:szCs w:val="16"/>
                <w:color w:val="auto"/>
              </w:rPr>
            </w:pPr>
          </w:p>
        </w:tc>
        <w:tc>
          <w:tcPr>
            <w:tcW w:w="9580" w:type="dxa"/>
            <w:vAlign w:val="bottom"/>
            <w:tcBorders>
              <w:top w:val="single" w:sz="8" w:color="CCEEFF"/>
            </w:tcBorders>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4"/>
              </w:rPr>
              <w:t>Item 9.</w:t>
            </w:r>
          </w:p>
        </w:tc>
        <w:tc>
          <w:tcPr>
            <w:tcW w:w="600" w:type="dxa"/>
            <w:vAlign w:val="bottom"/>
            <w:tcBorders>
              <w:bottom w:val="single" w:sz="8" w:color="CCEEFF"/>
            </w:tcBorders>
            <w:gridSpan w:val="4"/>
            <w:shd w:val="clear" w:color="auto" w:fill="CCEEFF"/>
          </w:tcPr>
          <w:p>
            <w:pPr>
              <w:spacing w:after="0"/>
              <w:rPr>
                <w:sz w:val="18"/>
                <w:szCs w:val="18"/>
                <w:color w:val="auto"/>
              </w:rPr>
            </w:pPr>
          </w:p>
        </w:tc>
        <w:tc>
          <w:tcPr>
            <w:tcW w:w="9580" w:type="dxa"/>
            <w:vAlign w:val="bottom"/>
            <w:tcBorders>
              <w:bottom w:val="single" w:sz="8" w:color="CCEEFF"/>
            </w:tcBorders>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9A.</w:t>
            </w:r>
          </w:p>
        </w:tc>
        <w:tc>
          <w:tcPr>
            <w:tcW w:w="95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9B.</w:t>
            </w:r>
          </w:p>
        </w:tc>
        <w:tc>
          <w:tcPr>
            <w:tcW w:w="958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87</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8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III</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6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10.</w:t>
            </w:r>
          </w:p>
        </w:tc>
        <w:tc>
          <w:tcPr>
            <w:tcW w:w="9580" w:type="dxa"/>
            <w:vAlign w:val="bottom"/>
            <w:tcBorders>
              <w:top w:val="single" w:sz="8" w:color="CCEEFF"/>
            </w:tcBorders>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80" w:type="dxa"/>
            <w:vAlign w:val="bottom"/>
            <w:tcBorders>
              <w:top w:val="single" w:sz="8" w:color="CCEE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88</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11.</w:t>
            </w:r>
          </w:p>
        </w:tc>
        <w:tc>
          <w:tcPr>
            <w:tcW w:w="958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88</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12.</w:t>
            </w:r>
          </w:p>
        </w:tc>
        <w:tc>
          <w:tcPr>
            <w:tcW w:w="95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88</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13.</w:t>
            </w:r>
          </w:p>
        </w:tc>
        <w:tc>
          <w:tcPr>
            <w:tcW w:w="958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88</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14.</w:t>
            </w:r>
          </w:p>
        </w:tc>
        <w:tc>
          <w:tcPr>
            <w:tcW w:w="9580" w:type="dxa"/>
            <w:vAlign w:val="bottom"/>
            <w:gridSpan w:val="3"/>
          </w:tcPr>
          <w:p>
            <w:pPr>
              <w:ind w:left="120"/>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88</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4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89</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15.</w:t>
            </w:r>
          </w:p>
        </w:tc>
        <w:tc>
          <w:tcPr>
            <w:tcW w:w="958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89</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Schedule II</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6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rPr>
              <w:t>Exhibit Index</w:t>
            </w:r>
          </w:p>
        </w:tc>
        <w:tc>
          <w:tcPr>
            <w:tcW w:w="1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8680" w:type="dxa"/>
            <w:vAlign w:val="bottom"/>
            <w:tcBorders>
              <w:top w:val="single" w:sz="8" w:color="CCEEFF"/>
            </w:tcBorders>
          </w:tcPr>
          <w:p>
            <w:pPr>
              <w:spacing w:after="0"/>
              <w:rPr>
                <w:sz w:val="16"/>
                <w:szCs w:val="16"/>
                <w:color w:val="auto"/>
              </w:rPr>
            </w:pPr>
          </w:p>
        </w:tc>
        <w:tc>
          <w:tcPr>
            <w:tcW w:w="180" w:type="dxa"/>
            <w:vAlign w:val="bottom"/>
            <w:tcBorders>
              <w:top w:val="single" w:sz="8" w:color="CCEEFF"/>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92</w:t>
            </w:r>
          </w:p>
        </w:tc>
        <w:tc>
          <w:tcPr>
            <w:tcW w:w="20" w:type="dxa"/>
            <w:vAlign w:val="bottom"/>
            <w:tcBorders>
              <w:top w:val="single" w:sz="8" w:color="CCEEFF"/>
            </w:tcBorders>
          </w:tcPr>
          <w:p>
            <w:pPr>
              <w:spacing w:after="0"/>
              <w:rPr>
                <w:sz w:val="16"/>
                <w:szCs w:val="16"/>
                <w:color w:val="auto"/>
              </w:rPr>
            </w:pPr>
          </w:p>
        </w:tc>
      </w:tr>
      <w:tr>
        <w:trPr>
          <w:trHeight w:val="151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80" w:type="dxa"/>
            <w:vAlign w:val="bottom"/>
            <w:gridSpan w:val="3"/>
          </w:tcPr>
          <w:p>
            <w:pPr>
              <w:jc w:val="center"/>
              <w:ind w:right="1170"/>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including “Item 7.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estimates reflecting the current beliefs of the senior management of Aviat Networks, Inc.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Annual Report on Form 10-K. Important factors that could cause actual results to differ materially from estimates or projections contained in the forward-looking statements include, but are not limited to, the following:</w:t>
      </w:r>
    </w:p>
    <w:p>
      <w:pPr>
        <w:spacing w:after="0" w:line="127"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COVID-19 on our business, operations and cash flows;</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price and margin erosion as a result of increased competition in the microwave transmission industry;</w:t>
      </w:r>
    </w:p>
    <w:p>
      <w:pPr>
        <w:spacing w:after="0" w:line="63" w:lineRule="exact"/>
        <w:rPr>
          <w:rFonts w:ascii="Times New Roman" w:cs="Times New Roman" w:eastAsia="Times New Roman" w:hAnsi="Times New Roman"/>
          <w:sz w:val="18"/>
          <w:szCs w:val="18"/>
          <w:color w:val="auto"/>
        </w:rPr>
      </w:pPr>
    </w:p>
    <w:p>
      <w:pPr>
        <w:ind w:left="900" w:hanging="325"/>
        <w:spacing w:after="0" w:line="281" w:lineRule="auto"/>
        <w:tabs>
          <w:tab w:leader="none" w:pos="89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realize the anticipated benefits of any proposed or recent acquisitions, including our proposed transaction with Ceragon, within the anticipated timeframe or at all, including the risk that proposed or recent acquisitions will not be integrated successfully;</w:t>
      </w:r>
    </w:p>
    <w:p>
      <w:pPr>
        <w:spacing w:after="0" w:line="1"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results of the extraordinary general meeting of Ceragon’s shareholders;</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the volume, timing, and customer, product, and geographic mix of our product orders;</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timing of our receipt of payment for products or services from our customers;</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projected new product development dates or anticipated cost reductions of new products;</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line="281" w:lineRule="auto"/>
        <w:tabs>
          <w:tab w:leader="none" w:pos="89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suppliers’ inability to perform and deliver on time as a result of their financial condition, component shortages, the effects of COVID-19 or other supply chain constraints;</w:t>
      </w:r>
    </w:p>
    <w:p>
      <w:pPr>
        <w:spacing w:after="0" w:line="1"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customer acceptance of new products;</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of our subcontractors to timely perform;</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weakness in the global economy affecting customer spending;</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retention of our key personnel;</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manage and maintain key customer relationships;</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 economic conditions in the telecommunications sector combined with operator and supplier consolidation;</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failure to protect our intellectual property rights or defend against intellectual property infringement claims by others;</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results of our restructuring efforts;</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to preserve and use our net operating loss carryforwards;</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currency and interest rate risks;</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line="281" w:lineRule="auto"/>
        <w:tabs>
          <w:tab w:leader="none" w:pos="89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effects of current and future government regulations, including the effects of current restrictions on various commercial and economic activities in response to the COVID-19 pandemic;</w:t>
      </w:r>
    </w:p>
    <w:p>
      <w:pPr>
        <w:spacing w:after="0" w:line="1" w:lineRule="exact"/>
        <w:rPr>
          <w:rFonts w:ascii="Times New Roman" w:cs="Times New Roman" w:eastAsia="Times New Roman" w:hAnsi="Times New Roman"/>
          <w:sz w:val="18"/>
          <w:szCs w:val="18"/>
          <w:i w:val="1"/>
          <w:iCs w:val="1"/>
          <w:color w:val="auto"/>
        </w:rPr>
      </w:pPr>
    </w:p>
    <w:p>
      <w:pPr>
        <w:ind w:left="900" w:hanging="325"/>
        <w:spacing w:after="0" w:line="281" w:lineRule="auto"/>
        <w:tabs>
          <w:tab w:leader="none" w:pos="89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general economic conditions, including uncertainty regarding the timing, pace and extent of an economic recovery in the United States and other countries where we conduct business;</w:t>
      </w:r>
    </w:p>
    <w:p>
      <w:pPr>
        <w:spacing w:after="0" w:line="1"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conduct of unethical business practices in developing countries;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political turmoil in countries where we have significant business;</w:t>
      </w:r>
    </w:p>
    <w:p>
      <w:pPr>
        <w:spacing w:after="0" w:line="63" w:lineRule="exact"/>
        <w:rPr>
          <w:rFonts w:ascii="Times New Roman" w:cs="Times New Roman" w:eastAsia="Times New Roman" w:hAnsi="Times New Roman"/>
          <w:sz w:val="18"/>
          <w:szCs w:val="18"/>
          <w:i w:val="1"/>
          <w:iCs w:val="1"/>
          <w:color w:val="auto"/>
        </w:rPr>
      </w:pPr>
    </w:p>
    <w:p>
      <w:pPr>
        <w:jc w:val="both"/>
        <w:ind w:left="900" w:hanging="325"/>
        <w:spacing w:after="0" w:line="267" w:lineRule="auto"/>
        <w:tabs>
          <w:tab w:leader="none" w:pos="89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tariffs, the adoption of trade restrictions affecting our products or suppliers, a United States withdrawal from or significant renegotiation of trade agreements, the occurrence of trade wars, the closing of border crossings, and other changes in trade regulations or relationships; and</w:t>
      </w:r>
    </w:p>
    <w:p>
      <w:pPr>
        <w:spacing w:after="0" w:line="11"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implement our stock repurchase program or that it will enhance long-term stockholder value.</w:t>
      </w:r>
    </w:p>
    <w:p>
      <w:pPr>
        <w:spacing w:after="0" w:line="63" w:lineRule="exact"/>
        <w:rPr>
          <w:rFonts w:ascii="Times New Roman" w:cs="Times New Roman" w:eastAsia="Times New Roman" w:hAnsi="Times New Roman"/>
          <w:sz w:val="18"/>
          <w:szCs w:val="18"/>
          <w:i w:val="1"/>
          <w:iCs w:val="1"/>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financial covenant requirements which could impact, among other things, our liquidity;</w:t>
      </w:r>
    </w:p>
    <w:p>
      <w:pPr>
        <w:spacing w:after="0" w:line="17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factors besides those listed here also could adversely affect us. See “Item 1A. Risk Factors” in this Annual Report on Form 10-K for more information regarding factors that may cause our results to differ materially from those expressed or implied by the forward-looking statements contained in this Annual Report on Form 10-K.</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which reflect our management’s opinions only as of the date of the filing of this Annual Report on Form 10-K.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expressly disclaim any obligation, other than as required by law, to update any forward-looking statements to reflect further developments or information obtained after the date of filing of this Annual Report on Form 10-K or, in the case of any document incorporated by reference, the date of that document.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Aviat Networks, Inc., together with its subsidiaries, is a global supplier of microwave networking solutions, backed by an extensive suite of professional services and support. Aviat Networks, Inc. may be referred to as “the Company,” “AVNW,” “Aviat Networks,” “Aviat,” “we,” “us” and “our” in this Annual Report on Form 10-K.</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200 Parker Dr., Suite C100A, Austin, Texas 78728, and our telephone number is (408) 941-7100. Our common stock is listed on the NASDAQ Global Select Market under the symbol AVNW. As of July 1, 2022, we had 712 employees compared with 687 employees as of July 2,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Description of the Business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design, manufacture and sell a range of wireless networking products, solutions and services to two principal customer types.</w:t>
      </w:r>
    </w:p>
    <w:p>
      <w:pPr>
        <w:spacing w:after="0" w:line="279" w:lineRule="exact"/>
        <w:rPr>
          <w:sz w:val="20"/>
          <w:szCs w:val="20"/>
          <w:color w:val="auto"/>
        </w:rPr>
      </w:pPr>
    </w:p>
    <w:p>
      <w:pPr>
        <w:ind w:left="980"/>
        <w:spacing w:after="0" w:line="282" w:lineRule="auto"/>
        <w:tabs>
          <w:tab w:leader="none" w:pos="1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Service Providers (“CSPs”): These include mobile and fixed telecommunications network operators, broadband and internet service providers and network operators which generate revenues from the communications services that they provide.</w:t>
      </w:r>
    </w:p>
    <w:p>
      <w:pPr>
        <w:spacing w:after="0" w:line="215" w:lineRule="exact"/>
        <w:rPr>
          <w:rFonts w:ascii="Times New Roman" w:cs="Times New Roman" w:eastAsia="Times New Roman" w:hAnsi="Times New Roman"/>
          <w:sz w:val="18"/>
          <w:szCs w:val="18"/>
          <w:color w:val="auto"/>
        </w:rPr>
      </w:pPr>
    </w:p>
    <w:p>
      <w:pPr>
        <w:jc w:val="both"/>
        <w:ind w:left="980"/>
        <w:spacing w:after="0" w:line="261" w:lineRule="auto"/>
        <w:tabs>
          <w:tab w:leader="none" w:pos="1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network operators: These are customers which do not resell communications services but build networks for reasons of economics, autonomy, and/or security to support a wide variety of mission critical performance applications. Examples include federal, state and local government agencies, transportation agencies, energy and utility companies, public safety agencies and broadcast network operators around the world.</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sell products and services directly to our customers, and, to a lesser extent, agents and resellers.</w:t>
      </w:r>
    </w:p>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products utilize microwave and millimeter wave technologies to create point to point wireless links for short, medium and long-distance interconnections. In addition to our wireless products, we also provide routers and a range of software tools and applications to enable deployment, monitoring, network management and optimization of our systems as well as to automate network design and procurement. We also source, qualify, supply and support third party equipment such as antennas, optical transmission equipment and other equipment necessary to build and deploy a complete telecommunications transmission network. We provide a full suite of professional services for planning, deployment, operations, optimization and maintenance of our customers’ networks.</w:t>
      </w:r>
    </w:p>
    <w:p>
      <w:pPr>
        <w:spacing w:after="0" w:line="13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wireless systems deliver urban, suburban, regional and country-wide communications links as the primary alternative to fiber optic, low earth orbit satellite and copper connections. Fiber optic connections are the primary alternative. In dense urban and suburban areas, short range wireless solutions are faster to deploy and lower cost per mile than new fiber deployments. In developing nations, fiber infrastructure is scarce and wireless systems are used for both long and short distance connections. Wireless systems also have advantages over optical fiber in areas with rugged terrain, and to provide connections over bodies of water such as between islands or to offshore oil and gas production platforms. Through the air wireless transmission is also inherently lower in latency than transmission through optical cables and can be leveraged in time sensitive networking applications.</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from our North America and international regions represented approximately 66% and 34% of our revenue in fiscal 2022, respectively, 67% and 33% of our revenue in fiscal 2021, respectively, and 64% and 36% of our revenue in fiscal 2020, respectively. Information about our revenue attributable to our geographic regions is set forth in “Item 7. Management’s Discussion and Analysis of Financial Condition and Results of Operations” and in “Note 10. Segment and Geographic Information” of the accompanying consolidated financial statements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Overview</w:t>
      </w:r>
    </w:p>
    <w:p>
      <w:pPr>
        <w:spacing w:after="0" w:line="175"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We believe that future demand for microwave and millimeter wave transmission systems will be influenced by a number of factors across several market segments.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Mobile/5G Networks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mobile networks expand, add subscribers and increase the number of wirelessly connected devices, sensors and machines, they require ongoing investment in backhaul infrastructure. Whether mobile network operators choose to self-build this backhaul infrastructure or lease backhaul services from other network providers, the evolution of the network drives demand for transmission technologies such as microwave and millimeter wave wireless backhaul. Within this overall scope there are multiple individual drivers for investment in backhaul infrastructure.</w:t>
      </w:r>
    </w:p>
    <w:p>
      <w:pPr>
        <w:spacing w:after="0" w:line="56" w:lineRule="exact"/>
        <w:rPr>
          <w:sz w:val="20"/>
          <w:szCs w:val="20"/>
          <w:color w:val="auto"/>
        </w:rPr>
      </w:pPr>
    </w:p>
    <w:p>
      <w:pPr>
        <w:jc w:val="both"/>
        <w:ind w:left="340" w:hanging="332"/>
        <w:spacing w:after="0" w:line="243" w:lineRule="auto"/>
        <w:tabs>
          <w:tab w:leader="none" w:pos="33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5G Deployments. </w:t>
      </w:r>
      <w:r>
        <w:rPr>
          <w:rFonts w:ascii="Times New Roman" w:cs="Times New Roman" w:eastAsia="Times New Roman" w:hAnsi="Times New Roman"/>
          <w:sz w:val="18"/>
          <w:szCs w:val="18"/>
          <w:color w:val="auto"/>
        </w:rPr>
        <w:t>Mobile Radio Access Network (“RAN”) technologies are evolving. With the evolution from 4G (HSPA+ and LTE) to 5G,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is advancing and providing subscribers with higher speed access to the Internet, social media, and video streaming services. The rapid increases in data to be transported through the RAN and across the backhaul infrastructure drives requirements for higher data transport links necessitating upgrades to or replacement of the existing backhaul infrastructure.</w:t>
      </w:r>
    </w:p>
    <w:p>
      <w:pPr>
        <w:spacing w:after="0" w:line="33" w:lineRule="exact"/>
        <w:rPr>
          <w:rFonts w:ascii="Arial" w:cs="Arial" w:eastAsia="Arial" w:hAnsi="Arial"/>
          <w:sz w:val="22"/>
          <w:szCs w:val="22"/>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Subscriber Growth. </w:t>
      </w:r>
      <w:r>
        <w:rPr>
          <w:rFonts w:ascii="Times New Roman" w:cs="Times New Roman" w:eastAsia="Times New Roman" w:hAnsi="Times New Roman"/>
          <w:sz w:val="18"/>
          <w:szCs w:val="18"/>
          <w:color w:val="auto"/>
        </w:rPr>
        <w:t>Traffic on the backhaul infrastructure increases as the number of unique subscribers grows.</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Connected Devices. </w:t>
      </w:r>
      <w:r>
        <w:rPr>
          <w:rFonts w:ascii="Times New Roman" w:cs="Times New Roman" w:eastAsia="Times New Roman" w:hAnsi="Times New Roman"/>
          <w:sz w:val="18"/>
          <w:szCs w:val="18"/>
          <w:color w:val="auto"/>
        </w:rPr>
        <w:t>The number of devices such as smart phones and tablets connected to the mobile network is far greater than the number of unique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subscribers and is continuing to grow as consumers adopt multiple mobile device types. There is also rapid growth in the number and type of wireless enabled sensors and machines being connected to the mobile network creating new revenue streams for network operators in healthcare, agriculture, transportation and education. As a result, the data traffic crossing the backhaul infrastructure continues to grow.</w:t>
      </w:r>
    </w:p>
    <w:p>
      <w:pPr>
        <w:spacing w:after="0" w:line="17"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IoT</w:t>
      </w:r>
      <w:r>
        <w:rPr>
          <w:rFonts w:ascii="Times New Roman" w:cs="Times New Roman" w:eastAsia="Times New Roman" w:hAnsi="Times New Roman"/>
          <w:sz w:val="18"/>
          <w:szCs w:val="18"/>
          <w:color w:val="auto"/>
        </w:rPr>
        <w:t>. The Internet of Things (“IoT”) brings the potential of massive deployment of wireless end points for sensing and reporting data and remotely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controlling machines and devices. The increase of data volume drives investment in network infrastructure.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Network Densification. </w:t>
      </w:r>
      <w:r>
        <w:rPr>
          <w:rFonts w:ascii="Times New Roman" w:cs="Times New Roman" w:eastAsia="Times New Roman" w:hAnsi="Times New Roman"/>
          <w:sz w:val="18"/>
          <w:szCs w:val="18"/>
          <w:color w:val="auto"/>
        </w:rPr>
        <w:t>RAN frequency spectrum is a limited resource and shared between all of the devices and users within the coverage area of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station. Meeting the combined demand of increasing subscribers and devices will require the deployment of much higher densities of base stations with smaller and smaller range (small cells) each requiring interconnection and proportionally driving increased demand for wireless backhaul and or fronthaul solutions as the primary alternative to optical fiber connectivity.</w:t>
      </w:r>
    </w:p>
    <w:p>
      <w:pPr>
        <w:spacing w:after="0" w:line="17" w:lineRule="exact"/>
        <w:rPr>
          <w:rFonts w:ascii="Times New Roman" w:cs="Times New Roman" w:eastAsia="Times New Roman" w:hAnsi="Times New Roman"/>
          <w:sz w:val="18"/>
          <w:szCs w:val="18"/>
          <w:i w:val="1"/>
          <w:iCs w:val="1"/>
          <w:color w:val="auto"/>
        </w:rPr>
      </w:pPr>
    </w:p>
    <w:p>
      <w:pPr>
        <w:ind w:left="340" w:right="20" w:hanging="332"/>
        <w:spacing w:after="0" w:line="28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Geographic Coverage. </w:t>
      </w:r>
      <w:r>
        <w:rPr>
          <w:rFonts w:ascii="Times New Roman" w:cs="Times New Roman" w:eastAsia="Times New Roman" w:hAnsi="Times New Roman"/>
          <w:sz w:val="18"/>
          <w:szCs w:val="18"/>
          <w:color w:val="auto"/>
        </w:rPr>
        <w:t>Expanding the geographic area covered by a mobile network requires the deployment of additional cellular base station sites.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additional base station site also needs to be connected to the core of the mobile network through expansion of the backhaul system.</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License Mandates</w:t>
      </w:r>
      <w:r>
        <w:rPr>
          <w:rFonts w:ascii="Times New Roman" w:cs="Times New Roman" w:eastAsia="Times New Roman" w:hAnsi="Times New Roman"/>
          <w:sz w:val="18"/>
          <w:szCs w:val="18"/>
          <w:color w:val="auto"/>
        </w:rPr>
        <w:t>. Mobile Operators are licensed telecommunications service providers. Licenses will typically mandate a minimum geographic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footprint within a specific period of time and/or a minimum proportion of a national or regional population served. This can pace backhaul infrastructure investment and cause periodic spikes in demand.</w:t>
      </w:r>
    </w:p>
    <w:p>
      <w:pPr>
        <w:spacing w:after="0" w:line="11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Rural Broadband</w:t>
      </w:r>
    </w:p>
    <w:p>
      <w:pPr>
        <w:spacing w:after="0" w:line="65"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Middle Mile</w:t>
      </w:r>
      <w:r>
        <w:rPr>
          <w:rFonts w:ascii="Times New Roman" w:cs="Times New Roman" w:eastAsia="Times New Roman" w:hAnsi="Times New Roman"/>
          <w:sz w:val="18"/>
          <w:szCs w:val="18"/>
          <w:color w:val="auto"/>
        </w:rPr>
        <w:t>. Aviat transport equipment is used to deliver broadband connectivity to rural and suburban communities as an alternative to costly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are significant investments being made to improve rural household and enterprise connectivity and many of these investments target middle mile infrastructure builds.</w:t>
      </w:r>
    </w:p>
    <w:p>
      <w:pPr>
        <w:spacing w:after="0" w:line="1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of Offered Services. </w:t>
      </w:r>
      <w:r>
        <w:rPr>
          <w:rFonts w:ascii="Times New Roman" w:cs="Times New Roman" w:eastAsia="Times New Roman" w:hAnsi="Times New Roman"/>
          <w:sz w:val="18"/>
          <w:szCs w:val="18"/>
          <w:color w:val="auto"/>
        </w:rPr>
        <w:t>Internet service providers, especially those in emerging markets, now own and operate the most modern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networks within their respective regions. These network assets can be further leveraged to provide high speed broadband services to fixed locations such as small, medium and large business enterprises, airports, hotels, hospitals, and educational institutions. Microwave and millimeter wave backhaul is ideally suited to providing high speed broadband connections to these end points due to the lack of fiber infrastructure.</w:t>
      </w:r>
    </w:p>
    <w:p>
      <w:pPr>
        <w:spacing w:after="0" w:line="123"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Private Networks</w:t>
      </w:r>
    </w:p>
    <w:p>
      <w:pPr>
        <w:spacing w:after="0" w:line="175" w:lineRule="exact"/>
        <w:rPr>
          <w:sz w:val="20"/>
          <w:szCs w:val="20"/>
          <w:color w:val="auto"/>
        </w:rPr>
      </w:pPr>
    </w:p>
    <w:p>
      <w:pPr>
        <w:ind w:firstLine="486"/>
        <w:spacing w:after="0" w:line="281" w:lineRule="auto"/>
        <w:rPr>
          <w:sz w:val="20"/>
          <w:szCs w:val="20"/>
          <w:color w:val="auto"/>
        </w:rPr>
      </w:pPr>
      <w:r>
        <w:rPr>
          <w:rFonts w:ascii="Times New Roman" w:cs="Times New Roman" w:eastAsia="Times New Roman" w:hAnsi="Times New Roman"/>
          <w:sz w:val="18"/>
          <w:szCs w:val="18"/>
          <w:color w:val="auto"/>
        </w:rPr>
        <w:t>In addition to mobile backhaul, we see demand for microwave technology in other vertical markets, including utility, public safety, financial institutions and broadcast.</w:t>
      </w:r>
    </w:p>
    <w:p>
      <w:pPr>
        <w:spacing w:after="0" w:line="1" w:lineRule="exact"/>
        <w:rPr>
          <w:sz w:val="20"/>
          <w:szCs w:val="20"/>
          <w:color w:val="auto"/>
        </w:rPr>
      </w:pPr>
    </w:p>
    <w:p>
      <w:pPr>
        <w:ind w:left="340" w:hanging="332"/>
        <w:spacing w:after="0" w:line="282"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utility companies around the world are actively investing in “Smart Grid” solutions and energy demand management, which drive the need for network modernization and increased capacity of networks.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40" w:hanging="332"/>
        <w:spacing w:after="0" w:line="258"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investments in network modernization in the public safety market can significantly enhance the capabilities of security agencies. Improving border patrol effectiveness, enabling inter-operable emergency communications services for local or state police, providing access to timely information from centralized databases, or utilizing video and imaging devices at the scene of an incident requires a high bandwidth and reliable network. The mission critical nature of public safety and national security networks can require that these networks are built, operated and maintained independently of other network infrastructure. Microwave is well suited to this environment because it is a cost-effective alternative to fiber.</w:t>
      </w:r>
    </w:p>
    <w:p>
      <w:pPr>
        <w:spacing w:after="0" w:line="2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Microwave technology can be used to engineer long distance and more direct connections than optical cable. Microwave signals also travel through the air much faster than light through glass and the combined effect of shorter distance and higher speed reduces latency, which is valued for trading applications in the financial industry. Our products have already been used to create low latency connections between major centers in the United States (“U.S.”), Europe and Asia and we see long-term interest in the creation of further low latency routes in various geographies around the world.</w:t>
      </w:r>
    </w:p>
    <w:p>
      <w:pPr>
        <w:spacing w:after="0" w:line="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Evolution to IP. Network Infrastructure capacity, efficiency and flexibility is greatly enhanced by transitioning from legacy SDH (synchronous digital hierarchy) / SONET (synchronous optical network) / TDM (time division multiplexing) to IP (internet protocol) infrastructure. Our products offer integrated IP transport and routing functionality increasing the value they bring in the backhaul network.</w:t>
      </w:r>
    </w:p>
    <w:p>
      <w:pPr>
        <w:spacing w:after="0" w:line="1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enhancement of border security and surveillance networks to counter terrorism and insurgency is aided by the use of wireless technologies including microwave backhaul.</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These factors are combining to create a range of opportunities for continued investment in backhaul and transport networks favoring microwave and millimeter wave technologies. As we focus on executing future generations of our technology, our goal is to make wireless technology a viable choice for an ever-broadening range of network types.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engaging with customers on the evolution of use cases and applications as 5G mobile and broadband networks edge closer to implementation and begin to factor more strongly in the vendor selection process. We are confident in our ability to address current and future 5G market needs.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focused on building a sustainable and profitable business with growth potential. We have invested in our people and processes to create a platform for operational excellence across sales, services, product development and supply chain areas while continuing to make investments in strengthening our product and services portfolio and expanding our reach into targeted market areas.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strategy has three main elements aligned to deliver a compelling Total Cost of Ownership (“TCO”) value proposition. The first is our portfolio of wireless transport products allowing our customers increased capacity and flexibility with a much better total cost solution. We are expanding the data-carrying capacity of our wireless products to address the increasing data demand in networks of all types. Further, energy consumption is emerging as a key component of TCO. Our research and development contemplates innovations in capacity, energy efficiency and overall TCO.</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Second, to address the operational complexity of planning, deploying, owning and operating microwave networks, we are investing in a combination of software applications, tools and services where simplification, process automation and our unique expertise in wireless technology can make a significant difference for our customers and partners.</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Finally, Aviat is investing in e-commerce through our online platform, the “Aviat Store” and supporting supply chain capabilities. Aviat can better service customers buying through the Aviat Store with lower costs, faster lead times and a simpler purchasing experience. The Aviat Store, together with our supply chain, enables customers (including Tier 2 and mobile 5G operators) to purchase products as needed, thus avoiding lengthy and variable lead</w:t>
      </w:r>
    </w:p>
    <w:p>
      <w:pPr>
        <w:jc w:val="both"/>
        <w:spacing w:after="0" w:line="282" w:lineRule="auto"/>
        <w:rPr>
          <w:sz w:val="20"/>
          <w:szCs w:val="20"/>
          <w:color w:val="auto"/>
        </w:rPr>
      </w:pPr>
      <w:r>
        <w:rPr>
          <w:rFonts w:ascii="Times New Roman" w:cs="Times New Roman" w:eastAsia="Times New Roman" w:hAnsi="Times New Roman"/>
          <w:sz w:val="18"/>
          <w:szCs w:val="18"/>
          <w:color w:val="auto"/>
        </w:rPr>
        <w:t>times that come with other vendor solutions and allowing those customers to lower warehousing costs, reduce obsolete equipment, and lower the cost of capital by paying only when equipment is needed.</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continue to develop our professional services portfolio as key to our long-term strategy and differentiation. We offer a portfolio of hosted expert services and we continue to offer training and accreditation programs for microwave and IP network design, deployment and maintenance.</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expect to continue to serve and expand upon our existing customer base and develop business with new customers. We intend to leverage our customer base, our longstanding presence in many countries, our distribution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channels, our comprehensive product line, our superior customer service and our turnkey solution capability to continue to sell existing and new products and services to current and future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Solutions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product and solutions portfolio is key to building and maintaining our base of customers. We offer a comprehensive product and solutions portfolio that meets the needs of service providers and network operators and that addresses a broad range of applications, frequencies, capacities and network topologies.</w:t>
      </w:r>
    </w:p>
    <w:p>
      <w:pPr>
        <w:spacing w:after="0" w:line="14" w:lineRule="exact"/>
        <w:rPr>
          <w:sz w:val="20"/>
          <w:szCs w:val="20"/>
          <w:color w:val="auto"/>
        </w:rPr>
      </w:pPr>
    </w:p>
    <w:p>
      <w:pPr>
        <w:jc w:val="both"/>
        <w:ind w:left="340" w:hanging="332"/>
        <w:spacing w:after="0" w:line="253"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product and solution portfolio. We offer a comprehensive suite of wireless transmission systems for microwave and millimeter wave networking applications. These solutions utilize a wide range of transmission frequencies, ranging from 5 GHz to 90 GHz, and can deliver a wide range of transmission capacities, ranging up to 20 Gigabits per second (Gbps). The major product families included in these solutions are CTR 8000, WTM 4000 and AviatCloud. Our CTR 8000 platform is a range of routers purpose-built for transport applications, especially those that require high level of reliability and security. The newest addition to our product portfolio is the WTM 4000, the highest capacity microwave radio ever produced to date, and purpose built for software-defined networks (“SDN.”) SDN technology is an approach to networking management that enables dynamic, programmatically efficient networking configuration to improve networking performance and monitoring, making it more like cloud computing than traditional networking management. We introduced multiple important variants to the WTM 4000 platform; WTM4100 &amp; 4200 providing single and dual frequency microwave links with advanced XPIC and MIMO capabilities; WTM4500 for multi-channel aggregation of microwave channels in long distance applications; WTM4800 is the latest addition to address 5G network requirements and is capable of operating in the 80GHz E Band at up to 20Gbps capacity, with a unique Multi-Band capability which simultaneously uses microwave and E Band frequencies for maximum robustness. WTM 4800 is the only single box multi-band solution for lowest total cost of ownership deployments. To address the issues of operational complexity in our customers’ networks, AviatCloud is a platform with secure hosted software and services to automate networks and their operations.</w:t>
      </w:r>
    </w:p>
    <w:p>
      <w:pPr>
        <w:spacing w:after="0" w:line="2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Low total cost of ownership. </w:t>
      </w:r>
      <w:r>
        <w:rPr>
          <w:rFonts w:ascii="Times New Roman" w:cs="Times New Roman" w:eastAsia="Times New Roman" w:hAnsi="Times New Roman"/>
          <w:sz w:val="18"/>
          <w:szCs w:val="18"/>
          <w:color w:val="auto"/>
        </w:rPr>
        <w:t>Our wireless-based solutions focus on achieving a low total cost of ownership, including savings on the combined costs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acquisition, installation and ongoing operation and maintenance. Our latest generation system designs reduce rack space requirements, require less power, are software-configurable to reduce spare parts requirements, and are simple to install, operate, upgrade and maintain. Our advanced wireless features also enable operators to save on related costs, including spectrum fees and tower rental fees.</w:t>
      </w:r>
    </w:p>
    <w:p>
      <w:pPr>
        <w:spacing w:after="0" w:line="1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Futureproof network. Our solutions are designed to protect the network operator’s investment by incorporating software-configurable capacity upgrades and plug-in modules that provide a smooth migration path to Carrier Ethernet and IP/MPLS (multiprotocol label switching) and segment routing based networking, without the need for costly equipment substitutions and additions. Our products include key technologies we believe will be needed by operators for their network evolution to support new broadband services.</w:t>
      </w:r>
    </w:p>
    <w:p>
      <w:pPr>
        <w:spacing w:after="0" w:line="1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Flexible, easily configurable products. </w:t>
      </w:r>
      <w:r>
        <w:rPr>
          <w:rFonts w:ascii="Times New Roman" w:cs="Times New Roman" w:eastAsia="Times New Roman" w:hAnsi="Times New Roman"/>
          <w:sz w:val="18"/>
          <w:szCs w:val="18"/>
          <w:color w:val="auto"/>
        </w:rPr>
        <w:t>We use flexible architectures with a high level of software configurable features. This design approach produces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high-performance products with reusable components while at the same time allowing for a manufacturing strategy with a high degree of flexibility, improved cost and reduced time-to-market. The software features of our products offer our customers a greater degree of flexibility in installing, operating and maintaining their networks.</w:t>
      </w:r>
    </w:p>
    <w:p>
      <w:pPr>
        <w:spacing w:after="0" w:line="17" w:lineRule="exact"/>
        <w:rPr>
          <w:rFonts w:ascii="Times New Roman" w:cs="Times New Roman" w:eastAsia="Times New Roman" w:hAnsi="Times New Roman"/>
          <w:sz w:val="18"/>
          <w:szCs w:val="18"/>
          <w:color w:val="auto"/>
        </w:rPr>
      </w:pPr>
    </w:p>
    <w:p>
      <w:pPr>
        <w:ind w:left="340" w:hanging="332"/>
        <w:spacing w:after="0" w:line="281"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Comprehensive network management. </w:t>
      </w:r>
      <w:r>
        <w:rPr>
          <w:rFonts w:ascii="Times New Roman" w:cs="Times New Roman" w:eastAsia="Times New Roman" w:hAnsi="Times New Roman"/>
          <w:sz w:val="18"/>
          <w:szCs w:val="18"/>
          <w:color w:val="auto"/>
        </w:rPr>
        <w:t>We offer a range of flexible network management solutions, from element management to enterprise-wide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management and service assurance that we can optimize to work with our wireless systems.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Complete professional services. </w:t>
      </w:r>
      <w:r>
        <w:rPr>
          <w:rFonts w:ascii="Times New Roman" w:cs="Times New Roman" w:eastAsia="Times New Roman" w:hAnsi="Times New Roman"/>
          <w:sz w:val="18"/>
          <w:szCs w:val="18"/>
          <w:color w:val="auto"/>
        </w:rPr>
        <w:t>In addition to our product offerings, we provide network planning and design, site surveys and builds,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integration, installation, maintenance, network monitoring, training, customer service and many other professional services. Our services cover the entire evaluation, purchase, deployment and operational cycle and enable us to be one of the few complete, turnkey solution providers in the industry.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9660"/>
        <w:spacing w:after="0"/>
        <w:rPr>
          <w:sz w:val="20"/>
          <w:szCs w:val="20"/>
          <w:color w:val="auto"/>
        </w:rPr>
      </w:pPr>
      <w:r>
        <w:rPr>
          <w:rFonts w:ascii="Times New Roman" w:cs="Times New Roman" w:eastAsia="Times New Roman" w:hAnsi="Times New Roman"/>
          <w:sz w:val="18"/>
          <w:szCs w:val="18"/>
          <w:b w:val="1"/>
          <w:bCs w:val="1"/>
          <w:color w:val="auto"/>
        </w:rPr>
        <w:t>Business Operations</w:t>
      </w:r>
    </w:p>
    <w:p>
      <w:pPr>
        <w:spacing w:after="0" w:line="171" w:lineRule="exact"/>
        <w:rPr>
          <w:sz w:val="20"/>
          <w:szCs w:val="20"/>
          <w:color w:val="auto"/>
        </w:rPr>
      </w:pPr>
    </w:p>
    <w:p>
      <w:pPr>
        <w:jc w:val="right"/>
        <w:ind w:right="9600"/>
        <w:spacing w:after="0"/>
        <w:rPr>
          <w:sz w:val="20"/>
          <w:szCs w:val="20"/>
          <w:color w:val="auto"/>
        </w:rPr>
      </w:pPr>
      <w:r>
        <w:rPr>
          <w:rFonts w:ascii="Times New Roman" w:cs="Times New Roman" w:eastAsia="Times New Roman" w:hAnsi="Times New Roman"/>
          <w:sz w:val="18"/>
          <w:szCs w:val="18"/>
          <w:b w:val="1"/>
          <w:bCs w:val="1"/>
          <w:i w:val="1"/>
          <w:iCs w:val="1"/>
          <w:color w:val="auto"/>
        </w:rPr>
        <w:t>Sales and Service</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primary route to market is through our own direct sales, service and support organization. This provides us with the best opportunity to leverage our role as a technology specialist and differentiate ourselves from competitors. Our focus on key customers and geographies allows us to consistently achieve a high level of customer retention and repeat business. Our highest concentrations of sales and service resources are in the United States, Western and Southern Africa, the Philippines, and the European Union. We maintain a presence in a number of other countries, some of which are based in customer locations and include, but not limited to, Canada, Mexico, Kenya, India, Saudi Arabia, Australia, New Zealand, and Singapore.</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our direct channel to market, we have relationships with original equipment manufacturers (“OEMs”) and system integrators especially focused towards large and complex projects in national security and government-related applications. Our role in these relationships ranges from equipment supply only to being a sub-contractor for a portion of the project scope where we will supply equipment and a variety of design, deployment and maintenance services.</w:t>
      </w:r>
    </w:p>
    <w:p>
      <w:pPr>
        <w:spacing w:after="0" w:line="126" w:lineRule="exact"/>
        <w:rPr>
          <w:sz w:val="20"/>
          <w:szCs w:val="20"/>
          <w:color w:val="auto"/>
        </w:rPr>
      </w:pPr>
    </w:p>
    <w:p>
      <w:pPr>
        <w:jc w:val="both"/>
        <w:ind w:right="20" w:firstLine="486"/>
        <w:spacing w:after="0" w:line="258" w:lineRule="auto"/>
        <w:rPr>
          <w:sz w:val="20"/>
          <w:szCs w:val="20"/>
          <w:color w:val="auto"/>
        </w:rPr>
      </w:pPr>
      <w:r>
        <w:rPr>
          <w:rFonts w:ascii="Times New Roman" w:cs="Times New Roman" w:eastAsia="Times New Roman" w:hAnsi="Times New Roman"/>
          <w:sz w:val="18"/>
          <w:szCs w:val="18"/>
          <w:color w:val="auto"/>
        </w:rPr>
        <w:t>We also use indirect sales channels, including dealers, resellers and sales representatives, in the marketing and sale of some lines of products and equipment on a global basis. These independent representatives may buy for resale or, in some cases, solicit orders from commercial or governmental customers for direct sales by us. Prices to the ultimate customer in many instances may be recommended or established by the independent representative and may be above or below our list prices. These independent representatives generally receive a discount from our list prices and are free to set the final sales prices paid by the customer.</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a direct online sales option through our online “Aviat Store.” The Aviat Store targets customers with a traditional high cost to serve via traditional channels. We provide online design tools for radio link planning and on-line ordering tools, which we fulfill directly from our Aviat Store with multiple options of product available for next day shipment. Shipments from Aviat Store commenced late in 2018.</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repair and service centers in the Philippines and the United States. We have customer service and support personnel who provide customers with training, installation, technical support, maintenance and other services on systems under contract. We install and maintain customer equipment directly, in some cases, and contract with third-party service providers in other cases.</w:t>
      </w:r>
    </w:p>
    <w:p>
      <w:pPr>
        <w:spacing w:after="0" w:line="1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specific terms and conditions of our product warranties vary depending upon the product sold and country in which we do business. On direct sales, warranty periods generally start on the delivery date and continue for one to three years.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global manufacturing strategy follows an outsourced manufacturing model using contract manufacturing partners in North America and Asia. Our strategy is based on balancing cost and supplier performance as well as taking into account qualification for localization requirements of certain market segments, such as the Buy American Act.</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accordance with our global logistics requirements and customer geographic distribution, we are engaged with contract manufacturing partners in Asia and the United States. All manufacturing operations have been certified to International Standards Organization 9001, a recognized international quality standard. We have also been certified to the TL 9000 standard, a telecommunication industry-specific quality system standard.</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backlog was approximately $245 million at July 1, 2022 and $225 million at July 2, 2021 consisting primarily of contracts or purchase orders for both product and service deliveries and extended service warranties. Services include management’s initial estimate of the value of a customer’s commitment under a services contract. The calculation used by management involves estimates and judgments to gauge the extent of a customer’s commitment, including the type and duration of the agreement, and the presence of termination charges or wind down costs. Contract extensions and increases in scope are treated as backlog only to the extent of the new incremental value. We regularly review our backlog to ensure that our customers continue to honor their purchase commitments and have the financial means to purchase and deploy our products and services in accordance with the terms of their purchase contracts. Backlog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estimates are subject to change and are affected by several factors, including terminations, changes in the scope of contracts, periodic revalidation, adjustments for revenue not materialized and adjustments for currency.</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expect to substantially deliver against the backlog as of July 1, 2022 during fiscal 2023, but we cannot be assured that this will occur. Product orders in our current backlog are subject to changes in delivery schedules or to cancellation at the option of the purchaser without significant penalty as well as long-term projects that could take more than a year to complete. Accordingly, although useful for scheduling production, backlog as of any particular date may not be a reliable measure of sales for any future period because of the timing of orders, delivery intervals, customer and product mix and the possibility of changes in delivery schedules and additions or cancellations of orders.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Although we have a large customer base, during any given fiscal year or quarter, a small number of customers may account for a significant portion of our revenue.</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fiscal 2022, Motorola accounted for 13% of our total revenue. Motorola integrates a wide variety of network and the revenue consists of more than 70 active projects. During fiscal 2021 and 2020 there were no customers that accounted for more than 10% of our total revenue.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microwave and millimeter wave wireless networking business is a specialized segment of the telecommunications industry that is sensitive to technological advancements and is competitive. Our principal competitors include business units of large mobile and IP network infrastructure manufacturers such as Ericsson, Huawei, NEC Corporation and Nokia Corporation, as well as a number of smaller microwave specialist companies such as Ceragon Networks Ltd. and SIAE Microelectronica S.p.A. We also compete with fiber optic cable and low earth orbit satellites for networking connections.</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Some of our larger competitors may have greater name recognition, broader product lines (some including non-wireless telecommunications equipment and managed services), a larger installed base of products and longer-standing customer relationships. They may from time to time leverage their extensive overall portfolios into completely outsourced and managed network offerings restricting opportunities for specialist suppliers. In addition, some competitors may offer seller financing, which can be a competitive advantage under certain economic climates.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Some of our larger competitors may also act as systems integrators through which we sometimes distribute and sell products and services to end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users.</w:t>
      </w:r>
    </w:p>
    <w:p>
      <w:pPr>
        <w:spacing w:after="0" w:line="15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smaller independent private and public specialist competitors typically leverage new technologies and low product costs but are generally less capable of offering a complete solution including professional services, especially in the North America and Africa regions which form the majority of our addressed market.</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concentrate on market opportunities that we believe are compatible with our resources, overall technological capabilities and objectives. Principal competitive factors are cost-effectiveness, product quality and reliability, technological capabilities, service, ability to meet delivery schedules and the effectiveness of dealers in international areas. We believe that the combination of our network and systems engineering support and service, global reach, technological innovation, agility and close collaborative relationships with our customers are the key competitive strengths for us. However, customers may still make decisions based primarily on factors such as price, financing terms and/or past or existing relationships, where it may be difficult for us to compete effectively or profitably.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our ability to enhance our current products, develop and introduce new products on a timely basis, maintain technological competitiveness and meet customer requirements is essential to our success. Accordingly, we allocate, and intend to continue to allocate, a significant portion of our resources to research and development efforts in key technology areas and innovation to differentiate our overall portfolio from our competition. The majority of such research and development resources will be focused on technologies in microwave and millimeter wave RF, digital signal processing, networking protocols and software applications.</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expenditures totaled $22.6 million, or 7.5% of revenue, in fiscal 2022, $21.8 million, or 7.9% of revenue, in fiscal 2021, and $19.3 million, or 8.1% of revenue, in fiscal 2020.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are primarily directed to the development of new products and to build technological capability. We are an industry innovator and intend to continue to focus significant resources on product development in an effort to maintain our competitiveness and support our entry into new markets.</w:t>
      </w:r>
    </w:p>
    <w:p>
      <w:pPr>
        <w:spacing w:after="0" w:line="122" w:lineRule="exact"/>
        <w:rPr>
          <w:sz w:val="20"/>
          <w:szCs w:val="20"/>
          <w:color w:val="auto"/>
        </w:rPr>
      </w:pPr>
    </w:p>
    <w:p>
      <w:pPr>
        <w:ind w:left="340" w:right="1200" w:firstLine="162"/>
        <w:spacing w:after="0" w:line="438" w:lineRule="auto"/>
        <w:rPr>
          <w:sz w:val="20"/>
          <w:szCs w:val="20"/>
          <w:color w:val="auto"/>
        </w:rPr>
      </w:pPr>
      <w:r>
        <w:rPr>
          <w:rFonts w:ascii="Times New Roman" w:cs="Times New Roman" w:eastAsia="Times New Roman" w:hAnsi="Times New Roman"/>
          <w:sz w:val="18"/>
          <w:szCs w:val="18"/>
          <w:color w:val="auto"/>
        </w:rPr>
        <w:t xml:space="preserve">Our product development teams totaled 147 employees as of July 1, 2022, and were located primarily in New Zealand and Slovenia. </w:t>
      </w:r>
      <w:r>
        <w:rPr>
          <w:rFonts w:ascii="Times New Roman" w:cs="Times New Roman" w:eastAsia="Times New Roman" w:hAnsi="Times New Roman"/>
          <w:sz w:val="18"/>
          <w:szCs w:val="18"/>
          <w:b w:val="1"/>
          <w:bCs w:val="1"/>
          <w:i w:val="1"/>
          <w:iCs w:val="1"/>
          <w:color w:val="auto"/>
        </w:rPr>
        <w:t>Raw Materials and Supplies</w:t>
      </w:r>
    </w:p>
    <w:p>
      <w:pPr>
        <w:spacing w:after="0" w:line="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Because of our range of products and services, as well as the wide geographic dispersion of our facilities, we use numerous sources of raw materials needed for our operations and for our products, such as electronic components, printed circuit boards, metals and plastics. We are dependent upon suppliers and subcontractors for a large number of components and subsystems and upon the ability of our suppliers and subcontractors to adhere to customers’ requirements or regulatory restrictions and to meet performance and quality specifications and delivery schedules.</w:t>
      </w:r>
    </w:p>
    <w:p>
      <w:pPr>
        <w:spacing w:after="0" w:line="12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strategy for procuring raw material and supplies includes dual sourcing (where possible) on strategic assemblies and components. In general, we believe this reduces our risk with regard to the potential financial difficulties in our supply base. In some instances, we are dependent upon one or a few sources, either because of the specialized nature of a particular item or because of local content preference requirements pursuant to which we operate on a given project. Examples of sole or limited source categories include metal fabrications and castings, for which we own the tooling and therefore limit our supplier relationships, and ASIC’s and MMICs (types of integrated circuit used in manufacturing microwave radios), which we procure at volume discount from a single source. Our supply chain plan includes mitigation plans for alternative manufacturing sites which would also mitigate COVID-19 and other disruption risks.</w:t>
      </w:r>
    </w:p>
    <w:p>
      <w:pPr>
        <w:spacing w:after="0" w:line="13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Although we have been affected by performance issues of some of our suppliers and subcontractors, we have not been materially adversely affected by the inability to obtain raw materials or products. In general, any performance issues causing short-term material shortages are within the normal frequency and impact range currently experienced by high-tech manufacturing companies and are due primarily to the highly technical nature of many of our purchased components.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Patents and Other Intellectual Property</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consider our patents, trademarks and other intellectual property rights, in the aggregate, to constitute an important asset. We own a portfolio of patents, trade secrets, know-how, confidential information, trademarks, copyrights and other intellectual property. As of July 1, 2022, we (collectively with our subsidiaries) own approximately 184 U.S. patents and 188 international patents and had 5 U.S. patent applications pending and 15 international patent applications pending. The United States Patent and Trademark Office and international equivalent bodies have not yet concluded substantive examination of our pending patent applications. Therefore, it is unclear what scope of additional patent coverage, if any, will eventually be provided as a result of those pending applications. Failure to obtain comprehensive patent coverage could impair our ability to prevent competitors from replicating some portions or all of our products. We also license intellectual property to and from third parties. The costs we pay or revenue we receive from such licenses may be dependent on certain factors, such as the market for such licenses and whether such licenses can be negotiated on commercially acceptable terms. However, we do not consider our business to be materially dependent upon any single patent, license or other intellectual property right.</w:t>
      </w:r>
    </w:p>
    <w:p>
      <w:pPr>
        <w:spacing w:after="0" w:line="13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From time to time, we might engage in litigation to enforce our patents or other intellectual property rights or defend against claims of alleged infringement asserted by third parties. Any of our patents, trade secrets, trademarks, copyrights and other intellectual property rights could be challenged, invalidated or circumvented, or may not provide competitive advantages. Additionally, policing unauthorized use of our intellectual property and proprietary rights can be difficult, costly and time consuming.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to protect our confidential information, including our trade secrets, we require our employees and contractors to sign confidentiality and invention assignment agreements. We also enter into non-disclosure agreements with our suppliers and appropriate customers to limit their access to and disclosure of our proprietary information.</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Although our ability to compete may be affected by our ability to protect our intellectual property rights and proprietary information, we believe that, because of the rapid pace of technological change in the wireless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telecommunications industry, our innovative skills, technical expertise and ability to introduce new products on a timely basis is just as important in maintaining our competitive position as protecting our intellectual property . Trade secret, trademark, copyright and patent protections are important but must be supported by other factors such as the expanding knowledge, ability and experience of our personnel, new product introductions and product enhancements. Although we have and will continue to implement protective measures and intend to vigorously defend our intellectual property rights, there can be no assurance that these measures will be successful.</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Other Regulations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facilities and operations, in common with those of our industry in general, are subject to numerous domestic and international laws and regulations designed to protect the environment, particularly with regard to wastes and emissions. We believe that we have complied with these requirements and that such compliance has not had a material adverse effect on our results of operations, financial condition or cash flows. Based upon currently available information, we do not expect expenditures to protect the environment and to comply with current environmental laws and regulations over the next several years to have a material impact on our competitive or financial position but can give no assurance that such expenditures will not exceed current expectations. From time to time, we receive notices from the U.S. Environmental Protection Agency or equivalent state or international environmental agencies that we are a potentially responsible party under the Comprehensive Environmental Response, Compensation and Liability Act, which is commonly known as the Superfund Act, and equivalent laws. Such notices may assert potential liability for cleanup costs at various sites, which include sites owned by us, sites we previously owned and treatment or disposal sites not owned by us, allegedly containing hazardous substances attributable to us from past operations. We are not presently aware of any such liability that could be material to our business, financial condition or operating results, but due to the nature of our business and environmental risks, we cannot provide assurance that any such material liability will not arise in the future.</w:t>
      </w:r>
    </w:p>
    <w:p>
      <w:pPr>
        <w:spacing w:after="0" w:line="13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Electronic products are subject to environmental regulation in a number of jurisdictions. Equipment produced by us is subject to domestic and international requirements requiring end-of-life management and/or restricting materials in products delivered to customers. We believe that we have complied with such rules and regulations, where applicable, with respect to our existing products sold into such jurisdictions.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Radio communications are also subject to governmental regulation. Equipment produced by us is subject to domestic and international requirements to avoid interference among users of radio frequencies and to permit interconnection of telecommunications equipment. We believe that we have complied with such rules and regulations with respect to our existing products, and we intend to comply with such rules and regulations with respect to our future products. Reallocation of the frequency spectrum could impact our business, financial condition and results of operations.</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a comprehensive policy and procedures in effect concerning conflict minerals compliance.</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July 1, 2022, we had 712 employees, compared with 687 employees at the end of fiscal 2021, and 674 employees at the end of fiscal 2020. As of July 1, 2022, of the 712 employees, 636 were full-time employees with 258 located in the U.S. None of our employees in the U.S. are represented by a labor union. In certain international subsidiaries, our employees are represented by workers’ councils or statutory labor unions. In general, we believe that our employee relations are good.</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of the Registrant</w:t>
      </w:r>
    </w:p>
    <w:p>
      <w:pPr>
        <w:spacing w:after="0" w:line="175"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name, age, position held with us, and principal occupation and employment during at least the past 5 years for each of our executive officers as of September 14, 2022, are as follows:</w:t>
      </w:r>
    </w:p>
    <w:p>
      <w:pPr>
        <w:spacing w:after="0" w:line="77" w:lineRule="exact"/>
        <w:rPr>
          <w:sz w:val="20"/>
          <w:szCs w:val="20"/>
          <w:color w:val="auto"/>
        </w:rPr>
      </w:pPr>
    </w:p>
    <w:p>
      <w:pPr>
        <w:ind w:left="20"/>
        <w:spacing w:after="0"/>
        <w:tabs>
          <w:tab w:leader="none" w:pos="4920" w:val="left"/>
        </w:tabs>
        <w:rPr>
          <w:sz w:val="20"/>
          <w:szCs w:val="20"/>
          <w:color w:val="auto"/>
        </w:rPr>
      </w:pPr>
      <w:r>
        <w:rPr>
          <w:rFonts w:ascii="Times New Roman" w:cs="Times New Roman" w:eastAsia="Times New Roman" w:hAnsi="Times New Roman"/>
          <w:sz w:val="18"/>
          <w:szCs w:val="18"/>
          <w:b w:val="1"/>
          <w:bCs w:val="1"/>
          <w:u w:val="single" w:color="auto"/>
          <w:color w:val="auto"/>
        </w:rPr>
        <w:t>Name and Age</w:t>
      </w:r>
      <w:r>
        <w:rPr>
          <w:sz w:val="20"/>
          <w:szCs w:val="20"/>
          <w:color w:val="auto"/>
        </w:rPr>
        <w:tab/>
      </w:r>
      <w:r>
        <w:rPr>
          <w:rFonts w:ascii="Times New Roman" w:cs="Times New Roman" w:eastAsia="Times New Roman" w:hAnsi="Times New Roman"/>
          <w:sz w:val="18"/>
          <w:szCs w:val="18"/>
          <w:b w:val="1"/>
          <w:bCs w:val="1"/>
          <w:u w:val="single" w:color="auto"/>
          <w:color w:val="auto"/>
        </w:rPr>
        <w:t>Position Currently Held and Past Business Experience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A. Smith, 56</w:t>
            </w:r>
          </w:p>
        </w:tc>
        <w:tc>
          <w:tcPr>
            <w:tcW w:w="9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Mr. Smith was appointed President and Chief Executive Officer in January 2020. Prior to joining Aviat Networks,</w:t>
            </w:r>
          </w:p>
        </w:tc>
      </w:tr>
      <w:tr>
        <w:trPr>
          <w:trHeight w:val="203"/>
        </w:trPr>
        <w:tc>
          <w:tcPr>
            <w:tcW w:w="2160" w:type="dxa"/>
            <w:vAlign w:val="bottom"/>
            <w:shd w:val="clear" w:color="auto" w:fill="CCEEFF"/>
          </w:tcPr>
          <w:p>
            <w:pPr>
              <w:spacing w:after="0"/>
              <w:rPr>
                <w:sz w:val="17"/>
                <w:szCs w:val="17"/>
                <w:color w:val="auto"/>
              </w:rPr>
            </w:pPr>
          </w:p>
        </w:tc>
        <w:tc>
          <w:tcPr>
            <w:tcW w:w="9080" w:type="dxa"/>
            <w:vAlign w:val="bottom"/>
            <w:shd w:val="clear" w:color="auto" w:fill="CCEEFF"/>
          </w:tcPr>
          <w:p>
            <w:pPr>
              <w:ind w:left="680"/>
              <w:spacing w:after="0" w:line="202" w:lineRule="exact"/>
              <w:rPr>
                <w:sz w:val="20"/>
                <w:szCs w:val="20"/>
                <w:color w:val="auto"/>
              </w:rPr>
            </w:pPr>
            <w:r>
              <w:rPr>
                <w:rFonts w:ascii="Times New Roman" w:cs="Times New Roman" w:eastAsia="Times New Roman" w:hAnsi="Times New Roman"/>
                <w:sz w:val="18"/>
                <w:szCs w:val="18"/>
                <w:color w:val="auto"/>
              </w:rPr>
              <w:t>Mr. Smith served as Senior Vice President, US Windows and Canada for Jeld-Wen from March 2017 to December</w:t>
            </w:r>
          </w:p>
        </w:tc>
      </w:tr>
      <w:tr>
        <w:trPr>
          <w:trHeight w:val="189"/>
        </w:trPr>
        <w:tc>
          <w:tcPr>
            <w:tcW w:w="2160" w:type="dxa"/>
            <w:vAlign w:val="bottom"/>
            <w:shd w:val="clear" w:color="auto" w:fill="CCEEFF"/>
          </w:tcPr>
          <w:p>
            <w:pPr>
              <w:spacing w:after="0"/>
              <w:rPr>
                <w:sz w:val="16"/>
                <w:szCs w:val="16"/>
                <w:color w:val="auto"/>
              </w:rPr>
            </w:pPr>
          </w:p>
        </w:tc>
        <w:tc>
          <w:tcPr>
            <w:tcW w:w="9080" w:type="dxa"/>
            <w:vAlign w:val="bottom"/>
            <w:shd w:val="clear" w:color="auto" w:fill="CCEEFF"/>
          </w:tcPr>
          <w:p>
            <w:pPr>
              <w:ind w:left="680"/>
              <w:spacing w:after="0" w:line="189" w:lineRule="exact"/>
              <w:rPr>
                <w:sz w:val="20"/>
                <w:szCs w:val="20"/>
                <w:color w:val="auto"/>
              </w:rPr>
            </w:pPr>
            <w:r>
              <w:rPr>
                <w:rFonts w:ascii="Times New Roman" w:cs="Times New Roman" w:eastAsia="Times New Roman" w:hAnsi="Times New Roman"/>
                <w:sz w:val="18"/>
                <w:szCs w:val="18"/>
                <w:color w:val="auto"/>
              </w:rPr>
              <w:t>2019. Prior to Jeld-Wen, he served as President of Polypore International’s Transportation and Industrial segment</w:t>
            </w:r>
          </w:p>
        </w:tc>
      </w:tr>
      <w:tr>
        <w:trPr>
          <w:trHeight w:val="203"/>
        </w:trPr>
        <w:tc>
          <w:tcPr>
            <w:tcW w:w="2160" w:type="dxa"/>
            <w:vAlign w:val="bottom"/>
            <w:shd w:val="clear" w:color="auto" w:fill="CCEEFF"/>
          </w:tcPr>
          <w:p>
            <w:pPr>
              <w:spacing w:after="0"/>
              <w:rPr>
                <w:sz w:val="17"/>
                <w:szCs w:val="17"/>
                <w:color w:val="auto"/>
              </w:rPr>
            </w:pPr>
          </w:p>
        </w:tc>
        <w:tc>
          <w:tcPr>
            <w:tcW w:w="9080" w:type="dxa"/>
            <w:vAlign w:val="bottom"/>
            <w:shd w:val="clear" w:color="auto" w:fill="CCEEFF"/>
          </w:tcPr>
          <w:p>
            <w:pPr>
              <w:ind w:left="680"/>
              <w:spacing w:after="0" w:line="202" w:lineRule="exact"/>
              <w:rPr>
                <w:sz w:val="20"/>
                <w:szCs w:val="20"/>
                <w:color w:val="auto"/>
              </w:rPr>
            </w:pPr>
            <w:r>
              <w:rPr>
                <w:rFonts w:ascii="Times New Roman" w:cs="Times New Roman" w:eastAsia="Times New Roman" w:hAnsi="Times New Roman"/>
                <w:sz w:val="18"/>
                <w:szCs w:val="18"/>
                <w:color w:val="auto"/>
              </w:rPr>
              <w:t>from October 2013 to March 2017. Previously, he served as Chief Executive Officer and a director of Voltaix Inc.</w:t>
            </w:r>
          </w:p>
        </w:tc>
      </w:tr>
      <w:tr>
        <w:trPr>
          <w:trHeight w:val="203"/>
        </w:trPr>
        <w:tc>
          <w:tcPr>
            <w:tcW w:w="2160" w:type="dxa"/>
            <w:vAlign w:val="bottom"/>
            <w:shd w:val="clear" w:color="auto" w:fill="CCEEFF"/>
          </w:tcPr>
          <w:p>
            <w:pPr>
              <w:spacing w:after="0"/>
              <w:rPr>
                <w:sz w:val="17"/>
                <w:szCs w:val="17"/>
                <w:color w:val="auto"/>
              </w:rPr>
            </w:pPr>
          </w:p>
        </w:tc>
        <w:tc>
          <w:tcPr>
            <w:tcW w:w="9080" w:type="dxa"/>
            <w:vAlign w:val="bottom"/>
            <w:shd w:val="clear" w:color="auto" w:fill="CCEEFF"/>
          </w:tcPr>
          <w:p>
            <w:pPr>
              <w:ind w:left="680"/>
              <w:spacing w:after="0" w:line="202" w:lineRule="exact"/>
              <w:rPr>
                <w:sz w:val="20"/>
                <w:szCs w:val="20"/>
                <w:color w:val="auto"/>
              </w:rPr>
            </w:pPr>
            <w:r>
              <w:rPr>
                <w:rFonts w:ascii="Times New Roman" w:cs="Times New Roman" w:eastAsia="Times New Roman" w:hAnsi="Times New Roman"/>
                <w:sz w:val="18"/>
                <w:szCs w:val="18"/>
                <w:color w:val="auto"/>
              </w:rPr>
              <w:t>from September 2011 to October 2013. Earlier in his career, Mr. Smith held various executive leadership positions</w:t>
            </w:r>
          </w:p>
        </w:tc>
      </w:tr>
      <w:tr>
        <w:trPr>
          <w:trHeight w:val="203"/>
        </w:trPr>
        <w:tc>
          <w:tcPr>
            <w:tcW w:w="2160" w:type="dxa"/>
            <w:vAlign w:val="bottom"/>
            <w:shd w:val="clear" w:color="auto" w:fill="CCEEFF"/>
          </w:tcPr>
          <w:p>
            <w:pPr>
              <w:spacing w:after="0"/>
              <w:rPr>
                <w:sz w:val="17"/>
                <w:szCs w:val="17"/>
                <w:color w:val="auto"/>
              </w:rPr>
            </w:pPr>
          </w:p>
        </w:tc>
        <w:tc>
          <w:tcPr>
            <w:tcW w:w="9080" w:type="dxa"/>
            <w:vAlign w:val="bottom"/>
            <w:shd w:val="clear" w:color="auto" w:fill="CCEEFF"/>
          </w:tcPr>
          <w:p>
            <w:pPr>
              <w:ind w:left="680"/>
              <w:spacing w:after="0" w:line="202" w:lineRule="exact"/>
              <w:rPr>
                <w:sz w:val="20"/>
                <w:szCs w:val="20"/>
                <w:color w:val="auto"/>
              </w:rPr>
            </w:pPr>
            <w:r>
              <w:rPr>
                <w:rFonts w:ascii="Times New Roman" w:cs="Times New Roman" w:eastAsia="Times New Roman" w:hAnsi="Times New Roman"/>
                <w:sz w:val="18"/>
                <w:szCs w:val="18"/>
                <w:color w:val="auto"/>
              </w:rPr>
              <w:t>at Fortune 100 and Fortune 500 companies, including Cooper Industries, Dover Knowles Electronics and</w:t>
            </w:r>
          </w:p>
        </w:tc>
      </w:tr>
      <w:tr>
        <w:trPr>
          <w:trHeight w:val="203"/>
        </w:trPr>
        <w:tc>
          <w:tcPr>
            <w:tcW w:w="2160" w:type="dxa"/>
            <w:vAlign w:val="bottom"/>
            <w:shd w:val="clear" w:color="auto" w:fill="CCEEFF"/>
          </w:tcPr>
          <w:p>
            <w:pPr>
              <w:spacing w:after="0"/>
              <w:rPr>
                <w:sz w:val="17"/>
                <w:szCs w:val="17"/>
                <w:color w:val="auto"/>
              </w:rPr>
            </w:pPr>
          </w:p>
        </w:tc>
        <w:tc>
          <w:tcPr>
            <w:tcW w:w="9080" w:type="dxa"/>
            <w:vAlign w:val="bottom"/>
            <w:shd w:val="clear" w:color="auto" w:fill="CCEEFF"/>
          </w:tcPr>
          <w:p>
            <w:pPr>
              <w:ind w:left="680"/>
              <w:spacing w:after="0" w:line="202" w:lineRule="exact"/>
              <w:rPr>
                <w:sz w:val="20"/>
                <w:szCs w:val="20"/>
                <w:color w:val="auto"/>
              </w:rPr>
            </w:pPr>
            <w:r>
              <w:rPr>
                <w:rFonts w:ascii="Times New Roman" w:cs="Times New Roman" w:eastAsia="Times New Roman" w:hAnsi="Times New Roman"/>
                <w:sz w:val="18"/>
                <w:szCs w:val="18"/>
                <w:color w:val="auto"/>
              </w:rPr>
              <w:t>Honeywell Specialty Materials. Mr. Smith also served on the board of Soleras Advanced Coatings from August</w:t>
            </w:r>
          </w:p>
        </w:tc>
      </w:tr>
      <w:tr>
        <w:trPr>
          <w:trHeight w:val="203"/>
        </w:trPr>
        <w:tc>
          <w:tcPr>
            <w:tcW w:w="2160" w:type="dxa"/>
            <w:vAlign w:val="bottom"/>
            <w:shd w:val="clear" w:color="auto" w:fill="CCEEFF"/>
          </w:tcPr>
          <w:p>
            <w:pPr>
              <w:spacing w:after="0"/>
              <w:rPr>
                <w:sz w:val="17"/>
                <w:szCs w:val="17"/>
                <w:color w:val="auto"/>
              </w:rPr>
            </w:pPr>
          </w:p>
        </w:tc>
        <w:tc>
          <w:tcPr>
            <w:tcW w:w="9080" w:type="dxa"/>
            <w:vAlign w:val="bottom"/>
            <w:shd w:val="clear" w:color="auto" w:fill="CCEEFF"/>
          </w:tcPr>
          <w:p>
            <w:pPr>
              <w:ind w:left="680"/>
              <w:spacing w:after="0" w:line="202" w:lineRule="exact"/>
              <w:rPr>
                <w:sz w:val="20"/>
                <w:szCs w:val="20"/>
                <w:color w:val="auto"/>
              </w:rPr>
            </w:pPr>
            <w:r>
              <w:rPr>
                <w:rFonts w:ascii="Times New Roman" w:cs="Times New Roman" w:eastAsia="Times New Roman" w:hAnsi="Times New Roman"/>
                <w:sz w:val="18"/>
                <w:szCs w:val="18"/>
                <w:color w:val="auto"/>
              </w:rPr>
              <w:t>2015 to October 2018 and Adaptive 3D Technologies from December 2020 through its sale in May 2021. He has</w:t>
            </w:r>
          </w:p>
        </w:tc>
      </w:tr>
      <w:tr>
        <w:trPr>
          <w:trHeight w:val="203"/>
        </w:trPr>
        <w:tc>
          <w:tcPr>
            <w:tcW w:w="2160" w:type="dxa"/>
            <w:vAlign w:val="bottom"/>
            <w:shd w:val="clear" w:color="auto" w:fill="CCEEFF"/>
          </w:tcPr>
          <w:p>
            <w:pPr>
              <w:spacing w:after="0"/>
              <w:rPr>
                <w:sz w:val="17"/>
                <w:szCs w:val="17"/>
                <w:color w:val="auto"/>
              </w:rPr>
            </w:pPr>
          </w:p>
        </w:tc>
        <w:tc>
          <w:tcPr>
            <w:tcW w:w="9080" w:type="dxa"/>
            <w:vAlign w:val="bottom"/>
            <w:shd w:val="clear" w:color="auto" w:fill="CCEEFF"/>
          </w:tcPr>
          <w:p>
            <w:pPr>
              <w:ind w:left="680"/>
              <w:spacing w:after="0" w:line="202" w:lineRule="exact"/>
              <w:rPr>
                <w:sz w:val="20"/>
                <w:szCs w:val="20"/>
                <w:color w:val="auto"/>
              </w:rPr>
            </w:pPr>
            <w:r>
              <w:rPr>
                <w:rFonts w:ascii="Times New Roman" w:cs="Times New Roman" w:eastAsia="Times New Roman" w:hAnsi="Times New Roman"/>
                <w:sz w:val="18"/>
                <w:szCs w:val="18"/>
                <w:color w:val="auto"/>
              </w:rPr>
              <w:t>both a Bachelor of Science degree in Material (Ceramics) Engineering and PhD in Material Science and</w:t>
            </w:r>
          </w:p>
        </w:tc>
      </w:tr>
      <w:tr>
        <w:trPr>
          <w:trHeight w:val="203"/>
        </w:trPr>
        <w:tc>
          <w:tcPr>
            <w:tcW w:w="2160" w:type="dxa"/>
            <w:vAlign w:val="bottom"/>
            <w:shd w:val="clear" w:color="auto" w:fill="CCEEFF"/>
          </w:tcPr>
          <w:p>
            <w:pPr>
              <w:spacing w:after="0"/>
              <w:rPr>
                <w:sz w:val="17"/>
                <w:szCs w:val="17"/>
                <w:color w:val="auto"/>
              </w:rPr>
            </w:pPr>
          </w:p>
        </w:tc>
        <w:tc>
          <w:tcPr>
            <w:tcW w:w="9080" w:type="dxa"/>
            <w:vAlign w:val="bottom"/>
            <w:shd w:val="clear" w:color="auto" w:fill="CCEEFF"/>
          </w:tcPr>
          <w:p>
            <w:pPr>
              <w:ind w:left="680"/>
              <w:spacing w:after="0" w:line="202" w:lineRule="exact"/>
              <w:rPr>
                <w:sz w:val="20"/>
                <w:szCs w:val="20"/>
                <w:color w:val="auto"/>
              </w:rPr>
            </w:pPr>
            <w:r>
              <w:rPr>
                <w:rFonts w:ascii="Times New Roman" w:cs="Times New Roman" w:eastAsia="Times New Roman" w:hAnsi="Times New Roman"/>
                <w:sz w:val="18"/>
                <w:szCs w:val="18"/>
                <w:color w:val="auto"/>
              </w:rPr>
              <w:t>Engineering from Rutgers University, and holds a Master of Business Administration degree from Arizona State</w:t>
            </w:r>
          </w:p>
        </w:tc>
      </w:tr>
      <w:tr>
        <w:trPr>
          <w:trHeight w:val="241"/>
        </w:trPr>
        <w:tc>
          <w:tcPr>
            <w:tcW w:w="2160" w:type="dxa"/>
            <w:vAlign w:val="bottom"/>
            <w:tcBorders>
              <w:bottom w:val="single" w:sz="8" w:color="CCEEFF"/>
            </w:tcBorders>
            <w:shd w:val="clear" w:color="auto" w:fill="CCEEFF"/>
          </w:tcPr>
          <w:p>
            <w:pPr>
              <w:spacing w:after="0"/>
              <w:rPr>
                <w:sz w:val="20"/>
                <w:szCs w:val="20"/>
                <w:color w:val="auto"/>
              </w:rPr>
            </w:pPr>
          </w:p>
        </w:tc>
        <w:tc>
          <w:tcPr>
            <w:tcW w:w="9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University.</w:t>
            </w:r>
          </w:p>
        </w:tc>
      </w:tr>
      <w:tr>
        <w:trPr>
          <w:trHeight w:val="175"/>
        </w:trPr>
        <w:tc>
          <w:tcPr>
            <w:tcW w:w="2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David M. Gray, 53</w:t>
            </w:r>
          </w:p>
        </w:tc>
        <w:tc>
          <w:tcPr>
            <w:tcW w:w="908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As Chief Financial Officer (CFO), Mr. Gray is responsible for worldwide finance, treasury, accounting, reporting,</w:t>
            </w:r>
          </w:p>
        </w:tc>
      </w:tr>
      <w:tr>
        <w:trPr>
          <w:trHeight w:val="176"/>
        </w:trPr>
        <w:tc>
          <w:tcPr>
            <w:tcW w:w="2160" w:type="dxa"/>
            <w:vAlign w:val="bottom"/>
          </w:tcPr>
          <w:p>
            <w:pPr>
              <w:spacing w:after="0"/>
              <w:rPr>
                <w:sz w:val="15"/>
                <w:szCs w:val="15"/>
                <w:color w:val="auto"/>
              </w:rPr>
            </w:pPr>
          </w:p>
        </w:tc>
        <w:tc>
          <w:tcPr>
            <w:tcW w:w="908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compliance and taxation. Prior to joining Aviat, Mr. Gray was Chief Financial Officer and Treasurer of Superior</w:t>
            </w:r>
          </w:p>
        </w:tc>
      </w:tr>
      <w:tr>
        <w:trPr>
          <w:trHeight w:val="184"/>
        </w:trPr>
        <w:tc>
          <w:tcPr>
            <w:tcW w:w="2160" w:type="dxa"/>
            <w:vAlign w:val="bottom"/>
          </w:tcPr>
          <w:p>
            <w:pPr>
              <w:spacing w:after="0"/>
              <w:rPr>
                <w:sz w:val="16"/>
                <w:szCs w:val="16"/>
                <w:color w:val="auto"/>
              </w:rPr>
            </w:pPr>
          </w:p>
        </w:tc>
        <w:tc>
          <w:tcPr>
            <w:tcW w:w="9080" w:type="dxa"/>
            <w:vAlign w:val="bottom"/>
          </w:tcPr>
          <w:p>
            <w:pPr>
              <w:ind w:left="680"/>
              <w:spacing w:after="0" w:line="184" w:lineRule="exact"/>
              <w:rPr>
                <w:sz w:val="20"/>
                <w:szCs w:val="20"/>
                <w:color w:val="auto"/>
              </w:rPr>
            </w:pPr>
            <w:r>
              <w:rPr>
                <w:rFonts w:ascii="Times New Roman" w:cs="Times New Roman" w:eastAsia="Times New Roman" w:hAnsi="Times New Roman"/>
                <w:sz w:val="18"/>
                <w:szCs w:val="18"/>
                <w:color w:val="auto"/>
              </w:rPr>
              <w:t>Essex, a $2.6 billion global manufacturer and distributor of communications and electrical equipment, and before</w:t>
            </w:r>
          </w:p>
        </w:tc>
      </w:tr>
      <w:tr>
        <w:trPr>
          <w:trHeight w:val="180"/>
        </w:trPr>
        <w:tc>
          <w:tcPr>
            <w:tcW w:w="2160" w:type="dxa"/>
            <w:vAlign w:val="bottom"/>
          </w:tcPr>
          <w:p>
            <w:pPr>
              <w:spacing w:after="0"/>
              <w:rPr>
                <w:sz w:val="15"/>
                <w:szCs w:val="15"/>
                <w:color w:val="auto"/>
              </w:rPr>
            </w:pPr>
          </w:p>
        </w:tc>
        <w:tc>
          <w:tcPr>
            <w:tcW w:w="9080" w:type="dxa"/>
            <w:vAlign w:val="bottom"/>
          </w:tcPr>
          <w:p>
            <w:pPr>
              <w:ind w:left="680"/>
              <w:spacing w:after="0" w:line="181" w:lineRule="exact"/>
              <w:rPr>
                <w:sz w:val="20"/>
                <w:szCs w:val="20"/>
                <w:color w:val="auto"/>
              </w:rPr>
            </w:pPr>
            <w:r>
              <w:rPr>
                <w:rFonts w:ascii="Times New Roman" w:cs="Times New Roman" w:eastAsia="Times New Roman" w:hAnsi="Times New Roman"/>
                <w:sz w:val="18"/>
                <w:szCs w:val="18"/>
                <w:color w:val="auto"/>
              </w:rPr>
              <w:t>that he served at Cooper Industries where he was CFO of an $800M revenue business focused on electrical,</w:t>
            </w:r>
          </w:p>
        </w:tc>
      </w:tr>
      <w:tr>
        <w:trPr>
          <w:trHeight w:val="176"/>
        </w:trPr>
        <w:tc>
          <w:tcPr>
            <w:tcW w:w="2160" w:type="dxa"/>
            <w:vAlign w:val="bottom"/>
          </w:tcPr>
          <w:p>
            <w:pPr>
              <w:spacing w:after="0"/>
              <w:rPr>
                <w:sz w:val="15"/>
                <w:szCs w:val="15"/>
                <w:color w:val="auto"/>
              </w:rPr>
            </w:pPr>
          </w:p>
        </w:tc>
        <w:tc>
          <w:tcPr>
            <w:tcW w:w="908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electronic and power management solutions. He also held a variety of executive finance and accounting positions at</w:t>
            </w:r>
          </w:p>
        </w:tc>
      </w:tr>
      <w:tr>
        <w:trPr>
          <w:trHeight w:val="184"/>
        </w:trPr>
        <w:tc>
          <w:tcPr>
            <w:tcW w:w="2160" w:type="dxa"/>
            <w:vAlign w:val="bottom"/>
          </w:tcPr>
          <w:p>
            <w:pPr>
              <w:spacing w:after="0"/>
              <w:rPr>
                <w:sz w:val="16"/>
                <w:szCs w:val="16"/>
                <w:color w:val="auto"/>
              </w:rPr>
            </w:pPr>
          </w:p>
        </w:tc>
        <w:tc>
          <w:tcPr>
            <w:tcW w:w="9080" w:type="dxa"/>
            <w:vAlign w:val="bottom"/>
          </w:tcPr>
          <w:p>
            <w:pPr>
              <w:ind w:left="680"/>
              <w:spacing w:after="0" w:line="184" w:lineRule="exact"/>
              <w:rPr>
                <w:sz w:val="20"/>
                <w:szCs w:val="20"/>
                <w:color w:val="auto"/>
              </w:rPr>
            </w:pPr>
            <w:r>
              <w:rPr>
                <w:rFonts w:ascii="Times New Roman" w:cs="Times New Roman" w:eastAsia="Times New Roman" w:hAnsi="Times New Roman"/>
                <w:sz w:val="18"/>
                <w:szCs w:val="18"/>
                <w:color w:val="auto"/>
              </w:rPr>
              <w:t>Newell Brands, Philips Electronics, and Autoliv. Mr. Gray holds a BS in Accounting from Penn State University, is</w:t>
            </w:r>
          </w:p>
        </w:tc>
      </w:tr>
      <w:tr>
        <w:trPr>
          <w:trHeight w:val="180"/>
        </w:trPr>
        <w:tc>
          <w:tcPr>
            <w:tcW w:w="2160" w:type="dxa"/>
            <w:vAlign w:val="bottom"/>
          </w:tcPr>
          <w:p>
            <w:pPr>
              <w:spacing w:after="0"/>
              <w:rPr>
                <w:sz w:val="15"/>
                <w:szCs w:val="15"/>
                <w:color w:val="auto"/>
              </w:rPr>
            </w:pPr>
          </w:p>
        </w:tc>
        <w:tc>
          <w:tcPr>
            <w:tcW w:w="9080" w:type="dxa"/>
            <w:vAlign w:val="bottom"/>
          </w:tcPr>
          <w:p>
            <w:pPr>
              <w:ind w:left="680"/>
              <w:spacing w:after="0" w:line="181" w:lineRule="exact"/>
              <w:rPr>
                <w:sz w:val="20"/>
                <w:szCs w:val="20"/>
                <w:color w:val="auto"/>
              </w:rPr>
            </w:pPr>
            <w:r>
              <w:rPr>
                <w:rFonts w:ascii="Times New Roman" w:cs="Times New Roman" w:eastAsia="Times New Roman" w:hAnsi="Times New Roman"/>
                <w:sz w:val="18"/>
                <w:szCs w:val="18"/>
                <w:color w:val="auto"/>
              </w:rPr>
              <w:t>a Certified Public Accountant (CPA) and Certified Management Accountant (CMA), and brings to Aviat significant</w:t>
            </w:r>
          </w:p>
        </w:tc>
      </w:tr>
      <w:tr>
        <w:trPr>
          <w:trHeight w:val="176"/>
        </w:trPr>
        <w:tc>
          <w:tcPr>
            <w:tcW w:w="2160" w:type="dxa"/>
            <w:vAlign w:val="bottom"/>
          </w:tcPr>
          <w:p>
            <w:pPr>
              <w:spacing w:after="0"/>
              <w:rPr>
                <w:sz w:val="15"/>
                <w:szCs w:val="15"/>
                <w:color w:val="auto"/>
              </w:rPr>
            </w:pPr>
          </w:p>
        </w:tc>
        <w:tc>
          <w:tcPr>
            <w:tcW w:w="908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CFO experience in complex multi-national businesses as well as a deep background in P&amp;L leadership, cash flow</w:t>
            </w:r>
          </w:p>
        </w:tc>
      </w:tr>
      <w:tr>
        <w:trPr>
          <w:trHeight w:val="239"/>
        </w:trPr>
        <w:tc>
          <w:tcPr>
            <w:tcW w:w="2160" w:type="dxa"/>
            <w:vAlign w:val="bottom"/>
          </w:tcPr>
          <w:p>
            <w:pPr>
              <w:spacing w:after="0"/>
              <w:rPr>
                <w:sz w:val="20"/>
                <w:szCs w:val="20"/>
                <w:color w:val="auto"/>
              </w:rPr>
            </w:pPr>
          </w:p>
        </w:tc>
        <w:tc>
          <w:tcPr>
            <w:tcW w:w="9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management, and mergers and acquisitions.</w:t>
            </w:r>
          </w:p>
        </w:tc>
      </w:tr>
      <w:tr>
        <w:trPr>
          <w:trHeight w:val="180"/>
        </w:trPr>
        <w:tc>
          <w:tcPr>
            <w:tcW w:w="21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Bryan C. Tucker, 54</w:t>
            </w:r>
          </w:p>
        </w:tc>
        <w:tc>
          <w:tcPr>
            <w:tcW w:w="9080" w:type="dxa"/>
            <w:vAlign w:val="bottom"/>
            <w:shd w:val="clear" w:color="auto" w:fill="CCEEFF"/>
          </w:tcPr>
          <w:p>
            <w:pPr>
              <w:ind w:left="680"/>
              <w:spacing w:after="0" w:line="180" w:lineRule="exact"/>
              <w:rPr>
                <w:sz w:val="20"/>
                <w:szCs w:val="20"/>
                <w:color w:val="auto"/>
              </w:rPr>
            </w:pPr>
            <w:r>
              <w:rPr>
                <w:rFonts w:ascii="Times New Roman" w:cs="Times New Roman" w:eastAsia="Times New Roman" w:hAnsi="Times New Roman"/>
                <w:sz w:val="18"/>
                <w:szCs w:val="18"/>
                <w:color w:val="auto"/>
              </w:rPr>
              <w:t>As Senior Vice President Americas, Mr. Tucker is responsible for sales and services in the Americas. Mr. Tucker</w:t>
            </w:r>
          </w:p>
        </w:tc>
      </w:tr>
      <w:tr>
        <w:trPr>
          <w:trHeight w:val="175"/>
        </w:trPr>
        <w:tc>
          <w:tcPr>
            <w:tcW w:w="2160" w:type="dxa"/>
            <w:vAlign w:val="bottom"/>
            <w:shd w:val="clear" w:color="auto" w:fill="CCEEFF"/>
          </w:tcPr>
          <w:p>
            <w:pPr>
              <w:spacing w:after="0"/>
              <w:rPr>
                <w:sz w:val="15"/>
                <w:szCs w:val="15"/>
                <w:color w:val="auto"/>
              </w:rPr>
            </w:pPr>
          </w:p>
        </w:tc>
        <w:tc>
          <w:tcPr>
            <w:tcW w:w="908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joined the Company in 2005, and since, has served in a number of roles for Aviat Networks and its predecessor</w:t>
            </w:r>
          </w:p>
        </w:tc>
      </w:tr>
      <w:tr>
        <w:trPr>
          <w:trHeight w:val="184"/>
        </w:trPr>
        <w:tc>
          <w:tcPr>
            <w:tcW w:w="2160" w:type="dxa"/>
            <w:vAlign w:val="bottom"/>
            <w:shd w:val="clear" w:color="auto" w:fill="CCEEFF"/>
          </w:tcPr>
          <w:p>
            <w:pPr>
              <w:spacing w:after="0"/>
              <w:rPr>
                <w:sz w:val="16"/>
                <w:szCs w:val="16"/>
                <w:color w:val="auto"/>
              </w:rPr>
            </w:pPr>
          </w:p>
        </w:tc>
        <w:tc>
          <w:tcPr>
            <w:tcW w:w="908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companies Harris Stratex Networks and Harris Microwave Communications Division (“MCD”). For example, as</w:t>
            </w:r>
          </w:p>
        </w:tc>
      </w:tr>
      <w:tr>
        <w:trPr>
          <w:trHeight w:val="180"/>
        </w:trPr>
        <w:tc>
          <w:tcPr>
            <w:tcW w:w="2160" w:type="dxa"/>
            <w:vAlign w:val="bottom"/>
            <w:shd w:val="clear" w:color="auto" w:fill="CCEEFF"/>
          </w:tcPr>
          <w:p>
            <w:pPr>
              <w:spacing w:after="0"/>
              <w:rPr>
                <w:sz w:val="15"/>
                <w:szCs w:val="15"/>
                <w:color w:val="auto"/>
              </w:rPr>
            </w:pPr>
          </w:p>
        </w:tc>
        <w:tc>
          <w:tcPr>
            <w:tcW w:w="9080" w:type="dxa"/>
            <w:vAlign w:val="bottom"/>
            <w:shd w:val="clear" w:color="auto" w:fill="CCEEFF"/>
          </w:tcPr>
          <w:p>
            <w:pPr>
              <w:ind w:left="680"/>
              <w:spacing w:after="0" w:line="181" w:lineRule="exact"/>
              <w:rPr>
                <w:sz w:val="20"/>
                <w:szCs w:val="20"/>
                <w:color w:val="auto"/>
              </w:rPr>
            </w:pPr>
            <w:r>
              <w:rPr>
                <w:rFonts w:ascii="Times New Roman" w:cs="Times New Roman" w:eastAsia="Times New Roman" w:hAnsi="Times New Roman"/>
                <w:sz w:val="18"/>
                <w:szCs w:val="18"/>
                <w:color w:val="auto"/>
              </w:rPr>
              <w:t>senior director for North America Operations, Mr. Tucker spearheaded major transitions in ERP systems, product</w:t>
            </w:r>
          </w:p>
        </w:tc>
      </w:tr>
      <w:tr>
        <w:trPr>
          <w:trHeight w:val="175"/>
        </w:trPr>
        <w:tc>
          <w:tcPr>
            <w:tcW w:w="2160" w:type="dxa"/>
            <w:vAlign w:val="bottom"/>
            <w:shd w:val="clear" w:color="auto" w:fill="CCEEFF"/>
          </w:tcPr>
          <w:p>
            <w:pPr>
              <w:spacing w:after="0"/>
              <w:rPr>
                <w:sz w:val="15"/>
                <w:szCs w:val="15"/>
                <w:color w:val="auto"/>
              </w:rPr>
            </w:pPr>
          </w:p>
        </w:tc>
        <w:tc>
          <w:tcPr>
            <w:tcW w:w="908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lines and operational locations. He also led the company’s post-merger systems unification with Harris MCD in</w:t>
            </w:r>
          </w:p>
        </w:tc>
      </w:tr>
      <w:tr>
        <w:trPr>
          <w:trHeight w:val="184"/>
        </w:trPr>
        <w:tc>
          <w:tcPr>
            <w:tcW w:w="2160" w:type="dxa"/>
            <w:vAlign w:val="bottom"/>
            <w:shd w:val="clear" w:color="auto" w:fill="CCEEFF"/>
          </w:tcPr>
          <w:p>
            <w:pPr>
              <w:spacing w:after="0"/>
              <w:rPr>
                <w:sz w:val="16"/>
                <w:szCs w:val="16"/>
                <w:color w:val="auto"/>
              </w:rPr>
            </w:pPr>
          </w:p>
        </w:tc>
        <w:tc>
          <w:tcPr>
            <w:tcW w:w="908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2007. Before joining Aviat Networks, Mr. Tucker worked for Sony Corp. as director of Manufacturing Engineering</w:t>
            </w:r>
          </w:p>
        </w:tc>
      </w:tr>
      <w:tr>
        <w:trPr>
          <w:trHeight w:val="180"/>
        </w:trPr>
        <w:tc>
          <w:tcPr>
            <w:tcW w:w="2160" w:type="dxa"/>
            <w:vAlign w:val="bottom"/>
            <w:shd w:val="clear" w:color="auto" w:fill="CCEEFF"/>
          </w:tcPr>
          <w:p>
            <w:pPr>
              <w:spacing w:after="0"/>
              <w:rPr>
                <w:sz w:val="15"/>
                <w:szCs w:val="15"/>
                <w:color w:val="auto"/>
              </w:rPr>
            </w:pPr>
          </w:p>
        </w:tc>
        <w:tc>
          <w:tcPr>
            <w:tcW w:w="9080" w:type="dxa"/>
            <w:vAlign w:val="bottom"/>
            <w:shd w:val="clear" w:color="auto" w:fill="CCEEFF"/>
          </w:tcPr>
          <w:p>
            <w:pPr>
              <w:ind w:left="680"/>
              <w:spacing w:after="0" w:line="181" w:lineRule="exact"/>
              <w:rPr>
                <w:sz w:val="20"/>
                <w:szCs w:val="20"/>
                <w:color w:val="auto"/>
              </w:rPr>
            </w:pPr>
            <w:r>
              <w:rPr>
                <w:rFonts w:ascii="Times New Roman" w:cs="Times New Roman" w:eastAsia="Times New Roman" w:hAnsi="Times New Roman"/>
                <w:sz w:val="18"/>
                <w:szCs w:val="18"/>
                <w:color w:val="auto"/>
              </w:rPr>
              <w:t>and Maintenance for two production facilities. Overall, Mr. Tucker has more than 24 years of experience in</w:t>
            </w:r>
          </w:p>
        </w:tc>
      </w:tr>
      <w:tr>
        <w:trPr>
          <w:trHeight w:val="175"/>
        </w:trPr>
        <w:tc>
          <w:tcPr>
            <w:tcW w:w="2160" w:type="dxa"/>
            <w:vAlign w:val="bottom"/>
            <w:shd w:val="clear" w:color="auto" w:fill="CCEEFF"/>
          </w:tcPr>
          <w:p>
            <w:pPr>
              <w:spacing w:after="0"/>
              <w:rPr>
                <w:sz w:val="15"/>
                <w:szCs w:val="15"/>
                <w:color w:val="auto"/>
              </w:rPr>
            </w:pPr>
          </w:p>
        </w:tc>
        <w:tc>
          <w:tcPr>
            <w:tcW w:w="908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engineering and manufacturing operations with high-tech companies. He has a bachelor’s degree in electrical</w:t>
            </w:r>
          </w:p>
        </w:tc>
      </w:tr>
      <w:tr>
        <w:trPr>
          <w:trHeight w:val="184"/>
        </w:trPr>
        <w:tc>
          <w:tcPr>
            <w:tcW w:w="2160" w:type="dxa"/>
            <w:vAlign w:val="bottom"/>
            <w:shd w:val="clear" w:color="auto" w:fill="CCEEFF"/>
          </w:tcPr>
          <w:p>
            <w:pPr>
              <w:spacing w:after="0"/>
              <w:rPr>
                <w:sz w:val="16"/>
                <w:szCs w:val="16"/>
                <w:color w:val="auto"/>
              </w:rPr>
            </w:pPr>
          </w:p>
        </w:tc>
        <w:tc>
          <w:tcPr>
            <w:tcW w:w="908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engineering from the University of Florida, is Six Sigma Certified and has pursued postgraduate studies/research in</w:t>
            </w:r>
          </w:p>
        </w:tc>
      </w:tr>
      <w:tr>
        <w:trPr>
          <w:trHeight w:val="234"/>
        </w:trPr>
        <w:tc>
          <w:tcPr>
            <w:tcW w:w="2160" w:type="dxa"/>
            <w:vAlign w:val="bottom"/>
            <w:shd w:val="clear" w:color="auto" w:fill="CCEEFF"/>
          </w:tcPr>
          <w:p>
            <w:pPr>
              <w:spacing w:after="0"/>
              <w:rPr>
                <w:sz w:val="20"/>
                <w:szCs w:val="20"/>
                <w:color w:val="auto"/>
              </w:rPr>
            </w:pPr>
          </w:p>
        </w:tc>
        <w:tc>
          <w:tcPr>
            <w:tcW w:w="9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semiconductor physics at Georgia Tech.</w:t>
            </w:r>
          </w:p>
        </w:tc>
      </w:tr>
      <w:tr>
        <w:trPr>
          <w:trHeight w:val="198"/>
        </w:trPr>
        <w:tc>
          <w:tcPr>
            <w:tcW w:w="2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Erin Boase, 43</w:t>
            </w:r>
          </w:p>
        </w:tc>
        <w:tc>
          <w:tcPr>
            <w:tcW w:w="9080" w:type="dxa"/>
            <w:vAlign w:val="bottom"/>
          </w:tcPr>
          <w:p>
            <w:pPr>
              <w:ind w:left="680"/>
              <w:spacing w:after="0" w:line="198" w:lineRule="exact"/>
              <w:rPr>
                <w:sz w:val="20"/>
                <w:szCs w:val="20"/>
                <w:color w:val="auto"/>
              </w:rPr>
            </w:pPr>
            <w:r>
              <w:rPr>
                <w:rFonts w:ascii="Times New Roman" w:cs="Times New Roman" w:eastAsia="Times New Roman" w:hAnsi="Times New Roman"/>
                <w:sz w:val="18"/>
                <w:szCs w:val="18"/>
                <w:color w:val="auto"/>
              </w:rPr>
              <w:t>As General Counsel, Ms. Boase is responsible for all aspects of the Legal function. Ms. Boase brings a depth of</w:t>
            </w:r>
          </w:p>
        </w:tc>
      </w:tr>
      <w:tr>
        <w:trPr>
          <w:trHeight w:val="203"/>
        </w:trPr>
        <w:tc>
          <w:tcPr>
            <w:tcW w:w="2160" w:type="dxa"/>
            <w:vAlign w:val="bottom"/>
          </w:tcPr>
          <w:p>
            <w:pPr>
              <w:spacing w:after="0"/>
              <w:rPr>
                <w:sz w:val="17"/>
                <w:szCs w:val="17"/>
                <w:color w:val="auto"/>
              </w:rPr>
            </w:pPr>
          </w:p>
        </w:tc>
        <w:tc>
          <w:tcPr>
            <w:tcW w:w="9080" w:type="dxa"/>
            <w:vAlign w:val="bottom"/>
          </w:tcPr>
          <w:p>
            <w:pPr>
              <w:ind w:left="680"/>
              <w:spacing w:after="0" w:line="202" w:lineRule="exact"/>
              <w:rPr>
                <w:sz w:val="20"/>
                <w:szCs w:val="20"/>
                <w:color w:val="auto"/>
              </w:rPr>
            </w:pPr>
            <w:r>
              <w:rPr>
                <w:rFonts w:ascii="Times New Roman" w:cs="Times New Roman" w:eastAsia="Times New Roman" w:hAnsi="Times New Roman"/>
                <w:sz w:val="18"/>
                <w:szCs w:val="18"/>
                <w:color w:val="auto"/>
              </w:rPr>
              <w:t>experience to the team in privacy, employment, compliance, real estate, M&amp;A, as well as, copyright, trademark and</w:t>
            </w:r>
          </w:p>
        </w:tc>
      </w:tr>
      <w:tr>
        <w:trPr>
          <w:trHeight w:val="189"/>
        </w:trPr>
        <w:tc>
          <w:tcPr>
            <w:tcW w:w="2160" w:type="dxa"/>
            <w:vAlign w:val="bottom"/>
          </w:tcPr>
          <w:p>
            <w:pPr>
              <w:spacing w:after="0"/>
              <w:rPr>
                <w:sz w:val="16"/>
                <w:szCs w:val="16"/>
                <w:color w:val="auto"/>
              </w:rPr>
            </w:pPr>
          </w:p>
        </w:tc>
        <w:tc>
          <w:tcPr>
            <w:tcW w:w="9080" w:type="dxa"/>
            <w:vAlign w:val="bottom"/>
          </w:tcPr>
          <w:p>
            <w:pPr>
              <w:ind w:left="680"/>
              <w:spacing w:after="0" w:line="189" w:lineRule="exact"/>
              <w:rPr>
                <w:sz w:val="20"/>
                <w:szCs w:val="20"/>
                <w:color w:val="auto"/>
              </w:rPr>
            </w:pPr>
            <w:r>
              <w:rPr>
                <w:rFonts w:ascii="Times New Roman" w:cs="Times New Roman" w:eastAsia="Times New Roman" w:hAnsi="Times New Roman"/>
                <w:sz w:val="18"/>
                <w:szCs w:val="18"/>
                <w:color w:val="auto"/>
              </w:rPr>
              <w:t>other product, software, service and cloud-related legal matters. Ms. Boase was previously at Lifesize, Inc. where</w:t>
            </w:r>
          </w:p>
        </w:tc>
      </w:tr>
      <w:tr>
        <w:trPr>
          <w:trHeight w:val="203"/>
        </w:trPr>
        <w:tc>
          <w:tcPr>
            <w:tcW w:w="2160" w:type="dxa"/>
            <w:vAlign w:val="bottom"/>
          </w:tcPr>
          <w:p>
            <w:pPr>
              <w:spacing w:after="0"/>
              <w:rPr>
                <w:sz w:val="17"/>
                <w:szCs w:val="17"/>
                <w:color w:val="auto"/>
              </w:rPr>
            </w:pPr>
          </w:p>
        </w:tc>
        <w:tc>
          <w:tcPr>
            <w:tcW w:w="9080" w:type="dxa"/>
            <w:vAlign w:val="bottom"/>
          </w:tcPr>
          <w:p>
            <w:pPr>
              <w:ind w:left="680"/>
              <w:spacing w:after="0" w:line="202" w:lineRule="exact"/>
              <w:rPr>
                <w:sz w:val="20"/>
                <w:szCs w:val="20"/>
                <w:color w:val="auto"/>
              </w:rPr>
            </w:pPr>
            <w:r>
              <w:rPr>
                <w:rFonts w:ascii="Times New Roman" w:cs="Times New Roman" w:eastAsia="Times New Roman" w:hAnsi="Times New Roman"/>
                <w:sz w:val="18"/>
                <w:szCs w:val="18"/>
                <w:color w:val="auto"/>
              </w:rPr>
              <w:t>she served as Head of Legal and Corporate Secretary. Prior to that she was the Senior Corporate Counsel at Cisco</w:t>
            </w:r>
          </w:p>
        </w:tc>
      </w:tr>
      <w:tr>
        <w:trPr>
          <w:trHeight w:val="203"/>
        </w:trPr>
        <w:tc>
          <w:tcPr>
            <w:tcW w:w="2160" w:type="dxa"/>
            <w:vAlign w:val="bottom"/>
          </w:tcPr>
          <w:p>
            <w:pPr>
              <w:spacing w:after="0"/>
              <w:rPr>
                <w:sz w:val="17"/>
                <w:szCs w:val="17"/>
                <w:color w:val="auto"/>
              </w:rPr>
            </w:pPr>
          </w:p>
        </w:tc>
        <w:tc>
          <w:tcPr>
            <w:tcW w:w="9080" w:type="dxa"/>
            <w:vAlign w:val="bottom"/>
          </w:tcPr>
          <w:p>
            <w:pPr>
              <w:ind w:left="680"/>
              <w:spacing w:after="0" w:line="202" w:lineRule="exact"/>
              <w:rPr>
                <w:sz w:val="20"/>
                <w:szCs w:val="20"/>
                <w:color w:val="auto"/>
              </w:rPr>
            </w:pPr>
            <w:r>
              <w:rPr>
                <w:rFonts w:ascii="Times New Roman" w:cs="Times New Roman" w:eastAsia="Times New Roman" w:hAnsi="Times New Roman"/>
                <w:sz w:val="18"/>
                <w:szCs w:val="18"/>
                <w:color w:val="auto"/>
              </w:rPr>
              <w:t>(formerly Duo Security, Inc.) where she managed the adoption of GDPR privacy compliance, development of</w:t>
            </w:r>
          </w:p>
        </w:tc>
      </w:tr>
      <w:tr>
        <w:trPr>
          <w:trHeight w:val="203"/>
        </w:trPr>
        <w:tc>
          <w:tcPr>
            <w:tcW w:w="2160" w:type="dxa"/>
            <w:vAlign w:val="bottom"/>
          </w:tcPr>
          <w:p>
            <w:pPr>
              <w:spacing w:after="0"/>
              <w:rPr>
                <w:sz w:val="17"/>
                <w:szCs w:val="17"/>
                <w:color w:val="auto"/>
              </w:rPr>
            </w:pPr>
          </w:p>
        </w:tc>
        <w:tc>
          <w:tcPr>
            <w:tcW w:w="9080" w:type="dxa"/>
            <w:vAlign w:val="bottom"/>
          </w:tcPr>
          <w:p>
            <w:pPr>
              <w:ind w:left="680"/>
              <w:spacing w:after="0" w:line="202" w:lineRule="exact"/>
              <w:rPr>
                <w:sz w:val="20"/>
                <w:szCs w:val="20"/>
                <w:color w:val="auto"/>
              </w:rPr>
            </w:pPr>
            <w:r>
              <w:rPr>
                <w:rFonts w:ascii="Times New Roman" w:cs="Times New Roman" w:eastAsia="Times New Roman" w:hAnsi="Times New Roman"/>
                <w:sz w:val="18"/>
                <w:szCs w:val="18"/>
                <w:color w:val="auto"/>
                <w:w w:val="99"/>
              </w:rPr>
              <w:t>company policies, copyright and trademark, technical compliance as well as other legal matters. Earlier in her career</w:t>
            </w:r>
          </w:p>
        </w:tc>
      </w:tr>
      <w:tr>
        <w:trPr>
          <w:trHeight w:val="202"/>
        </w:trPr>
        <w:tc>
          <w:tcPr>
            <w:tcW w:w="2160" w:type="dxa"/>
            <w:vAlign w:val="bottom"/>
          </w:tcPr>
          <w:p>
            <w:pPr>
              <w:spacing w:after="0"/>
              <w:rPr>
                <w:sz w:val="17"/>
                <w:szCs w:val="17"/>
                <w:color w:val="auto"/>
              </w:rPr>
            </w:pPr>
          </w:p>
        </w:tc>
        <w:tc>
          <w:tcPr>
            <w:tcW w:w="9080" w:type="dxa"/>
            <w:vAlign w:val="bottom"/>
          </w:tcPr>
          <w:p>
            <w:pPr>
              <w:ind w:left="680"/>
              <w:spacing w:after="0" w:line="202" w:lineRule="exact"/>
              <w:rPr>
                <w:sz w:val="20"/>
                <w:szCs w:val="20"/>
                <w:color w:val="auto"/>
              </w:rPr>
            </w:pPr>
            <w:r>
              <w:rPr>
                <w:rFonts w:ascii="Times New Roman" w:cs="Times New Roman" w:eastAsia="Times New Roman" w:hAnsi="Times New Roman"/>
                <w:sz w:val="18"/>
                <w:szCs w:val="18"/>
                <w:color w:val="auto"/>
              </w:rPr>
              <w:t>she held legal positions of progressive responsibility with Dell’s Computer and Security business and Thomson</w:t>
            </w:r>
          </w:p>
        </w:tc>
      </w:tr>
      <w:tr>
        <w:trPr>
          <w:trHeight w:val="203"/>
        </w:trPr>
        <w:tc>
          <w:tcPr>
            <w:tcW w:w="2160" w:type="dxa"/>
            <w:vAlign w:val="bottom"/>
          </w:tcPr>
          <w:p>
            <w:pPr>
              <w:spacing w:after="0"/>
              <w:rPr>
                <w:sz w:val="17"/>
                <w:szCs w:val="17"/>
                <w:color w:val="auto"/>
              </w:rPr>
            </w:pPr>
          </w:p>
        </w:tc>
        <w:tc>
          <w:tcPr>
            <w:tcW w:w="9080" w:type="dxa"/>
            <w:vAlign w:val="bottom"/>
          </w:tcPr>
          <w:p>
            <w:pPr>
              <w:ind w:left="680"/>
              <w:spacing w:after="0" w:line="202" w:lineRule="exact"/>
              <w:rPr>
                <w:sz w:val="20"/>
                <w:szCs w:val="20"/>
                <w:color w:val="auto"/>
              </w:rPr>
            </w:pPr>
            <w:r>
              <w:rPr>
                <w:rFonts w:ascii="Times New Roman" w:cs="Times New Roman" w:eastAsia="Times New Roman" w:hAnsi="Times New Roman"/>
                <w:sz w:val="18"/>
                <w:szCs w:val="18"/>
                <w:color w:val="auto"/>
              </w:rPr>
              <w:t>Reuters. Erin holds a Juris Doctorate, Technology and Communications and graduated Cum Laude from Thomas</w:t>
            </w:r>
          </w:p>
        </w:tc>
      </w:tr>
      <w:tr>
        <w:trPr>
          <w:trHeight w:val="234"/>
        </w:trPr>
        <w:tc>
          <w:tcPr>
            <w:tcW w:w="2160" w:type="dxa"/>
            <w:vAlign w:val="bottom"/>
          </w:tcPr>
          <w:p>
            <w:pPr>
              <w:spacing w:after="0"/>
              <w:rPr>
                <w:sz w:val="20"/>
                <w:szCs w:val="20"/>
                <w:color w:val="auto"/>
              </w:rPr>
            </w:pPr>
          </w:p>
        </w:tc>
        <w:tc>
          <w:tcPr>
            <w:tcW w:w="9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Jefferson School of Law and a Bachelor of Arts from Midwestern State University.</w:t>
            </w:r>
          </w:p>
        </w:tc>
      </w:tr>
      <w:tr>
        <w:trPr>
          <w:trHeight w:val="999"/>
        </w:trPr>
        <w:tc>
          <w:tcPr>
            <w:tcW w:w="2160" w:type="dxa"/>
            <w:vAlign w:val="bottom"/>
          </w:tcPr>
          <w:p>
            <w:pPr>
              <w:spacing w:after="0"/>
              <w:rPr>
                <w:sz w:val="24"/>
                <w:szCs w:val="24"/>
                <w:color w:val="auto"/>
              </w:rPr>
            </w:pPr>
          </w:p>
        </w:tc>
        <w:tc>
          <w:tcPr>
            <w:tcW w:w="908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14</w:t>
            </w:r>
          </w:p>
        </w:tc>
      </w:tr>
      <w:tr>
        <w:trPr>
          <w:trHeight w:val="115"/>
        </w:trPr>
        <w:tc>
          <w:tcPr>
            <w:tcW w:w="2160" w:type="dxa"/>
            <w:vAlign w:val="bottom"/>
            <w:tcBorders>
              <w:bottom w:val="single" w:sz="8" w:color="9A9A9A"/>
            </w:tcBorders>
          </w:tcPr>
          <w:p>
            <w:pPr>
              <w:spacing w:after="0"/>
              <w:rPr>
                <w:sz w:val="10"/>
                <w:szCs w:val="10"/>
                <w:color w:val="auto"/>
              </w:rPr>
            </w:pPr>
          </w:p>
        </w:tc>
        <w:tc>
          <w:tcPr>
            <w:tcW w:w="9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Gary G. Croke, 50</w:t>
            </w:r>
          </w:p>
        </w:tc>
        <w:tc>
          <w:tcPr>
            <w:tcW w:w="9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9"/>
              </w:rPr>
              <w:t>As Vice President of Marketing, Mr. Croke is responsible for Aviat’s global marketing which includes corporate and</w:t>
            </w:r>
          </w:p>
        </w:tc>
      </w:tr>
      <w:tr>
        <w:trPr>
          <w:trHeight w:val="175"/>
        </w:trPr>
        <w:tc>
          <w:tcPr>
            <w:tcW w:w="2100" w:type="dxa"/>
            <w:vAlign w:val="bottom"/>
            <w:shd w:val="clear" w:color="auto" w:fill="CCEEFF"/>
          </w:tcPr>
          <w:p>
            <w:pPr>
              <w:spacing w:after="0"/>
              <w:rPr>
                <w:sz w:val="15"/>
                <w:szCs w:val="15"/>
                <w:color w:val="auto"/>
              </w:rPr>
            </w:pPr>
          </w:p>
        </w:tc>
        <w:tc>
          <w:tcPr>
            <w:tcW w:w="9140" w:type="dxa"/>
            <w:vAlign w:val="bottom"/>
            <w:shd w:val="clear" w:color="auto" w:fill="CCEEFF"/>
          </w:tcPr>
          <w:p>
            <w:pPr>
              <w:ind w:left="740"/>
              <w:spacing w:after="0" w:line="176" w:lineRule="exact"/>
              <w:rPr>
                <w:sz w:val="20"/>
                <w:szCs w:val="20"/>
                <w:color w:val="auto"/>
              </w:rPr>
            </w:pPr>
            <w:r>
              <w:rPr>
                <w:rFonts w:ascii="Times New Roman" w:cs="Times New Roman" w:eastAsia="Times New Roman" w:hAnsi="Times New Roman"/>
                <w:sz w:val="18"/>
                <w:szCs w:val="18"/>
                <w:color w:val="auto"/>
              </w:rPr>
              <w:t>strategic marketing functions and product line management. Mr. Croke charts Aviat’s global product and marketing</w:t>
            </w:r>
          </w:p>
        </w:tc>
      </w:tr>
      <w:tr>
        <w:trPr>
          <w:trHeight w:val="184"/>
        </w:trPr>
        <w:tc>
          <w:tcPr>
            <w:tcW w:w="2100" w:type="dxa"/>
            <w:vAlign w:val="bottom"/>
            <w:shd w:val="clear" w:color="auto" w:fill="CCEEFF"/>
          </w:tcPr>
          <w:p>
            <w:pPr>
              <w:spacing w:after="0"/>
              <w:rPr>
                <w:sz w:val="16"/>
                <w:szCs w:val="16"/>
                <w:color w:val="auto"/>
              </w:rPr>
            </w:pPr>
          </w:p>
        </w:tc>
        <w:tc>
          <w:tcPr>
            <w:tcW w:w="9140" w:type="dxa"/>
            <w:vAlign w:val="bottom"/>
            <w:shd w:val="clear" w:color="auto" w:fill="CCEEFF"/>
          </w:tcPr>
          <w:p>
            <w:pPr>
              <w:ind w:left="740"/>
              <w:spacing w:after="0" w:line="184" w:lineRule="exact"/>
              <w:rPr>
                <w:sz w:val="20"/>
                <w:szCs w:val="20"/>
                <w:color w:val="auto"/>
              </w:rPr>
            </w:pPr>
            <w:r>
              <w:rPr>
                <w:rFonts w:ascii="Times New Roman" w:cs="Times New Roman" w:eastAsia="Times New Roman" w:hAnsi="Times New Roman"/>
                <w:sz w:val="18"/>
                <w:szCs w:val="18"/>
                <w:color w:val="auto"/>
              </w:rPr>
              <w:t>strategy and ensures successful company-wide implementation. His team's primary focus is on achieving business</w:t>
            </w:r>
          </w:p>
        </w:tc>
      </w:tr>
      <w:tr>
        <w:trPr>
          <w:trHeight w:val="180"/>
        </w:trPr>
        <w:tc>
          <w:tcPr>
            <w:tcW w:w="2100" w:type="dxa"/>
            <w:vAlign w:val="bottom"/>
            <w:shd w:val="clear" w:color="auto" w:fill="CCEEFF"/>
          </w:tcPr>
          <w:p>
            <w:pPr>
              <w:spacing w:after="0"/>
              <w:rPr>
                <w:sz w:val="15"/>
                <w:szCs w:val="15"/>
                <w:color w:val="auto"/>
              </w:rPr>
            </w:pPr>
          </w:p>
        </w:tc>
        <w:tc>
          <w:tcPr>
            <w:tcW w:w="9140" w:type="dxa"/>
            <w:vAlign w:val="bottom"/>
            <w:shd w:val="clear" w:color="auto" w:fill="CCEEFF"/>
          </w:tcPr>
          <w:p>
            <w:pPr>
              <w:ind w:left="740"/>
              <w:spacing w:after="0" w:line="181" w:lineRule="exact"/>
              <w:rPr>
                <w:sz w:val="20"/>
                <w:szCs w:val="20"/>
                <w:color w:val="auto"/>
              </w:rPr>
            </w:pPr>
            <w:r>
              <w:rPr>
                <w:rFonts w:ascii="Times New Roman" w:cs="Times New Roman" w:eastAsia="Times New Roman" w:hAnsi="Times New Roman"/>
                <w:sz w:val="18"/>
                <w:szCs w:val="18"/>
                <w:color w:val="auto"/>
              </w:rPr>
              <w:t>growth through the definition and launch of new solutions that drive customer economic value. Mr. Croke has over</w:t>
            </w:r>
          </w:p>
        </w:tc>
      </w:tr>
      <w:tr>
        <w:trPr>
          <w:trHeight w:val="175"/>
        </w:trPr>
        <w:tc>
          <w:tcPr>
            <w:tcW w:w="2100" w:type="dxa"/>
            <w:vAlign w:val="bottom"/>
            <w:shd w:val="clear" w:color="auto" w:fill="CCEEFF"/>
          </w:tcPr>
          <w:p>
            <w:pPr>
              <w:spacing w:after="0"/>
              <w:rPr>
                <w:sz w:val="15"/>
                <w:szCs w:val="15"/>
                <w:color w:val="auto"/>
              </w:rPr>
            </w:pPr>
          </w:p>
        </w:tc>
        <w:tc>
          <w:tcPr>
            <w:tcW w:w="9140" w:type="dxa"/>
            <w:vAlign w:val="bottom"/>
            <w:shd w:val="clear" w:color="auto" w:fill="CCEEFF"/>
          </w:tcPr>
          <w:p>
            <w:pPr>
              <w:ind w:left="740"/>
              <w:spacing w:after="0" w:line="176" w:lineRule="exact"/>
              <w:rPr>
                <w:sz w:val="20"/>
                <w:szCs w:val="20"/>
                <w:color w:val="auto"/>
              </w:rPr>
            </w:pPr>
            <w:r>
              <w:rPr>
                <w:rFonts w:ascii="Times New Roman" w:cs="Times New Roman" w:eastAsia="Times New Roman" w:hAnsi="Times New Roman"/>
                <w:sz w:val="18"/>
                <w:szCs w:val="18"/>
                <w:color w:val="auto"/>
              </w:rPr>
              <w:t>25 years of leadership experience in the data and mobile communications sectors and he is highly skilled at</w:t>
            </w:r>
          </w:p>
        </w:tc>
      </w:tr>
      <w:tr>
        <w:trPr>
          <w:trHeight w:val="184"/>
        </w:trPr>
        <w:tc>
          <w:tcPr>
            <w:tcW w:w="2100" w:type="dxa"/>
            <w:vAlign w:val="bottom"/>
            <w:shd w:val="clear" w:color="auto" w:fill="CCEEFF"/>
          </w:tcPr>
          <w:p>
            <w:pPr>
              <w:spacing w:after="0"/>
              <w:rPr>
                <w:sz w:val="16"/>
                <w:szCs w:val="16"/>
                <w:color w:val="auto"/>
              </w:rPr>
            </w:pPr>
          </w:p>
        </w:tc>
        <w:tc>
          <w:tcPr>
            <w:tcW w:w="9140" w:type="dxa"/>
            <w:vAlign w:val="bottom"/>
            <w:shd w:val="clear" w:color="auto" w:fill="CCEEFF"/>
          </w:tcPr>
          <w:p>
            <w:pPr>
              <w:ind w:left="740"/>
              <w:spacing w:after="0" w:line="184" w:lineRule="exact"/>
              <w:rPr>
                <w:sz w:val="20"/>
                <w:szCs w:val="20"/>
                <w:color w:val="auto"/>
              </w:rPr>
            </w:pPr>
            <w:r>
              <w:rPr>
                <w:rFonts w:ascii="Times New Roman" w:cs="Times New Roman" w:eastAsia="Times New Roman" w:hAnsi="Times New Roman"/>
                <w:sz w:val="18"/>
                <w:szCs w:val="18"/>
                <w:color w:val="auto"/>
              </w:rPr>
              <w:t>delivering creative and compelling value propositions with demand generation programs that produce business</w:t>
            </w:r>
          </w:p>
        </w:tc>
      </w:tr>
      <w:tr>
        <w:trPr>
          <w:trHeight w:val="180"/>
        </w:trPr>
        <w:tc>
          <w:tcPr>
            <w:tcW w:w="2100" w:type="dxa"/>
            <w:vAlign w:val="bottom"/>
            <w:shd w:val="clear" w:color="auto" w:fill="CCEEFF"/>
          </w:tcPr>
          <w:p>
            <w:pPr>
              <w:spacing w:after="0"/>
              <w:rPr>
                <w:sz w:val="15"/>
                <w:szCs w:val="15"/>
                <w:color w:val="auto"/>
              </w:rPr>
            </w:pPr>
          </w:p>
        </w:tc>
        <w:tc>
          <w:tcPr>
            <w:tcW w:w="9140" w:type="dxa"/>
            <w:vAlign w:val="bottom"/>
            <w:shd w:val="clear" w:color="auto" w:fill="CCEEFF"/>
          </w:tcPr>
          <w:p>
            <w:pPr>
              <w:ind w:left="740"/>
              <w:spacing w:after="0" w:line="181" w:lineRule="exact"/>
              <w:rPr>
                <w:sz w:val="20"/>
                <w:szCs w:val="20"/>
                <w:color w:val="auto"/>
              </w:rPr>
            </w:pPr>
            <w:r>
              <w:rPr>
                <w:rFonts w:ascii="Times New Roman" w:cs="Times New Roman" w:eastAsia="Times New Roman" w:hAnsi="Times New Roman"/>
                <w:sz w:val="18"/>
                <w:szCs w:val="18"/>
                <w:color w:val="auto"/>
              </w:rPr>
              <w:t>results. Gary has a bachelor’s degree in electrical engineering from Memorial University of Newfoundland and has</w:t>
            </w:r>
          </w:p>
        </w:tc>
      </w:tr>
      <w:tr>
        <w:trPr>
          <w:trHeight w:val="243"/>
        </w:trPr>
        <w:tc>
          <w:tcPr>
            <w:tcW w:w="2100" w:type="dxa"/>
            <w:vAlign w:val="bottom"/>
            <w:shd w:val="clear" w:color="auto" w:fill="CCEEFF"/>
          </w:tcPr>
          <w:p>
            <w:pPr>
              <w:spacing w:after="0"/>
              <w:rPr>
                <w:sz w:val="21"/>
                <w:szCs w:val="21"/>
                <w:color w:val="auto"/>
              </w:rPr>
            </w:pPr>
          </w:p>
        </w:tc>
        <w:tc>
          <w:tcPr>
            <w:tcW w:w="9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pursued postgraduate studies/research in business administration at the University of Ottawa.</w:t>
            </w: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is no family relationship between any of our executive officers or directors, and there are no arrangements or understandings between any of our executive officers or directors and any other person pursuant to which any of them was appointed or elected as an officer or director, other than arrangements or understandings with our directors.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Website Access to Aviat Networks’ Reports; Available Information</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maintain a website at http://www.aviatnetworks.com. Our annual reports on Form 10-K, proxy statements, quarterly reports on Form 10-Q, current reports on Form 8-K and amendments to such reports, filed or furnished pursuant to Section 13(a) or 15(d) of the Securities Exchange Act of 1934 (the “Exchange Act”) are available free of charge on our website as soon as reasonably practicable after these reports are electronically filed with, or furnished to, the Securities and Exchange Commission (“SEC”). Our website and the information posted thereon are not incorporated into this Annual Report on Form 10-K or any current or other periodic report that we file or furnish to the SEC.</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will also provide the reports in electronic or paper form, free of charge upon request. All reports we file with or furnish to the SEC are also available free of charge via EDGAR through the SEC’s website at http://www.sec.gov.</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 information relating to our business and operations is set forth in “Item 7. Management’s Discussion and Analysis of Financial Condition and Results of Operations” in this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nature of the business activities conducted by the Company subjects us to certain hazards and risks. The following is a summary of some of the material risks relating to the Company’s business activities. Other risks are described in “Item 1. Business,” “Item 7. Management’s Discussion and Analysis of Financial Condition and Results of Operations” and “Item 7A. Quantitative and Qualitative Disclosures About Market Risk.” Prospective and existing investors are strongly urged to carefully consider the various cautionary statements and risks set forth in this Annual Report on Form 10-K and in our other public filings.</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face many business risks, including those related to our financial performance, investments in our common stock, operating our business and legal matters. The risks and uncertainties described below are not the only ones facing us. Additional risks and uncertainties not currently known to us or that we currently deem immaterial may also impair our business operations. If any of these risks occur, our financial condition and results of operations could be materially and adversely affected. In that case, the market price of the Company’s common stock could decline.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Operational Risk Factors</w:t>
      </w:r>
    </w:p>
    <w:p>
      <w:pPr>
        <w:spacing w:after="0" w:line="31" w:lineRule="exact"/>
        <w:rPr>
          <w:sz w:val="20"/>
          <w:szCs w:val="20"/>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 may be lengthy, and the timing of sales, along with additional services such as network design, installation and implementation of our products within our customers’ networks, may extend over more than one period, which can make our operating results difficult to predict.</w:t>
      </w:r>
    </w:p>
    <w:p>
      <w:pPr>
        <w:spacing w:after="0" w:line="22" w:lineRule="exact"/>
        <w:rPr>
          <w:rFonts w:ascii="Times New Roman" w:cs="Times New Roman" w:eastAsia="Times New Roman" w:hAnsi="Times New Roman"/>
          <w:sz w:val="18"/>
          <w:szCs w:val="18"/>
          <w:color w:val="auto"/>
        </w:rPr>
      </w:pPr>
    </w:p>
    <w:p>
      <w:pPr>
        <w:ind w:left="660" w:hanging="328"/>
        <w:spacing w:after="0" w:line="244" w:lineRule="auto"/>
        <w:tabs>
          <w:tab w:leader="none" w:pos="655"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We face risks related to the ongoing COVID-19 pandemic, threatened health epidemics and other outbreaks, which could significantly disrupt our manufacturing, sales and other operations.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undertake further restructuring activities, which may adversely impact our operations, and we may not realize all of the anticipated benefits of these activities or any potential future restructurings. Any restructuring activities may harm our business.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continue to increase our revenues and/or reduce costs if we hope to maintain profitability.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may be volatile, which can adversely affect the trading price of our common stock.</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will depend on new products introduced to the marketplace in a timely manner, successfully completing product transitioning and achieving customer acceptance.</w:t>
      </w: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various third-party service partners to help complement our global operations, and failure to adequately manage these relationships could adversely impact our financial results and relationships with customers.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respond to rapid technological change and comply with evolving industry standards and requirements for our products to be successful.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average sales prices may decline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and commercial risks and exposures could increase if the financial condition of our customers declines.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restructuring actions could harm our relationships with our employees and impact our ability to recruit new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if we are unable to attract and retain key personnel.</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strong competition for maintaining and improving our position in the market, which can adversely affect our revenue growth and operating results.</w:t>
      </w: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products and compete successfully is highly dependent on the quality of our customer service and support, and our failure to offer high quality service and support could have a material adverse effect on our sales and results of operations.</w:t>
      </w: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problems, including undetected errors in our hardware or software, or deployment delays could harm our business and reputation.</w:t>
      </w: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accurately forecast our manufacturing requirements or customer demand, we could incur additional costs, which would adversely affect our business and results of operations.</w:t>
      </w:r>
    </w:p>
    <w:p>
      <w:pPr>
        <w:jc w:val="both"/>
        <w:ind w:left="660" w:hanging="328"/>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10"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sole or limited sources and geographies for some key components and failure to receive timely delivery of any of these components could result in deferred or lost sales.</w:t>
      </w:r>
    </w:p>
    <w:p>
      <w:pPr>
        <w:ind w:left="660" w:right="2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 significant amount of our revenue may come from a limited number of customers, the termination of any of these customer relationships may adversely affect our business.</w:t>
      </w: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continually evaluate strategic transaction opportunities which could involve merger, divestiture, sale and/or acquisition activities that could disrupt our operations and harm our operating results.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maintain distribution and licensing relationships, our revenue may decrease.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Macroeconomic Risk Factors</w:t>
      </w:r>
    </w:p>
    <w:p>
      <w:pPr>
        <w:spacing w:after="0" w:line="31" w:lineRule="exact"/>
        <w:rPr>
          <w:sz w:val="20"/>
          <w:szCs w:val="20"/>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volume of our international sales, we may be susceptible to a number of political, economic and geographic risks that could harm our business.</w:t>
      </w:r>
    </w:p>
    <w:p>
      <w:pPr>
        <w:spacing w:after="0" w:line="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There are inherent limitations on the effectiveness of our controls.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capital when desired on favorable terms, if at all, or without dilution to our stockholders.</w:t>
      </w:r>
    </w:p>
    <w:p>
      <w:pPr>
        <w:spacing w:after="0" w:line="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global financial and economic conditions in certain markets have had, and may continue to have, significant effects on our customers and suppliers, and has in the past, and may in the future have, a material adverse effect on our business, operating results, financial condition and stock price.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treaties, rulings, regulations or agreements, or their interpretation in any country in which we operate; the loss of a major tax dispute; a successful challenge to our operating structure, intercompany pricing policies or the taxable presence of our key subsidiaries in certain countries; or other factors could cause volatility in our effective tax rate and could adversely affect our operating results.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color w:val="212121"/>
        </w:rPr>
        <w:t>ur ability to use net operating loss carryforwards to offset future taxable income for U.S. federal income tax purposes and other tax benefits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be limited.</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fluctuations in currency exchange rates.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 Factors</w:t>
      </w:r>
    </w:p>
    <w:p>
      <w:pPr>
        <w:spacing w:after="0" w:line="3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tension in U.S.-China trade relations may adversely impact our supply chain operations and business.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intellectual property rights, we may be deprived of legal recourse against those who misappropriate our intellectual property.</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sufficient radio frequency spectrum is not allocated for use by our products, or we fail to obtain regulatory approval for our products, our ability to market our products may be restricted.</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changing regulation of corporate governance, public disclosure and anti-bribery measures which have resulted in increased costs and may continue to result in additional costs or potential liabilities in the future.</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used in critical communications networks which may subject us to significant liability claims.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regarding our intellectual property. This litigation could be costly to defend and resolve and could prevent us from using or selling the challenged technology.</w:t>
      </w: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variety of federal, state and local laws relating to data privacy and security, which are continuously evolving. It may become costly for us to comply with such data privacy laws, and violating any of these data privacy law could cause an adverse effect on our reputation, business, and operations.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complex federal, state, local and international laws and regulations related to protection of the environment that could materially and adversely affect the cost, manner or feasibility of conducting our operations, as well as those of our suppliers and contract manufacturers.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attention to environmental, social, and governance (“ESG”) matters and conservation measures may adversely impact our business.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focus on climate change issues has contributed to an evolving state of environmental regulation relating to climate change, and uncertainty related to such regulation, as well as physical risks of climate change, could impact our results of operations, financial or competitive position.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3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other catastrophic events such as terrorism and war could have an adverse effect on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security risks, data protection breaches, and cyber-attacks could compromise our proprietary information, disrupt our internal operations and harm public perception of our security products, which could cause our business and reputation to suffer and adversely affect our stock price.</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our stock repurchase program will be fully implemented or that it will enhance long-term stockholder value.</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of Delaware law, Tax Benefit Preservation Plan (“The Plan”), and provisions in our Amended and Restated Certificate of Incorporation, as amended, and Amended and Restated Bylaws could make a third-party acquisition of us difficult.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more complete discussion of the material risks facing our business, see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Operational Risk Factors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cycle may be lengthy, and the timing of sales, along with additional services such as network design, installation and implementation of our products within our customers’ networks, may extend over more than one period, which can make our operating results difficult to predict.</w:t>
      </w:r>
    </w:p>
    <w:p>
      <w:pPr>
        <w:spacing w:after="0" w:line="1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experience difficulty in accurately predicting the timing of the sale of products and amounts of revenue generated from sales of our products, primarily in developing countries. The establishment of a business relationship with a potential customer is a lengthy process, usually taking several months or more. Following the establishment of the relationship, the negotiation of purchase terms can be time-consuming, and a potential customer may require an extended evaluation and testing period. Once a purchase agreement has been executed, the timing and amount of revenue, if applicable, may remain difficult to predict. Our typical product sales cycle, which results in our products being designed into our customers’ networks, can take 12 to 24 months. A number of factors contribute to the length of the sales cycle, including technical evaluations of our products and the design process required to integrate our products into our customers’ networks. The completion of services such as installation and testing of the customer’s networks and the completion of all other suppliers’ network elements are subject to the customer’s timing and efforts and other factors outside our control, each of which may prevent us from making predictions of revenue with any certainty and could cause us to experience substantial period-to-period fluctuations in our operating results.</w:t>
      </w:r>
    </w:p>
    <w:p>
      <w:pPr>
        <w:spacing w:after="0" w:line="2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Due to the challenges from our lengthy sales cycle, our recognition of revenue from our selling efforts may be substantially delayed, our ability to forecast our future revenue may be more limited and our revenue may fluctuate significantly from quarter to quarter.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the ongoing COVID-19 pandemic, threatened health epidemics and other outbreaks, which could significantly disrupt our manufacturing, sales and other operations.</w:t>
      </w:r>
    </w:p>
    <w:p>
      <w:pPr>
        <w:spacing w:after="0" w:line="186"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business could be adversely impacted by the effects of a widespread outbreak of contagious disease, such as COVID-19. The pandemic or other such health crisis could impact our supply operations; for example, if any of our suppliers cease operating, causing us to move production to an alternate supplier. In addition, constraints on supply operations as a result of a pandemic such as COVID-19 could result in component part shortages due to global capacity constraints, such as the current global capacity constraint we are facing in the supply of component parts, particularly of chipsets and other semiconductor components. Such a constraint could and has caused lead times for our products to increase. In an effort to halt the outbreak of a pandemic such as COVID-19, governments may place significant restrictions on travel, such as the restrictions placed by the Chinese government on travel within China, leading to extended business closures, including closures at our third-party manufacturers. Although most of the restrictions on operations of our third-party manufacturers and other suppliers as a result of COVID-19 have been lifted or eased, our suppliers and third-party manufacturers could continue to be disrupted by worker absenteeism, quarantines, office and factory closures, disruptions to ports and other shipping infrastructure, or other travel or health-related restrictions and such restrictions could spread to other locations where we outsource manufacture or distribution of our products if the virus and its variants continues to spread or resurge. If our supply chain operations are affected or are curtailed by the outbreak of diseases such as COVID-19, our supply chain, manufacturing and product shipments will be delayed, which could adversely affect our business, operations and customer relationships. We may need to seek alternate sources of supply which may be more expensive, unavailable or may result in delays in shipments to us from our supply chain and subsequently to our customers. Further, if our distributors’ or end user customers’ businesses are similarly affected, they might delay or reduce purchases from us, which could adversely affect our results of operations.</w:t>
      </w:r>
    </w:p>
    <w:p>
      <w:pPr>
        <w:spacing w:after="0" w:line="22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freight and logistics constraints caused in part by restrictions imposed by governments to combat the COVID-19 pandemic and additionally due to container and carriage shortages, have resulted in increased costs and constrained available transport, for us and our channel partners, all at a time when global demand has increased. If our supply chain operations continue to be affected or are curtailed by the outbreak of diseases such as COVID-19, our supply chain, manufacturing and product shipments will be delayed, which could adversely affect our business, operations and customer relationships. We have sought and may continue to seek alternate sources of supply which may be more expensive, unavailable or may result in delays in shipments to us and from our supply chain and subsequently to our customers.</w:t>
      </w:r>
    </w:p>
    <w:p>
      <w:pPr>
        <w:spacing w:after="0" w:line="21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conducting business with substantial modifications to employee travel, employee work locations, and virtualization or cancellation of certain sales and marketing events, among other modifications. Our business is dependent on travel of our sales, operations, quality and technical support, and other managers and employees. Limitations placed on travel globally could limit our ability to manage post-contract support and maintenance activities. Other companies as well as many governments have imposed restrictions on business operations and other precautionary and preemptive actions to address COVID-19, and they may take further actions that cause us or our customers or suppliers to alter their normal business operations. We will continue to actively monitor the situation and may take further actions that alter our business operations as may be required by federal, state or local authorities, or that we determine are in the best interest of our employees, customers, partners, suppliers and shareholders. Any such alterations or modifications may adversely impact our business, our customers and prospects, or our financial results.</w:t>
      </w:r>
    </w:p>
    <w:p>
      <w:pPr>
        <w:spacing w:after="0" w:line="2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extent to which the COVID-19 pandemic or any other pandemic will impact our business and financial results going forward will be dependent on future developments such as the length and severity of the crisis, the potential resurgence of COVID-19 or other pandemic and its variants in the future, future government actions in response to the crisis, the acceptance and effectiveness of the COVID-19 vaccines and the overall impact of the COVID-19 pandemic on the global economy and capital markets, among many other factors, all of which remain highly uncertain and unpredictable. We cannot at this time quantify or forecast the business impact of COVID-19, and there can be no assurance that the COVID-19 pandemic or other health crisis will not have a material and adverse effect on our business, financial results and financial condition.</w:t>
      </w:r>
    </w:p>
    <w:p>
      <w:pPr>
        <w:spacing w:after="0" w:line="21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undertake further restructuring activities, which may adversely impact our operations, and we may not realize all of the anticipated benefits of these activities or any potential future restructurings. Any restructuring activities may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continue to evaluate our business to determine the potential need to realign our resources as we continue to transform our business to achieve desired cost savings in an increasingly competitive market. In prior years, we have undertaken a series of steps to restructure our operations involving, among other things and depending on the year, reductions of our workforce, the relocation of our corporate headquarters and the reduction and outsourcing of manufacturing activities. We incurred restructuring charges of $0.2 million, $2.3 million and $4.0 million in fiscal 2022, 2021 and 2020, respectively.</w:t>
      </w:r>
    </w:p>
    <w:p>
      <w:pPr>
        <w:spacing w:after="0" w:line="20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based our restructuring efforts on assumptions and plans regarding the appropriate cost structure of our business based on our product mix and projected sales, among other factors. Some of our assumptions include the elimination of jobs and the outsourcing of certain functions to reduce our operating expenses. These assumptions may not be accurate and we may not be able to operate in accordance with our plans. Should this occur we may determine that we must incur additional restructuring charges in the future. Moreover, we cannot assure you that we will realize all of the anticipated benefits of our restructuring actions or that we will not further reduce or otherwise adjust our workforce or exit, or dispose of, certain businesses and product lines. Any decision to further limit investment, exit, or disposal of businesses or product lines may result in the recording of additional restructuring charges. Consequently, the costs actually incurred in connection with the restructuring efforts may be higher than originally planned and may not lead to the anticipated cost savings and/or improved results. For example, if we consolidate additional facilities in the future, we may incur additional restructuring and related expenses, which could have a material adverse effect on our business, financial condition or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continue to increase our revenues and/or reduce costs if we hope to maintain profitability.</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measured under U.S. generally accepted accounting principles (“U.S. GAAP”), we recorded net income of $21.2 million in fiscal 2022, compared to $110.1 million in fiscal 2021 and $0.3 million in fiscal 2020. We generated cash from operations of $2.8 million, $17.3 million and $17.5 million in fiscal 2022, 2021 and 2020, respectively. The net income of $110.1 million in fiscal 2021 included a $90.4 million release of net change in deferred tax assets.</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Throughout fiscal 2022, we experienced price competition for new business in all regions while major customer consolidations from prior years also put pressure on revenue and gross margin. In addition, we saw pricing pressures in all markets, particularly in international markets. Customer consolidation may have an increasing negative impact on our revenue if Aviat is not selected as a vendor for the products and/or services we provide. To counter pricing pressures, we invested heavily in product improvements to reduce unit costs and enhance product features, decreased overall company expenses, and worked with our vendors to attain more favorable pricing. If we are unable to reduce product unit costs associated with enhanced product features, including payments to contract manufacturers and other suppliers, or achieve the projected cost reductions, we may not maintain profitability.</w:t>
      </w:r>
    </w:p>
    <w:p>
      <w:pPr>
        <w:spacing w:after="0" w:line="21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cannot be certain that these actions or others that we may take will allow us to maintain operating profitability or net income as determined under U.S. GAAP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be volatile, which can adversely affect the trading price of our common stock.</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quarterly operating results may vary significantly for a variety of reasons, many of which are outside our control. These factors could harm our business and include, among others:</w:t>
      </w:r>
    </w:p>
    <w:p>
      <w:pPr>
        <w:spacing w:after="0" w:line="108" w:lineRule="exact"/>
        <w:rPr>
          <w:sz w:val="20"/>
          <w:szCs w:val="20"/>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the purchasing habits of our customers;</w:t>
      </w:r>
    </w:p>
    <w:p>
      <w:pPr>
        <w:spacing w:after="0" w:line="27" w:lineRule="exact"/>
        <w:rPr>
          <w:rFonts w:ascii="Times New Roman" w:cs="Times New Roman" w:eastAsia="Times New Roman" w:hAnsi="Times New Roman"/>
          <w:sz w:val="18"/>
          <w:szCs w:val="18"/>
          <w:color w:val="auto"/>
        </w:rPr>
      </w:pPr>
    </w:p>
    <w:p>
      <w:pPr>
        <w:ind w:left="820" w:hanging="326"/>
        <w:spacing w:after="0" w:line="250"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timing of product orders and the timing of completion of our product deliveries and installations due to the length of our sales cycle;</w:t>
      </w:r>
    </w:p>
    <w:p>
      <w:pPr>
        <w:ind w:left="820" w:hanging="326"/>
        <w:spacing w:after="0" w:line="250"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key suppliers to respond to changes on demand as needed due to component shortages or other supply chain constraints;</w:t>
      </w: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variability based on geographic and product mix;</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and expenses;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timely rollout of new product functionality and features;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resulting in downward pressure on the price of our products and services;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appropriate inventory levels and purchase commitments;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expected cost improvement throughout our supply chain, or the incurrence of cost increases;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cancellations or postponements in product deliveries, including due to the COVID-19 pandemic, resulting in delayed revenue recognition;</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streamlining of our operations, and associated timing of charges or write-offs;</w:t>
      </w:r>
    </w:p>
    <w:p>
      <w:pPr>
        <w:spacing w:after="0" w:line="3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other catastrophic events including war and acts of terrorism;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diseases or pandemics, such as the COVID-19 pandemic, and corresponding governmental actions;</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customers to obtain financing to enable their purchase of our products;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international currency exchange rates;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including denial of export and import licenses;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worldwide that affect demand and financing for microwave and millimeter wave telecommunications networks.</w:t>
      </w:r>
    </w:p>
    <w:p>
      <w:pPr>
        <w:spacing w:after="0" w:line="23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quarterly results are expected to be difficult to predict and delays in product delivery or closing a sale can cause revenue, margins and net income or loss to fluctuate significantly from anticipated levels. A substantial portion of our contracts are completed in the latter part of a quarter and a significant percentage of these are large orders. Because a significant portion of our cost structure is largely fixed in the short term, revenue shortfalls tend to have a disproportionately negative impact on our profitability and can increase our inventory. The number of large new transactions also increases the risk of fluctuations in our quarterly results because a delay in even a small number of these transactions could cause our quarterly revenues and profitability to fall significantly short of our predictions. In addition, we may increase spending in response to competitive actions, in pursuit of new market opportunities, or to mitigate supply chain disruptions. Accordingly, we cannot provide assurances that we will be able to achieve profitability in the future or that if profitability is attained, that we will be able to sustain profitability, particularly on a quarter-to-quarter basis.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will depend on new products introduced to the marketplace in a timely manner, successfully completing product transitioning and achieving customer acceptance.</w:t>
      </w:r>
    </w:p>
    <w:p>
      <w:pPr>
        <w:spacing w:after="0" w:line="1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market for our products and services is characterized by rapid technological change, evolving industry standards and frequent new product introductions. Our future success will depend, in part, on continuous, timely development and introduction of new products and enhancements that address evolving market requirements and are attractive to customers. If we fail to develop or introduce, on a timely basis, new products or product enhancements or features that achieve market acceptance, our business may suffer. Additionally, we work closely with a variety of third-party partners to develop new product features and new platforms. Should our partners face delays in the development process, then the timing of the rollout of our new products may be significantly impacted which may negatively impact our revenue and gross margin. Another factor impacting our future success is the growth in the customer demand of our new products. Rapidly changing technology, frequent new product introductions and enhancements, short product life cycles and changes in customer requirements characterize the markets for our products. We believe that successful new product introductions provide a significant competitive advantage because of the significant resources committed by customers in adopting new products and their reluctance to change products after these resources have been expended. We have spent, and expect to continue to spend, significant resources on internal research and development to support our effort to develop and introduce new products and enhancements.</w:t>
      </w:r>
    </w:p>
    <w:p>
      <w:pPr>
        <w:spacing w:after="0" w:line="2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we transition to new product platforms, we face significant risk that the development of our new products may not be accepted by our current customers or by new customers. To the extent that we fail to introduce new and innovative products that are adopted by customers, we could fail to obtain an adequate return on these investments and could lose market share to our competitors, which could be difficult or impossible to regain. Similarly, we may face decreased revenue, gross margins and profitability due to a rapid decline in sales of current products as customers hold spending to focus purchases on new product platforms. We could incur significant costs in completing the transition, including costs of inventory write-downs of the current product as customers transition to new product platforms. In addition, products or technologies developed by others may render our products non-competitive or obsolete and result in significant reduction in orders from our customers and the loss of existing and prospective customers.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various third-party service partners to help complement our global operations, and failure to adequately manage these relationships could adversely impact our financial results and relationships with customers.</w:t>
      </w:r>
    </w:p>
    <w:p>
      <w:pPr>
        <w:spacing w:after="0" w:line="18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rely on a number of third-party service partners, to complement our global operations. We rely upon these partners for certain installation, maintenance, logistics and support functions. In addition, as our customers increasingly seek to rely on vendors to perform additional services relating to the design, construction and operation of their networks, the scope of work performed by our service partners is likely to increase and may include areas where we have less experience providing or managing such services. We must successfully identify, assess, train and certify qualified service partners to ensure the proper installation, deployment and maintenance of our products. The vetting and certification of these partners can be costly and time-consuming, and certain partners may not have the same operational history, financial resources and scale as we have. Moreover, certain service partners may provide similar services for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companies, including our competitors. We may not be able to manage our relationships with our service partners effectively, and we cannot be certain that they will be able to deliver services in the manner or time required, that we will be able to maintain the continuity of their services, or that they will adhere to our approach to ethical business practices. Our service partners may also experience challenges in providing services to us as a result of the impact of the COVID-19 pandemic. We may also be exposed to a number of risks or challenges relating to the performance of our service partners, including:</w:t>
      </w:r>
    </w:p>
    <w:p>
      <w:pPr>
        <w:spacing w:after="0" w:line="210" w:lineRule="exact"/>
        <w:rPr>
          <w:sz w:val="20"/>
          <w:szCs w:val="20"/>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recognizing revenue;</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injuries to persons, damage to property or other claims relating to the actions or omissions of our service partners;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services revenue and gross margin may be adversely affected;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customers could suffer.</w:t>
      </w:r>
    </w:p>
    <w:p>
      <w:pPr>
        <w:spacing w:after="0" w:line="23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we do not effectively manage our relationships with third-party service partners, or if they fail to perform these services in the manner or time required, our financial results and relationships with our customers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respond to rapid technological change and comply with evolving industry standards and requirements for our products to be successful.</w:t>
      </w:r>
    </w:p>
    <w:p>
      <w:pPr>
        <w:spacing w:after="0" w:line="25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optical transport networking equipment market is characterized by rapid technological change, changes in customer requirements and evolving industry standards. We continually invest in research and development to sustain or enhance our existing products, but the introduction of new communications technologies and the emergence of new industry standards or requirements could render our products obsolete. Further, in developing our products, we have made, and will continue to make, assumptions with respect to which standards or requirements will be adopted by our customers and competitors. If the standards or requirements adopted by our prospective customers are different from those on which we have focused our efforts, market acceptance of our products would be reduced or delayed, and our business would be harmed.</w:t>
      </w:r>
    </w:p>
    <w:p>
      <w:pPr>
        <w:spacing w:after="0" w:line="21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continuing to invest a significant portion of our research and development efforts in the development of our next-generation products. We expect our competitors will continue to improve the performance of their existing products and introduce new products and technologies and to influence customers’ buying criteria so as to emphasize product capabilities that we do not, or may not, possess. To be competitive, we must anticipate future customer requirements and continue to invest significant resources in research and development, sales and marketing, and customer support. If we do not anticipate these future customer requirements and invest in the technologies necessary to enable us to have and to sell the appropriate solutions, it may limit our competitive position and future sales, which would have an adverse effect on our business and financial condition. We may not have sufficient resources to make these investments and we may not be able to make the technological advances necessary to be competitive.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average sales prices may decline in the future.</w:t>
      </w:r>
    </w:p>
    <w:p>
      <w:pPr>
        <w:spacing w:after="0" w:line="25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experienced, and could continue to experience, declining sales prices. This price pressure is likely to result in downward pricing pressure on our products and services. As a result, we are likely to experience declining average sales prices for our products. Our future profitability will depend upon our ability to improve manufacturing efficiencies, to reduce the costs of materials used in our products and to continue to introduce new lower-cost products and product enhancements and if we are unable to do so, we may not be able to respond to pricing pressures. If we are unable to respond to increased price competition, our business, financial condition and results of operations will be harmed. Because customers frequently negotiate supply arrangements far in advance of delivery dates, we may be required to commit to price reductions for our products before we are aware of how, or if, cost reductions can be obtained. As a result, current or future price reduction commitments and any inability on our part to respond to increased price competition could harm our business, financial condition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and commercial risks and exposures could increase if the financial condition of our customers declines.</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 substantial portion of our sales are to customers in the telecommunications industry. These customers may require their suppliers, including the Company, to provide extended payment terms, direct loans or other forms of financial support as a condition to obtaining commercial contracts. In addition, if local currencies cannot be hedged, we have an inherent exposure in our ability to convert monies at favorable rates from or to U.S. dollars. More generally, we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expect to routinely enter into long-term contracts involving significant amounts to be paid by our customers over time. Pursuant to these contracts, we may deliver products and services representing an important portion of the contract price before receiving any significant payment from the customer. As a result of the financing that may be provided to customers and our commercial risk exposure under long-term contracts, our business could be adversely affected if the financial condition of our customers erodes. Over the past few years, certain of our customers have filed with the courts seeking protection under the bankruptcy or reorganization laws of the applicable jurisdiction or have experienced financial difficulties. Our customers’ financial conditions face additional challenges in many emerging markets, where our customers are being affected not only by recession, but by deteriorating local currencies and a lack of credit and, more broadly, by the COVID-19 pandemic and related economic effects. If customers fail to meet their obligations to us, we may experience reduced cash flows and losses in excess of reserves, which could materially adversely impact our results of operations and financial position.</w:t>
      </w:r>
    </w:p>
    <w:p>
      <w:pPr>
        <w:spacing w:after="0" w:line="2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business requires extensive credit risk management that may not be adequate to protect against customer nonpayment. A risk of non-payment by customers is a significant focus of our business. We expect a significant amount of future revenue to come from international customers in developing countries. We do not generally expect to obtain collateral for sales, although we require letters of credit or credit insurance as appropriate for international customers. For information regarding the percentage of revenue attributable to certain key customers, see “Risk Factors - Business and Operational Risk Factors - Because a significant amount of our revenue may come from a limited number of customers, the termination of any of these customer relationships may adversely affect our business.” Our historical accounts receivable balances have been concentrated in a small number of significant customers. Unexpected adverse events impacting the financial condition of our customers, bank failures or other unfavorable regulatory, economic or political events in the countries in which we do business may impact collections and adversely impact our business, require increased bad debt expense or receivable write-offs and adversely impact our cash flows, financial condition and operating results, which could also result in a breach of our bank covenants.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restructuring actions could harm our relationships with our employees and impact our ability to recruit new employees.</w:t>
      </w:r>
    </w:p>
    <w:p>
      <w:pPr>
        <w:spacing w:after="0" w:line="25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Employees, whether or not directly affected by any restructuring actions that we undertake, may seek employment with our business partners, customers or competitors. We cannot assure that the confidential nature of our proprietary information will not be compromised by any such employees who terminate their employment with us. Further, we believe that our future success will depend in large part upon our ability to attract, motivate and retain highly skilled personnel. We may have difficulty attracting and retaining such personnel as a result of a perceived risk of future workforce reductions, and we may terminate the employment of employees as part of a restructuring and later determine that such employees were important to the success of the ongoing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we are unable to attract and retain key personnel.</w:t>
      </w:r>
    </w:p>
    <w:p>
      <w:pPr>
        <w:spacing w:after="0" w:line="25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the inability to retain and attract qualified personnel in the future, delays in hiring required personnel, particularly engineering and sales personnel, or the loss of key personnel to competitors could make it difficult for us to meet key objectives, such as timely and effective product introductions and financial goals.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strong competition for maintaining and improving our position in the market, which can adversely affect our revenue growth and operating results.</w:t>
      </w:r>
    </w:p>
    <w:p>
      <w:pPr>
        <w:spacing w:after="0" w:line="18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wireless access, interconnection and backhaul business is a specialized segment of the wireless telecommunications industry and is extremely competitive. Competition in this segment is intense, and we expect it to increase. Some of our competitors have more extensive engineering, manufacturing and marketing capabilities and significantly greater financial, technical and personnel resources than we have. In addition, some of our competitors have greater name recognition, broader product lines, a larger installed base of products and longer-standing customer relationships. Our competitors include established companies, such as Ericsson, Huawei, NEC and Nokia, as well as a number of other public and private companies, such as Ceragon and SIAE. Some of our competitors are OEMs or systems integrators through whom we market and sell our products, which means our business success may depend on these competitors to some extent. One or more of our largest customers could internally develop the capability to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 products similar to those manufactured or outsourced by us and, as a result, the demand for our products and services may decrease.</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we compete for acquisition and expansion opportunities with many entities that have substantially greater resources than we have. Our competitors may enter business combinations to accelerate product development or to compete more aggressively and we may lack the resources to meet such enhanced competition.</w:t>
      </w:r>
    </w:p>
    <w:p>
      <w:pPr>
        <w:spacing w:after="0" w:line="20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ability to compete successfully will depend on a number of factors, including price, quality, availability, customer service and support, breadth of product lines, product performance and features, rapid time-to-market delivery capabilities, reliability, timing of new product introductions by us, our customers and competitors, the ability of our customers to obtain financing and the stability of regional sociopolitical and geopolitical circumstances, and the ability of large competitors to obtain business by providing more seller financing especially for large transactions. We can give no assurances that we will have the financial resources, technical expertise, or marketing, sales, distribution, customer service and support capabilities to compete successfully, or that regional sociopolitical and geographic circumstances will be favorable for our successful operation.</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and compete successfully is highly dependent on the quality of our customer service and support, and our failure to offer high quality service and support could have a material adverse effect on our sales and results of operations.</w:t>
      </w:r>
    </w:p>
    <w:p>
      <w:pPr>
        <w:spacing w:after="0" w:line="1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Once our products are delivered, our customers depend on our service and support to resolve any issues relating to our products. Our support personnel includes employees in various geographic locations, who provide general technical support to our customers. A high level of support is important for the successful marketing and sale of our products. If we do not effectively help our customers quickly resolve issues or provide effective ongoing support, it could adversely affect our ability to sell our products to existing customers as well as demand for maintenance and renewal contracts and could harm our reputation with existing and potential customers.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performance problems, including undetected errors in our hardware or software, or deployment delays could harm our business and reputation.</w:t>
      </w:r>
    </w:p>
    <w:p>
      <w:pPr>
        <w:spacing w:after="0" w:line="18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development and production of products with high technology content is complicated and often involves problems with hardware, software, components and manufacturing methods. Complex hardware and software systems, such as our products, can often contain undetected errors or bugs when first introduced or as new versions are released. In addition, errors associated with components we purchase from third parties, including customized components, may be difficult to resolve. We have experienced issues in the past in connection with our products, including failures due to the receipt of faulty components from our suppliers and performance issues related to software updates. From time to time we have had to replace certain components or provide software remedies or other remediation in response to errors or bugs, and we may have to do so again in the future. In addition, performance issues can be heightened during periods where we are developing and introducing multiple new products to the market, as any performance issues we encounter in one technology or product could impact the performance or timing of delivery of other products. Our products may also suffer degradation of performance and reliability over time.</w:t>
      </w: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If reliability, quality, security or network monitoring problems develop, a number of negative effects on our business could result, including:</w:t>
      </w:r>
    </w:p>
    <w:p>
      <w:pPr>
        <w:spacing w:after="0" w:line="252" w:lineRule="exact"/>
        <w:rPr>
          <w:sz w:val="20"/>
          <w:szCs w:val="20"/>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orders from existing customers;</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interest from potential customers;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ability to recognize revenue or in collecting accounts receivables;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fixing hardware or software defects or replacing products;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service and warranty expenses;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shipments;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inventory excess and obsolescence expense;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levels of product returns;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engineering personnel from our product development efforts;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liquidated damages, performance guarantees or similar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Because we outsource the manufacturing of certain components of our products, we may also be subject to product performance problems as a result of the acts or omissions of third parties, and we may not have adequate compensating remedies against such third parties.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encounter interruptions or delays in the activation of our products at a customer’s site. These interruptions or delays may result from product performance problems or from issues with installation and activation, some of which are outside our control. If we experience significant interruptions or delays that we cannot promptly resolve, the associated revenue for these installations may be delayed or confidence in our products could be undermined, which could cause us to lose customers, fail to add new customers, and consequently harm our financial results.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forecast our manufacturing requirements or customer demand, we could incur additional costs, which would adversely affect our business and results of operations.</w:t>
      </w:r>
    </w:p>
    <w:p>
      <w:pPr>
        <w:spacing w:after="0" w:line="18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fail to accurately predict our manufacturing requirements or forecast customer demand, we may incur additional costs of manufacturing and our gross margins and financial results could be adversely affected. If we overestimate our requirements, our contract manufacturers may experience an oversupply of components and assess us charges for excess or obsolete components that could adversely affect our gross margins. If we underestimate our requirements, our contract manufacturers may have inadequate inventory or components, which could interrupt manufacturing and result in higher manufacturing costs, shipment delays, damage to customer relationships and/or our payment of penalties to our customers. Our contract manufacturers also have other customers and may not have sufficient capacity to meet all of their customers’ needs, including ours, during periods of excess demand.</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20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outsource all of our manufacturing and a substantial portion of our repair service operations to independent contract manufacturers and other third parties. Our contract manufacturers typically manufacture our products based on rolling forecasts of our product needs that we provide to them on a regular basis. The contract manufacturers are responsible for procuring components necessary to build our products based on our rolling forecasts, building and assembling the products, testing the products in accordance with our specifications and then shipping the products to us. We configure the products to our customer requirements, conduct final testing and then ship the products to our customers. There can be no assurance that we will not encounter problems with our contract manufacturer related to these manufacturing services or that we will be able to replace a contract manufacturer that is not able to meet our demand.</w:t>
      </w:r>
    </w:p>
    <w:p>
      <w:pPr>
        <w:spacing w:after="0" w:line="2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if we fail to effectively manage our relationships with our contract manufacturers or other service providers, or if they do not fully comply with their contractual obligations or should experience delays, disruptions, component procurement problems or quality control problems, then our ability to ship products to our customers or otherwise fulfill our contractual obligations to our customers could be delayed or impaired which would adversely affect our business, financial results and customer relationships.</w:t>
      </w:r>
    </w:p>
    <w:p>
      <w:pPr>
        <w:spacing w:after="0" w:line="20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sole or limited sources and geographies for some key components and failure to receive timely delivery of any of these components could result in deferred or lost sales.</w:t>
      </w:r>
    </w:p>
    <w:p>
      <w:pPr>
        <w:spacing w:after="0" w:line="34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some instances, we are dependent upon one or a few sources, either because of the specialized nature of a particular item or because of local content preference requirements pursuant to which we operate on a given project. Examples of sole or limited sourcing categories include metal fabrications and castings, for which we own the tooling and therefore limit our supplier relationships, and MMICs (a type of integrated circuit used in manufacturing microwave radios), which we procure at a volume discount from a single source. Additionally, certain semiconductor supply is concentrated in Taiwan, with little to no availability in other geographies. As such, any military conflict between Taiwan and China could interrupt supply.</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supply chain strategy includes mitigation plans for alternative manufacturing sources and identified alternate suppliers. However, if these alternatives cannot address our requirements when our existing sources of these components fail to deliver them on time, we could suffer delayed shipments, canceled orders and lost or deferred revenues, as well as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material damage to our customer relationships. Should this occur, our operating results, cash flows and financial condition could be materially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amount of our revenue may come from a limited number of customers, the termination of any of these customer relationships may adversely affect our business.</w:t>
      </w:r>
    </w:p>
    <w:p>
      <w:pPr>
        <w:spacing w:after="0" w:line="10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Although we have a large customer base, during any given quarter or fiscal year a small number of customers may account for a significant portion of our revenue. Principal customers for our products and services include domestic and international wireless/mobile service providers, OEMs, as well as private network users such as public safety agencies; government institutions; and utility, pipeline, railroad and other industrial enterprises that operate broadband wireless networks. During fiscal 2022, Motorola accounted for 13% of our total revenue, comprised of approximately 70 number of discrete projects. No customer accounted for more than 10% of our total revenue in fiscal 2021.</w:t>
      </w:r>
    </w:p>
    <w:p>
      <w:pPr>
        <w:spacing w:after="0" w:line="21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the telecommunications industry has experienced significant consolidation among its participants, and we expect this trend to continue. Some operators in this industry have experienced financial difficulty and have filed, or may file, for bankruptcy protection. Other operators may merge and one or more of our competitors may supply products to the customers of the combined company following those mergers. This consolidation could result in purchasing decision delays and decreased opportunities for us to supply products to companies following any consolidation. This consolidation may also result in lost opportunities for cost reduction and economies of scale, and could generally reduce our opportunities to win new customers to the extent that the number of potential customers decreases. Furthermore, as our customers become larger, they may have more leverage to negotiate better pricing which could adversely affect our revenues and gross margins.</w:t>
      </w:r>
    </w:p>
    <w:p>
      <w:pPr>
        <w:spacing w:after="0" w:line="2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It is possible that a significant portion of our future product sales could become even more concentrated in a limited number of customers due to the factors described above. Product sales to major customers have varied widely from period to period. The loss of any existing customer, a significant reduction in the level of sales to any existing customer, the consolidation of existing customers, or our inability to gain additional customers could result in declines in our revenue or an inability to grow revenue.</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continually evaluate strategic transaction opportunities which could involve merger, divestiture, sale and/or acquisition activities that could disrupt our operations and harm our operating results.</w:t>
      </w:r>
    </w:p>
    <w:p>
      <w:pPr>
        <w:spacing w:after="0" w:line="10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growth depends upon market growth, our ability to enhance our existing products and our ability to introduce new products on a timely basis. We intend to continue to address the need to develop new products and enhance existing products through acquisitions, or “tuck-ins,” product lines, technologies, and personnel. Strategic transactions involve numerous risks, including the following:</w:t>
      </w:r>
    </w:p>
    <w:p>
      <w:pPr>
        <w:spacing w:after="0" w:line="122" w:lineRule="exact"/>
        <w:rPr>
          <w:sz w:val="20"/>
          <w:szCs w:val="20"/>
          <w:color w:val="auto"/>
        </w:rPr>
      </w:pPr>
    </w:p>
    <w:p>
      <w:pPr>
        <w:ind w:left="820" w:hanging="326"/>
        <w:spacing w:after="0" w:line="261"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operations, systems, technologies, products, and personnel of the combined companies, particularly companies with large and widespread operations and/or complex products;</w:t>
      </w:r>
    </w:p>
    <w:p>
      <w:pPr>
        <w:ind w:left="820" w:hanging="326"/>
        <w:spacing w:after="0" w:line="250"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normal daily operations of the business and the challenges of managing larger and more widespread operations resulting from business combinations, sales, divestitures and/or restructurings;</w:t>
      </w: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completing projects associated with in-process research and development intangibles;</w:t>
      </w:r>
    </w:p>
    <w:p>
      <w:pPr>
        <w:spacing w:after="0" w:line="9" w:lineRule="exact"/>
        <w:rPr>
          <w:rFonts w:ascii="Times New Roman" w:cs="Times New Roman" w:eastAsia="Times New Roman" w:hAnsi="Times New Roman"/>
          <w:sz w:val="18"/>
          <w:szCs w:val="18"/>
          <w:color w:val="auto"/>
        </w:rPr>
      </w:pPr>
    </w:p>
    <w:p>
      <w:pPr>
        <w:ind w:left="820" w:hanging="326"/>
        <w:spacing w:after="0" w:line="250"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entering markets in which we have no or limited direct prior experience and where competitors in each market have stronger market positions;</w:t>
      </w: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dependence on unfamiliar supply chains or relatively small supply partners;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revenue to offset increased expenses associated with acquisitions; and</w:t>
      </w:r>
    </w:p>
    <w:p>
      <w:pPr>
        <w:spacing w:after="0" w:line="9" w:lineRule="exact"/>
        <w:rPr>
          <w:rFonts w:ascii="Times New Roman" w:cs="Times New Roman" w:eastAsia="Times New Roman" w:hAnsi="Times New Roman"/>
          <w:sz w:val="18"/>
          <w:szCs w:val="18"/>
          <w:color w:val="auto"/>
        </w:rPr>
      </w:pPr>
    </w:p>
    <w:p>
      <w:pPr>
        <w:ind w:left="820" w:hanging="326"/>
        <w:spacing w:after="0" w:line="260" w:lineRule="auto"/>
        <w:tabs>
          <w:tab w:leader="none" w:pos="8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customers, resellers, vendors and other business partners of our company or the companies with which we engage in strategic transactions following and continuing after announcement of an anticipated strategic transaction.</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Strategic transactions may also cause us to:</w:t>
      </w:r>
    </w:p>
    <w:p>
      <w:pPr>
        <w:spacing w:after="0" w:line="171" w:lineRule="exact"/>
        <w:rPr>
          <w:sz w:val="20"/>
          <w:szCs w:val="20"/>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common stock that would dilute our current stockholders or cause a change in control of the combined company;</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substantial portion of our cash resources, or incur debt;</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increase our interest expense, leverage and debt service requirements if we incur additional debt to pay for an acquisition;</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material liabilities;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0" w:hanging="326"/>
        <w:spacing w:after="0" w:line="261"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goodwill and non-amortizable intangible assets that are subject to impairment testing on a regular basis and potential periodic impairment charges;</w:t>
      </w: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amortization expenses related to certain intangible assets;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tax expenses related to the effect of acquisitions on our intercompany R&amp;D cost sharing arrangement and legal structure;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and immediate write-offs and restructuring and other related expenses;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intellectual property or other litigation.</w:t>
      </w:r>
    </w:p>
    <w:p>
      <w:pPr>
        <w:spacing w:after="0" w:line="23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Mergers, restructurings, sales and acquisitions of high-technology companies are inherently risky and subject to many factors outside of our control. No assurance can be given that any future strategic transactions will be successful and will not materially adversely affect our business, operating results or financial condition. Failure to manage and successfully complete a strategic transaction could materially harm our business and operating results. Even when an acquired or acquiring company has already developed and marketed products, there can be no assurance that product enhancements will be made in a timely fashion or that pre-acquisition due diligence will have identified all possible issues that might arise with respect to such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distribution and licensing relationships, our revenue may decrease.</w:t>
      </w:r>
    </w:p>
    <w:p>
      <w:pPr>
        <w:spacing w:after="0" w:line="25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Although a majority of our sales are made through our direct sales force, we also market our products through indirect sales channels such as independent agents, resellers, OEMs and systems integrators. These relationships enhance our ability to pursue major contract awards and, in some cases, are intended to provide our customers with easier access to financing and a greater variety of equipment and service capabilities, which an integrated system provider should be able to offer. We may not be able to maintain our current relationships or develop new ones. If additional relationships are developed, they may not be successful. Furthermore, as we consider increasing licensing revenue based on upgraded technology, we may not be successful in transitioning customers to the planned software upgrades. Our inability to establish or maintain these distribution and licensing relationships could restrict our ability to market our products and thereby result in significant reductions in revenue. If these revenue reductions occur, our business, financial condition and results of operations would be harmed.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Macroeconomic Risk Factors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volume of our international sales, we may be susceptible to a number of political, economic and geographic risks that could harm our business.</w:t>
      </w:r>
    </w:p>
    <w:p>
      <w:pPr>
        <w:spacing w:after="0" w:line="10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highly dependent on sales to customers outside the U.S. In fiscal 2022, our sales to international customers accounted for 34% of total revenue. Significant portions of our international sales are in less developed countries. Our international sales are likely to continue to account for a large percentage of our products and services revenue for the foreseeable future. As a result, the occurrence of any international, political, economic or geographic event could result in a significant decline in revenue. In addition, compliance with complex foreign and U.S. laws and regulations that apply to our international operations increases our cost of doing business in international jurisdictions. These numerous and sometimes conflicting laws and regulations include internal control and disclosure rules, data privacy and filtering requirements, anti-corruption laws, such as the Foreign Corrupt Practices Act, and other local laws prohibiting corrupt payments to governmental officials, and anti-competition regulations, among others. Violations of these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expansion efforts, our ability to attract and retain employees, our business, and our operating results. Although we have implemented policies and procedures designed to ensure compliance with these laws and regulations, there can be no assurance that our employees, contractors, or agents will not violate our policies.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Some of the risks and challenges of doing business internationally include:</w:t>
      </w:r>
    </w:p>
    <w:p>
      <w:pPr>
        <w:spacing w:after="0" w:line="171" w:lineRule="exact"/>
        <w:rPr>
          <w:sz w:val="20"/>
          <w:szCs w:val="20"/>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w:t>
      </w:r>
    </w:p>
    <w:p>
      <w:pPr>
        <w:spacing w:after="0" w:line="27" w:lineRule="exact"/>
        <w:rPr>
          <w:rFonts w:ascii="Times New Roman" w:cs="Times New Roman" w:eastAsia="Times New Roman" w:hAnsi="Times New Roman"/>
          <w:sz w:val="18"/>
          <w:szCs w:val="18"/>
          <w:color w:val="auto"/>
        </w:rPr>
      </w:pPr>
    </w:p>
    <w:p>
      <w:pPr>
        <w:ind w:left="820" w:hanging="326"/>
        <w:spacing w:after="0" w:line="250" w:lineRule="auto"/>
        <w:tabs>
          <w:tab w:leader="none" w:pos="8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international currency exchange rates including its impact on unhedgeable currencies and our forecast variations for hedgeable currencies;</w:t>
      </w: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tariffs and other barriers and restrictions;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operation of an enterprise spread over various countries;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a variety of laws and regulations in various countries;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0" w:right="20" w:hanging="326"/>
        <w:spacing w:after="0" w:line="261" w:lineRule="auto"/>
        <w:tabs>
          <w:tab w:leader="none" w:pos="8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the income tax laws and regulations of multiple jurisdictions, including relatively low-rate and relatively high-rate jurisdictions, to our sales and other transactions, which results in additional complexity and uncertainty;</w:t>
      </w: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unethical business practices in developing countries;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geopolitical conditions, including inflation and trade relationships;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travel to locations where we conduct business, including those imposed due to COVID-19;</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and acts of terrorism;</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kidnapping and high crime rate;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U.S. dollars especially in countries with economies highly dependent on resource exports, particularly oil;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export regulations.</w:t>
      </w:r>
    </w:p>
    <w:p>
      <w:pPr>
        <w:spacing w:after="0" w:line="23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While these factors and the impacts of these factors are difficult to predict, any one or more of them could adversely affect our business, financial condition and results of operations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inherent limitations on the effectiveness of our controls.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do not expect that our disclosure controls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resource constraints exist,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errors or mistakes. Controls can also be circumvented by individual acts of some persons, by collusion of two or more people, or by management’s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due to changes in conditions or deterioration in the degree of compliance with policies or procedures. If our controls become inadequate, we could fail to meet our financial reporting obligations, our reputation may be adversely affected, our business and operating results could be harmed, and the market price of our stock could decline.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capital when desired on favorable terms, if at all, or without dilution to our stockholders.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and cash equivalents, the available line of credit under our credit facility and future cash collections from customers will be sufficient to provide for our anticipated requirements for working capital and capital expenditures for the next 12 months and the foreseeable future. However, it is possible that we may not generate sufficient cash flow from operations or otherwise have the capital resources to meet our longer-term capital needs. If this occurs, we may need to sell assets, reduce capital expenditures, or obtain additional equity or debt financing. We have no assurance that additional financing will be available on terms favorable to us, or at all. If adequate funds are not available or are not available on acceptable terms if and when needed, our business, financial condition and results of operations could be harmed.</w:t>
      </w:r>
    </w:p>
    <w:p>
      <w:pPr>
        <w:spacing w:after="0" w:line="21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we raise additional funds through the issuance of equity or convertible debt securities, the ownership of our existing stockholders could be significantly diluted, and these newly-issued securities may have rights, preferences or privileges senior to those of existing stockholders.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effects of global or market specific financial and economic conditions have, and may continue to have, significant effects on our customers and suppliers, and have in the past, and may in the future have, a material adverse effect on our business, operating results, financial condition and stock price.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effects of global financial and economic conditions in certain markets include, among other things, significant reductions in available capital and liquidity from credit markets, supply or demand driven inflationary pressures, and substantial fluctuations in currency values worldwide.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Economic conditions in certain markets have adversely affected and may continue to adversely affect our customers’ access to capital and/or willingness to spend capital on our products, and/or their levels of cash liquidity and/or their ability and/or willingness to pay for products that they will order or have already ordered from us, or result in their ceasing operations. Further, we have experienced an increasing number of our customers, principally in emerging markets, requesting longer payment terms, lease or vendor financing arrangements, longer terms for the letters of credit securing purchases of our products and services, which could potentially negatively impact our orders, revenue conversion cycle, and cash flows.</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seeking to reduce their expenses, we have also seen significant pressure from our customers to lower prices for our products as they try to improve their operating performance and procure additional capital equipment within their reduced budget levels. To the extent that we lower prices on our products and services, our orders, revenues, and gross margins may be negatively impacted. Additionally, certain emerging markets are particularly sensitive to pricing as a key differentiator. Where price is a primary decision driver, we may not be able to effectively compete, or we may choose not to compete due to unacceptable margins.</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economic conditions in certain markets could materially adversely affect our suppliers’ access to capital and liquidity with which to maintain their inventories, production levels, or product quality, could cause them to raise prices or lower production levels, or result in their ceasing operations. Supply or demand driven scarcity can lead to significant inflationary pressures on the cost of our products from our suppliers. Our ability to substantially offset inflationary impacts by raising prices may be limited by the competitive factors discussed above.</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Further, with respect to our credit facility discussed under “Liquidity, Capital Resources and Financial Strategies” in Item 7 of this Annual Report on Form 10-K, our ability to access the funds available under our credit facility could be materially adversely affected.</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potential effects of these economic factors are difficult to forecast and mitigate. As a consequence, our operating results for a particular period are difficult to predict and prior results are not necessarily indicative of results to be expected in future periods. Any of the foregoing effects could have a material adverse effect on our business, results of operations, and financial condition and could adversely affect our stock price.</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treaties, rulings, regulations or agreements, or their interpretation in any country in which we operate; the loss of a major tax dispute; a successful challenge to our operating structure, intercompany pricing policies or the taxable presence of our key subsidiaries in certain countries; or other factors could cause volatility in our effective tax rate and could adversely affect our operating results.</w:t>
      </w:r>
    </w:p>
    <w:p>
      <w:pPr>
        <w:spacing w:after="0" w:line="20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operate in multiple jurisdictions and our profits are taxed pursuant to the tax laws of these jurisdictions. Our future effective tax rate may be adversely affected by a number of factors, many of which are outside of our control, including:</w:t>
      </w: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jurisdictions in which profits are determined to be earned and taxed;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estimated taxes upon finalization of various tax returns;</w:t>
      </w:r>
    </w:p>
    <w:p>
      <w:pPr>
        <w:spacing w:after="0" w:line="9" w:lineRule="exact"/>
        <w:rPr>
          <w:rFonts w:ascii="Times New Roman" w:cs="Times New Roman" w:eastAsia="Times New Roman" w:hAnsi="Times New Roman"/>
          <w:sz w:val="18"/>
          <w:szCs w:val="18"/>
          <w:color w:val="auto"/>
        </w:rPr>
      </w:pPr>
    </w:p>
    <w:p>
      <w:pPr>
        <w:ind w:left="820" w:hanging="326"/>
        <w:spacing w:after="0" w:line="250"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expenses not deductible for tax purposes, including write-offs of acquired in-process research and development and impairment of goodwill in connection with acquisitions;</w:t>
      </w: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net operating loss;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available tax credits;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share-based compensation expense;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9" w:lineRule="exact"/>
        <w:rPr>
          <w:rFonts w:ascii="Times New Roman" w:cs="Times New Roman" w:eastAsia="Times New Roman" w:hAnsi="Times New Roman"/>
          <w:sz w:val="18"/>
          <w:szCs w:val="18"/>
          <w:color w:val="auto"/>
        </w:rPr>
      </w:pPr>
    </w:p>
    <w:p>
      <w:pPr>
        <w:ind w:left="820" w:hanging="326"/>
        <w:spacing w:after="0" w:line="250"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or international tax laws, treaties, rulings, regulations or agreements or the interpretation of such tax laws, treaties, rulings, regulations or agreements, including the impact of the Tax Cuts and Jobs Act of 2017 and any new administrations;</w:t>
      </w: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issues arising from tax audits with various tax authorities, including the loss of a major tax dispute;</w:t>
      </w:r>
    </w:p>
    <w:p>
      <w:pPr>
        <w:spacing w:after="0" w:line="9" w:lineRule="exact"/>
        <w:rPr>
          <w:rFonts w:ascii="Times New Roman" w:cs="Times New Roman" w:eastAsia="Times New Roman" w:hAnsi="Times New Roman"/>
          <w:sz w:val="18"/>
          <w:szCs w:val="18"/>
          <w:color w:val="auto"/>
        </w:rPr>
      </w:pPr>
    </w:p>
    <w:p>
      <w:pPr>
        <w:ind w:left="820" w:right="20" w:hanging="326"/>
        <w:spacing w:after="0" w:line="250" w:lineRule="auto"/>
        <w:tabs>
          <w:tab w:leader="none" w:pos="8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tax authority challenging our operating structure, intercompany pricing policies or the taxable presence of our key subsidiaries in certain countries;</w:t>
      </w: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effects of purchase accounting for acquisitions and restructuring charges that may cause fluctuations between reporting periods; and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that may be incurred upon a repatriation of cash from foreign operations.</w:t>
      </w:r>
    </w:p>
    <w:p>
      <w:pPr>
        <w:spacing w:after="0" w:line="2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significant increase in our future effective tax rates could impact our results of operations for future periods adversely.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w:t>
      </w:r>
      <w:r>
        <w:rPr>
          <w:rFonts w:ascii="Times New Roman" w:cs="Times New Roman" w:eastAsia="Times New Roman" w:hAnsi="Times New Roman"/>
          <w:sz w:val="18"/>
          <w:szCs w:val="18"/>
          <w:b w:val="1"/>
          <w:bCs w:val="1"/>
          <w:i w:val="1"/>
          <w:iCs w:val="1"/>
          <w:color w:val="212121"/>
        </w:rPr>
        <w:t>ur ability to use net operating loss carryforwards to offset future taxable income for U.S. federal income tax purposes and other tax benefits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12121"/>
        </w:rPr>
        <w:t>limited.</w:t>
      </w:r>
    </w:p>
    <w:p>
      <w:pPr>
        <w:spacing w:after="0" w:line="1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Section 382 of the Internal Revenue Code of 1986, as amended (the “Code”) imposes an annual limitation on the amount of taxable income that may be offset if a corporation experiences an “ownership change” as defined in Section 382 of the Code. An ownership change occurs when a company’s “five-percent shareholders” (as defined in Section 382 of the Code) collectively increase their ownership in the company by more than 50 percentage points (by value) over a rolling three-year period. Additionally, various states have similar limitations on the use of state net operating losses (“NOL”) following an ownership change.</w:t>
      </w:r>
    </w:p>
    <w:p>
      <w:pPr>
        <w:spacing w:after="0" w:line="21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we experience an ownership change, our ability to use our NOLs, any loss or deduction attributable to a “net unrealized built-in loss” and other tax attributes (collectively, the “Tax Benefits”) could be substantially limited, and the timing of the usage of the Tax Benefits could be substantially delayed, which could significantly impair the value of the Tax Benefits. There is no assurance that we will be able to fully utilize the Tax Benefits and we could be required to record an additional valuation allowance related to the amount of the Tax Benefits that may not be realized, which could adversely impact our results of operations.</w:t>
      </w:r>
    </w:p>
    <w:p>
      <w:pPr>
        <w:spacing w:after="0" w:line="2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that these Tax Benefits are a valuable asset for us. On September 6, 2016, the Board adopted certain amendments to our Amended and</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Restated Certificate of Incorporation, as amended (the “Charter Amendments”), to protect our tax benefits. In addition, on March 3, 2020, the Board approved The Plan (as amended and restated on August 27, 2020, in an effort to protect our Tax Benefits during the effective period of the Plan. We submitted the Plan to a stockholder vote and our stockholders approved the plan at the 2020 Annual Meeting of Stockholders. Although the Plan and the Charter Amendments are intended to reduce the likelihood of an “ownership change” that could adversely affect us, there is no assurance that the restrictions on transferability in the Plan and the Charter Amendments will prevent all transfers that could result in such an “ownership change.” There also can be no assurance that the transfer restrictions in the Charter Amendments will be enforceable against all of our stockholders absent a court determination confirming such enforceability. The transfer restrictions may be subject to challenge on legal or equitable grounds.</w:t>
      </w:r>
    </w:p>
    <w:p>
      <w:pPr>
        <w:spacing w:after="0" w:line="2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Plan and the Charter Amendments could make it more difficult for a third party to acquire, or could discourage a third party from acquiring, us or a large block of our common stock. A third party that acquires 4.9% or more of our common stock could suffer substantial dilution of its ownership interest under the terms of the Plan through the issuance of common stock or common stock equivalents to all stockholders other than the acquiring person. The acquisition may also be void under the Charter Amendments.</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foregoing provisions may adversely affect the marketability of our common stock by discouraging potential investors from acquiring our stock. In addition, these provisions could delay or frustrate the removal of incumbent directors and could make more difficult a merger, tender offer or proxy contest involving us, or impede an attempt to acquire a significant or controlling interest in us, even if such events might be beneficial to us and our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fluctuations in currency exchange rates.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portion of our sales and expenses stem from countries outside of the United States, and are in currencies other than U.S. dollars, and therefore subject to foreign currency fluctuation. Accordingly, fluctuations in foreign currency rates could have a material impact on our financial results in future periods. We currently enter into foreign currency exchange forward contracts to reduce the volatility of cash flows primarily related to forecasted foreign currency expenses. These forward contracts reduce the impact of currency exchange rate movements on certain transactions, but do not cover all foreign-denominated transactions and therefore do not entirely eliminate the impact of fluctuations in exchange rates on our results of operations and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tension in U.S.-China trade relations may adversely impact our supply chain operations and business.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U.S. government has taken certain actions that change U.S. trade policies, including tariffs that affect certain products manufactured in China. Some components manufactured by our Chinese suppliers are subject to tariffs if imported into the United States. The Chinese government has taken certain reciprocal actions, including recently imposed tariffs affecting certain products manufactured in the United States. Certain of our products manufactured in our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operations have been included in the tariffs imposed on imports into China from the United States. Although some of the products and components we import are affected by the tariffs, at this time, we do not expect these tariffs to have a material impact on our business, financial condition or results of operations.</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It is unknown whether and to what extent additional new tariffs (or other new laws or regulations) will be adopted that increase the cost or feasibility of importing and/or exporting products and components from China to the United States and vice versa. Further, the effect of any such new tariffs or retaliatory actions on our industry and customers is unknown and difficult to predict. As additional new tariffs, legislation and/or regulations are implemented, or if existing trade agreements are renegotiated or if China or other affected countries take retaliatory trade actions, such changes could have a material adverse effect on our business, financial condition, results of operations or cash flows.</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intellectual property rights, we may be deprived of legal recourse against those who misappropriate our intellectual property.</w:t>
      </w:r>
    </w:p>
    <w:p>
      <w:pPr>
        <w:spacing w:after="0" w:line="10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ability to compete will depend, in part, on our ability to obtain and enforce intellectual property protection for our technology in the U.S. and internationally. We rely upon a combination of trade secrets, trademarks, copyrights, patents, contractual rights and technological measures to protect our intellectual property rights from infringement, misappropriation or other violations to maintain our brand and competitive position. We also make business decisions about when to seek patent protection for a particular technology and when to rely upon trade secret protection, and the approach we select may ultimately prove to be inadequate. With respect to patents, we cannot be certain that patents will be issued as a result of any currently pending patent application or future patent applications, or that any of our patents, once issued, will provide us with adequate protection from competing products or intellectual property owned by others. For example, issued patents may be circumvented or challenged, declared invalid or unenforceable or narrowed in scope. We also cannot provide assurances that the protection provided to our intellectual property by the laws and courts of particular nations will be substantially similar to the protection and remedies available under U.S. law. Furthermore, we cannot provide assurances that third parties will not assert infringement claims against us based on intellectual property rights and laws in other nations that are different from those established in the U.S.</w:t>
      </w:r>
    </w:p>
    <w:p>
      <w:pPr>
        <w:spacing w:after="0" w:line="14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we enter into confidentiality and invention assignment agreements with our employees and contractors and enter into non-disclosure agreements with our suppliers and appropriate customers so as to limit access to and disclosure of our proprietary information. We cannot guarantee that we have entered into such agreements with each party who has developed intellectual property on our behalf and each party that has or may have had access to our confidential information, know-how and trade secrets. These agreements may be insufficient or breached, or may not effectively prevent unauthorized access to or unauthorized use, disclosure, misappropriation or reverse engineering of our confidential information, intellectual property, or technology. Moreover, these agreements may not provide an adequate remedy for breaches or in the event of unauthorized use or disclosure of our confidential information or technology, or infringement of our intellectual property. Enforcing a claim that a party illegally disclosed or misappropriated a trade secret or know-how is difficult, expensive, and time-consuming, and the outcome is unpredictable.</w:t>
      </w:r>
    </w:p>
    <w:p>
      <w:pPr>
        <w:spacing w:after="0" w:line="13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cannot give assurances that any steps taken by us will be adequate to deter infringement, misappropriation, dilution or otherwise impede independent third-party development of similar technologies. Any of our intellectual property rights may be successfully challenged, opposed, diluted, misappropriated or circumvented by others or invalidated, narrowed in scope or held unenforceable through administrative process or litigation in the United States or in non-U.S. jurisdictions. Furthermore, legal standards relating to the validity, enforceability and scope of protection of intellectual property rights are uncertain and any changes in, or unexpected interpretations of, intellectual property laws may compromise our ability to enforce our trade secrets and other intellectual property rights. In the event that such intellectual property arrangements are insufficient, our business, financial condition and results of operations could be materially harmed.</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sufficient radio frequency spectrum is not allocated for use by our products, or we fail to obtain regulatory approval for our products, our ability to market our products may be restricted.</w:t>
      </w:r>
    </w:p>
    <w:p>
      <w:pPr>
        <w:spacing w:after="0" w:line="1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be affected by the allocation and auction of the radio frequency spectrum by governmental authorities both in the U.S. and internationally. The unavailability of sufficient radio frequency spectrum may inhibit the future growth of wireless communications networks. In addition, to operate in a jurisdiction, we must obtain regulatory approval for our products and each jurisdiction in which we market our products has its own regulations governing radio communications. If we are unable to obtain sufficient allocation of radio frequency spectrum by the appropriate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governmental authority or obtain the proper regulatory approval for our products, our business, financial condition and results of operations may be harmed.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changing regulation of corporate governance, public disclosure and anti-bribery measures which have resulted in increased costs and may continue to result in additional costs or potential liabilities in the future.</w:t>
      </w:r>
    </w:p>
    <w:p>
      <w:pPr>
        <w:spacing w:after="0" w:line="10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subject to rules and regulations of federal and state regulatory authorities, The NASDAQ Stock Market LLC (“NASDAQ”) and financial market entities charged with the protection of investors and the oversight of companies whose securities are publicly traded, and foreign and domestic legislative bodies. During the past few years, these entities, including the Public Company Accounting Oversight Board, the SEC, NASDAQ and several foreign governments, have issued requirements, laws and regulations and continue to develop additional requirements, laws and regulations, most notably the Sarbanes-Oxley Act of 2002 (“SOX”), and recent laws and regulations regarding bribery and unfair competition, including the SEC’s recently-proposed rules relating to the disclosure of a range of climate-related risks. Our efforts to comply with these requirements and regulations have resulted in, and are likely to continue to result in, increased general and administrative expenses and a diversion of substantial management time and attention from revenue-generating activities to compliance activities.</w:t>
      </w:r>
    </w:p>
    <w:p>
      <w:pPr>
        <w:spacing w:after="0" w:line="2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potentially necessitated by ongoing revisions to our disclosure and governance practices. Finally, if we are unable to ensure compliance with such requirements, laws, or regulations, we may be subject to costly prosecution and liability, and resulting reputational harm, from such noncompliance.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are used in critical communications networks which may subject us to significant liability claims.</w:t>
      </w:r>
    </w:p>
    <w:p>
      <w:pPr>
        <w:spacing w:after="0" w:line="25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Because our products are used in critical communications networks, we may be subject to significant liability claims if our products do not work properly. We warrant to our current customers that our products will operate in accordance with our product specifications. If our products fail to conform to these specifications, our customers could require us to remedy the failure or could assert claims for damages. The provisions in our agreements with customers that are intended to limit our exposure to liability claims may not preclude all potential claims. In addition, any insurance policies we have may not adequately limit our exposure with respect to such claims. Liability claims could require us to spend significant time and money in litigation or to pay significant damages. Any such claims, whether or not successful, would be costly and time-consuming to defend, and could divert management’s attention and seriously damage our reputation and our business.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regarding our intellectual property. This litigation could be costly to defend and resolve and could prevent us from using or selling the challenged technology.</w:t>
      </w:r>
    </w:p>
    <w:p>
      <w:pPr>
        <w:spacing w:after="0" w:line="18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wireless telecommunications industry is characterized by vigorous protection and pursuit of intellectual property rights, which has resulted in often protracted and expensive litigation. Any litigation regarding patents or other intellectual property could be costly and time-consuming and could divert our management and key personnel from our business operations. The complexity of the technology involved and the uncertainty of intellectual property litigation increase these risks. Such litigation or claims could result in substantial costs and diversion of resources. In the event of an adverse result in any such litigation, we could be required to pay substantial damages, cease the use and transfer of allegedly infringing technology or the sale of allegedly infringing products and expend significant resources to develop non-infringing technology or obtain licenses for the infringing technology. We can give no assurances that we would be successful in developing such non-infringing technology or that any license for the infringing technology would be available to us on commercially reasonable terms, if at all. This could have a materially adverse effect on our business, results of operation, financial condition, competitive position and prospects.</w:t>
      </w:r>
    </w:p>
    <w:p>
      <w:pPr>
        <w:spacing w:after="0" w:line="2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rules, regulations and policies regarding data privacy and security. Many of these laws and regulations are subject to change and reinterpretation, and could result in claims, changes to our business practices, monetary penalties, increased cost of operations or other harm to our business.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subject to a variety of federal, state and local laws, directives, rules and policies relating to data privacy and security. The regulatory framework for data privacy and security worldwide is continuously evolving and developing and, as a result, interpretation and implementation standards and enforcement practices are likely to remain uncertain for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foreseeable future. It is also possible inquiries from governmental authorities regarding cybersecurity breaches increase in frequency and scope. These data privacy and security laws also are not uniform, which may complicate and increase our costs for compliance. Any failure or perceived failure by us or our third-party service providers to comply with any applicable laws relating to data privacy and security, or any compromise of security that results in the unauthorized access, improper disclosure, or misappropriation of personal data or other customer data, could result in significant liabilities, and negative publicity and reputational harm, one or all of which could have an adverse effect on our reputation, business, financial condition and operations.</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federal, state, local and international laws and regulations related to protection of the environment that could materially and adversely affect the cost, manner or feasibility of conducting our operations, as well as those of our suppliers and contract manufacturers.</w:t>
      </w:r>
    </w:p>
    <w:p>
      <w:pPr>
        <w:spacing w:after="0" w:line="1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Environmental, health and safety regulations govern the manufacture, assembly and testing of our products, including without limitation regulations governing the emission of pollutants and the use, remediation, and disposal of hazardous materials (including electronic wastes). Our failure or the failure of our suppliers or contract manufacturers to properly manage the use, transportation, emission, discharge, storage, recycling or disposal of wastes generated from our operations could subject us to increased compliance costs or liabilities such as fines and penalties. We may also be subject to costs and liabilities for environmental clean-up costs on sites owned by us, sites previously owned by us, or treatment and disposal of wastes attributable to us from past operations, under the Comprehensive Environmental Response, Compensation and Liability Act or equivalent laws. Existing and future environmental regulations may additionally restrict our and our suppliers’ use of certain materials to manufacture, assemble and test products. New or more stringent environmental requirements applicable to our operations or the operations of our suppliers could adversely affect our costs of doing business and result in material costs to our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attention to Environmental, Social, and Governance (“ESG”) matters and conservation measures may adversely impact our business.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Increasing attention to, and societal expectations on companies to address, climate change and other environmental and social impacts, investor and societal expectations regarding voluntary ESG disclosures may result in increased costs to us and our suppliers, contract manufacturers, and customers. Moreover, while we create and publish voluntary disclosures regarding ESG matters from time to time, many of the statements in those voluntary disclosures are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Additionally, on March 21, 2022, the U.S. Securities and Exchange Commission proposed new rules relating to the disclosure of a range of climate-related risks. We are currently assessing the rule, but at this time we cannot predict the costs of implementation or any potential adverse impacts resulting from the rule. To the extent this rule is finalized as proposed, we could incur increased costs relating to the assessment and disclosure of climate-related risks.</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focus on climate change issues has contributed to an evolving state of environmental regulation relating to climate change, and uncertainty related to such regulation, as well as physical risks of climate change, could impact our results of operations, financial or competitive position.</w:t>
      </w:r>
    </w:p>
    <w:p>
      <w:pPr>
        <w:spacing w:after="0" w:line="1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Increased public awareness and worldwide focus on climate change issues has led to legislative and regulatory efforts to limit greenhouse gas emissions, and may result in more international, federal or regional requirements or industry standards to reduce or mitigate risks related to climate change. As a result, we may become subject to new or more stringent regulations, legislation or other governmental requirements or industry standards, and we anticipate that we will see increased demand to meet voluntary criteria related to reduction or elimination of certain constituents from products, reducing emissions of greenhouse gases, and increasing energy efficiency. Increased regulation of climate change concerns could subject us to additional costs and restrictions and require us to make certain changes to our manufacturing practices and/or product designs, which could negatively impact our business, results of operations, financial condition and competitive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or other catastrophic events such as terrorism and war could have an adverse effect on our business.</w:t>
      </w:r>
    </w:p>
    <w:p>
      <w:pPr>
        <w:spacing w:after="0" w:line="1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Natural disasters, such as hurricanes, earthquakes, fires, extreme weather conditions and floods, could adversely affect our operations and financial performance. In addition, climate change may contribute to the increased frequency or intensity of extreme weather events, including storms, wildfires, and other natural disasters. Further, acts of terrorism or war could significantly disrupt our supply chain and access to vital components. Such events have in the past and could [in the future] result in physical damage to one or more of our facilities, the temporary closure of one or more of our facilities or those of our suppliers, a temporary lack of an adequate work force in a market, a temporary or long-term disruption in the supply of products from local or overseas suppliers or contract manufacturers, a temporary disruption in the transport of goods from overseas, and delays in the delivery of goods. Accordingly, climate change and natural disasters may impact the availability and cost of materials and natural resources, sources and supply of energy necessary for our operations, and could also increase insurance and other operating costs. Many of our facilities around the world (and the operations of our suppliers) are in locations that may be impacted by the physical risks of climate change, and we face the risk of losses incurred as a result of physical damage to our facilities or those of our suppliers, such as loss or spoilage of inventory and business interruption caused by such events. In addition, if there is a natural disaster in any of the locations in which our significant customers are located, our customers may incur losses or sustained business interruption, or both, which may materially impair their ability to continue their purchase of products from us. Public health issues, whether occurring in the United States or abroad, could disrupt our operations, disrupt the operations of suppliers or customers, or have an adverse impact on customer demand. As a result of any of these events, we may be required to suspend operations in some or all of our locations, which could have an adverse effect on our business, financial condition, results of operations, and cash flows. These events could also reduce demand for our products or make it difficult or impossible to receive components from suppliers. Although we maintain business interruption insurance and other insurance intended to cover some or all of these risks, such insurance may be inadequate, whether because of coverage amount, policy limitations, the financial viability of the insurance companies issuing such policies, or other reasons.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 security risks, data protection breaches, and cyber-attacks could compromise our proprietary information, disrupt our internal operations and harm public perception of our security products, which could cause our business and reputation to suffer and adversely affect our stock price.</w:t>
      </w:r>
    </w:p>
    <w:p>
      <w:pPr>
        <w:spacing w:after="0" w:line="10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store sensitive data, including intellectual property, our proprietary business information and proprietary information of our customers, suppliers and business partners, on our networks. The secure maintenance of this information is critical to our operations and business strategy. Increasingly, companies, including ours, are subject to a wide variety of attacks on their networks on an ongoing basis. Despite our security measures, our information technology and infrastructure may be vulnerable to interruption, disruption, penetration or attacks due to natural disasters, power loss, telecommunications failure, terrorist attacks, domestic vandalism, Internet failures, computer malware, ransomware, cyberattacks, data breaches and other events unforeseen or generally beyond our control. Any such breach could compromise our systems and networks, which could cause system disruptions or slowdowns and exploitation of the security vulnerabilities in our products, and lead to the information stored on our networks being accessed, publicly disclosed, lost or stolen, which could subject us to liability to our customers, suppliers, business partners and others, and cause us reputational and financial harm. In addition, sophisticated hardware and operating system software and applications that we produce or procure from third parties may contain defects in design or manufacture, including “bugs” and other problems that could unexpectedly interfere with the operation of our networks. Due to the COVID-19 pandemic, an increased number of our employees and service providers are working from home and connecting to our networks remotely on less secure systems, which we believe may further increase the risk of, and our vulnerability to, a cyber-attack or breach on our network.</w:t>
      </w:r>
    </w:p>
    <w:p>
      <w:pPr>
        <w:spacing w:after="0" w:line="13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an actual or perceived breach of network security occurs in our network or in the network of a customer of our security products, regardless of whether the breach is attributable to our products, the market perception of the effectiveness of our products could be harmed. Because the techniques used by computer programmers and hackers, many of whom are highly sophisticated and well-funded, to access or sabotage networks or systems change frequently and generally are not recognized until after they are used, we may be unable to anticipate or immediately detect these cyber-attacks. This could impede our sales, manufacturing, distribution or other critical functions. In addition, the economic costs to us to eliminate or alleviate cyber or other security problems, bugs, viruses, worms, malicious software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systems and security vulnerabilities could be significant and may be difficult to anticipate or measure because the damage may differ based on the identity and motive of the programmer or hacker, which are often difficult to identify.</w:t>
      </w:r>
    </w:p>
    <w:p>
      <w:pPr>
        <w:spacing w:after="0" w:line="10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cyber-attacks become more sophisticated, the need to develop, modify, upgrade or enhance our information technology infrastructure and measures to secure our business can lead to increased cybersecurity protection costs. Such costs may include making organizational changes, deploying additional personnel and protection technologies, training employees, and engaging third party experts and consultants. These efforts come at the potential cost of revenues and human resources that could be utilized to continue to enhance our product offerings, and such increased costs may adversely affect our operating margins.</w:t>
      </w:r>
    </w:p>
    <w:p>
      <w:pPr>
        <w:spacing w:after="0" w:line="21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certain of our suppliers have in the past and may in the future experience cybersecurity attacks that can constrain their capacity and ability to meet our product demands. If our contract manufacturers and suppliers suffer future cyberattacks, our ability to ship products or otherwise fulfill our contractual obligations to our customers could be delayed or impaired which would adversely affect our business, financial results and customer relationships.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be fully implemented or that it will enhance long-term stockholder value.</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second quarter of fiscal 2022 we completed the $7.5 million stock repurchase program approved by our board of directors in May 2018. This repurchase program was temporarily suspended from February 2020 to February 2021. In November 2021 our board of directors approved a stock repurchase program to purchase up to $10.0 million of our common stock. During fiscal 2022, 2021 and 2020 we repurchased $5.4 million, $0.8 million and $1.8 million of our common stock in the open market respectively. As of July 1, 2022, $7.3 million remained available for repurchase under our November 2021 stock repurchase program.</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of Delaware law, the Plan, and provisions in our Amended and Restated Certificate of Incorporation, as amended, and Amended and Restated Bylaws could make a third-party acquisition of us difficult.</w:t>
      </w:r>
    </w:p>
    <w:p>
      <w:pPr>
        <w:spacing w:after="0" w:line="18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we are a Delaware corporation, the anti-takeover provisions of Delaware law could make it more difficult for a third party to acquire control of us, even if the change in control would be supported by our stockholders. We are subject to the provisions of Section 203 of the General Corporation Law of Delaware, which prohibits us from engaging in certain business combinations, unless the business combination is approved in a prescribed manner. In addition, our Amended and Restated Certificate of Incorporation, as amended, and Amended and Restated Bylaws also contain certain provisions that may make a third-party acquisition of us difficult, including the ability of the Board to issue preferred stock and the requirement that nominations for directors and other proposals by stockholders must be made in advance of the meeting at which directors are elected or the proposals are voted upon.</w:t>
      </w:r>
    </w:p>
    <w:p>
      <w:pPr>
        <w:spacing w:after="0" w:line="21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the Plan and the Charter Amendments could make an acquisition of us more difficult, and certain acquisitions may also be void under the Charter Amendments. The risks associated with the Plan and the Charter Amendments are described in more detail above under the heading “Our ability to use net operating loss carryforwards to offset future taxable income for U.S. federal income tax purposes and other tax benefits may be limited.”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July 1, 2022, we leased approximately 138,000 square feet of facilities worldwide, with approximately 39% in the United States, mostly in Texas. Our corporate headquarters is located in Austin, Texas, and consists of approximately 18,000 square feet of office space. We also lease approximately 35,000 square feet of office, assembly facilities and warehouse in multiple locations in Texas. Internationally, we lease approximately 103,000 square feet of facilities throughout Europe, North America, Africa and Asia regions, including offices in Singapore, Slovenia, Philippine Islands, India, Mexico, Canada, South Africa, Ghana, Ivory Coast, Kenya, Nigeria, Algeria, Congo, France, Netherlands, Australia, Dubai, Saudi Arabia, Lebanon, China, and Thailand. We have repair and service centers in the Philippines and the United States. In addition, we own approximately 57,000 square feet of facilities in Wellington, New Zealand.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maintain our facilities in good operating condition and believe that they are suitable and adequate for our current and projected needs. We continuously review our anticipated requirements for facilities and may, from time to time, acquire additional facilities, expand existing facilities, or dispose of existing facilities or parts thereof, as we deem necessary.</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more information about our leases, see “Note 4. Leases” of the notes to consolidated financial statements, which are included in Item 8 in this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subject from time to time to disputes with customers concerning our products and services. In May 2016, we received notification of a claim for damages from a customer alleging that certain of our products were defective which we settled for an immaterial amount during the third quarter of 2021.</w:t>
      </w:r>
    </w:p>
    <w:p>
      <w:pPr>
        <w:spacing w:after="0" w:line="12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March 2016, an enforcement action by the Indian Department of Revenue, Ministry of Finance was brought against our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our directors of Aviat India appeared before the Ministry of Finance Enforcement Directorate. No settlement offers were discussed at the meeting and the matter is still ongoing with no subsequent hearing date currently scheduled.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14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significant accrual for loss contingencies associated with such legal claims or litigation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300"/>
        <w:spacing w:after="0" w:line="471"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 on Common Stock</w:t>
      </w:r>
    </w:p>
    <w:p>
      <w:pPr>
        <w:spacing w:after="0" w:line="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common stock, with a par value of $0.01 per share, is listed and primarily traded on the NASDAQ Global Select Market, under the ticker symbol AVNW (prior to January 28, 2010 our ticker symbol was HSTX). There was no established trading market for shares of our common stock prior to January 29, 2007.</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According to the records of our transfer agent, as of September 2, 2022, there were 1,968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not paid cash dividends on our common stock and do not intend to pay cash dividends in the foreseeable future. We intend to retain any earnings for use in our business. In addition, the covenants of our credit facility may restrict us from paying dividends or making other distributions to our stockholders under certain circumstances.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April 7, 2021, we effected a two-for-one split in the form of a stock dividend to shareholders of record as of April 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April 13, 2021, we filed a registration statement on Form S-3 with the SEC using a “shelf” registration process. When we utilize the shelf registration we will be able to, from time to time, offer and sell, either individually or in combination, in one or more offerings, up to a total dollar amount of $200 million of any combination of the securities described in the shelf registration statement or a related prospectus supplement. During fiscal 2022, we did not issue or sell any unregistered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fourth quarter of fiscal 2022 we repurchased 25,967 shares of our common stock in the open market for an aggregate purchase price, including commissions, of $0.7 million. These shares were recorded as treasury stock and we do not anticipate retiring them.</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November 2021 our Board of Directors approved a stock repurchase program to purchase up to $10.0 million of our common stock. As of July 1, 2022, $7.3 million remains available under the stock repurchase program, and we may choose to suspend or discontinue the repurchase program at any time.</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Following is a summary of stock repurchases for the three months ended July 1, 2022:</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0" w:type="dxa"/>
            <w:vAlign w:val="bottom"/>
          </w:tcPr>
          <w:p>
            <w:pPr>
              <w:spacing w:after="0"/>
              <w:rPr>
                <w:sz w:val="12"/>
                <w:szCs w:val="12"/>
                <w:color w:val="auto"/>
              </w:rPr>
            </w:pPr>
          </w:p>
        </w:tc>
        <w:tc>
          <w:tcPr>
            <w:tcW w:w="1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Repurchased as Part of</w:t>
            </w:r>
          </w:p>
        </w:tc>
        <w:tc>
          <w:tcPr>
            <w:tcW w:w="140" w:type="dxa"/>
            <w:vAlign w:val="bottom"/>
          </w:tcPr>
          <w:p>
            <w:pPr>
              <w:spacing w:after="0"/>
              <w:rPr>
                <w:sz w:val="12"/>
                <w:szCs w:val="12"/>
                <w:color w:val="auto"/>
              </w:rPr>
            </w:pPr>
          </w:p>
        </w:tc>
        <w:tc>
          <w:tcPr>
            <w:tcW w:w="1700" w:type="dxa"/>
            <w:vAlign w:val="bottom"/>
          </w:tcPr>
          <w:p>
            <w:pPr>
              <w:jc w:val="center"/>
              <w:ind w:right="83"/>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40" w:type="dxa"/>
            <w:vAlign w:val="bottom"/>
          </w:tcPr>
          <w:p>
            <w:pPr>
              <w:spacing w:after="0"/>
              <w:rPr>
                <w:sz w:val="12"/>
                <w:szCs w:val="12"/>
                <w:color w:val="auto"/>
              </w:rPr>
            </w:pPr>
          </w:p>
        </w:tc>
        <w:tc>
          <w:tcPr>
            <w:tcW w:w="170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Repurchased Under the</w:t>
            </w:r>
          </w:p>
        </w:tc>
        <w:tc>
          <w:tcPr>
            <w:tcW w:w="0" w:type="dxa"/>
            <w:vAlign w:val="bottom"/>
          </w:tcPr>
          <w:p>
            <w:pPr>
              <w:spacing w:after="0"/>
              <w:rPr>
                <w:sz w:val="1"/>
                <w:szCs w:val="1"/>
                <w:color w:val="auto"/>
              </w:rPr>
            </w:pPr>
          </w:p>
        </w:tc>
      </w:tr>
      <w:tr>
        <w:trPr>
          <w:trHeight w:val="202"/>
        </w:trPr>
        <w:tc>
          <w:tcPr>
            <w:tcW w:w="4040" w:type="dxa"/>
            <w:vAlign w:val="bottom"/>
            <w:gridSpan w:val="2"/>
            <w:vMerge w:val="continue"/>
          </w:tcPr>
          <w:p>
            <w:pPr>
              <w:spacing w:after="0"/>
              <w:rPr>
                <w:sz w:val="17"/>
                <w:szCs w:val="17"/>
                <w:color w:val="auto"/>
              </w:rPr>
            </w:pPr>
          </w:p>
        </w:tc>
        <w:tc>
          <w:tcPr>
            <w:tcW w:w="16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80" w:type="dxa"/>
            <w:vAlign w:val="bottom"/>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40" w:type="dxa"/>
            <w:vAlign w:val="bottom"/>
          </w:tcPr>
          <w:p>
            <w:pPr>
              <w:spacing w:after="0"/>
              <w:rPr>
                <w:sz w:val="17"/>
                <w:szCs w:val="17"/>
                <w:color w:val="auto"/>
              </w:rPr>
            </w:pPr>
          </w:p>
        </w:tc>
        <w:tc>
          <w:tcPr>
            <w:tcW w:w="1700" w:type="dxa"/>
            <w:vAlign w:val="bottom"/>
          </w:tcPr>
          <w:p>
            <w:pPr>
              <w:jc w:val="center"/>
              <w:ind w:right="63"/>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Program </w:t>
            </w:r>
            <w:r>
              <w:rPr>
                <w:rFonts w:ascii="Times New Roman" w:cs="Times New Roman" w:eastAsia="Times New Roman" w:hAnsi="Times New Roman"/>
                <w:sz w:val="18"/>
                <w:szCs w:val="18"/>
                <w:b w:val="1"/>
                <w:bCs w:val="1"/>
                <w:color w:val="auto"/>
                <w:w w:val="95"/>
                <w:vertAlign w:val="superscript"/>
              </w:rPr>
              <w:t>(1)</w:t>
            </w:r>
          </w:p>
        </w:tc>
        <w:tc>
          <w:tcPr>
            <w:tcW w:w="0" w:type="dxa"/>
            <w:vAlign w:val="bottom"/>
          </w:tcPr>
          <w:p>
            <w:pPr>
              <w:spacing w:after="0"/>
              <w:rPr>
                <w:sz w:val="1"/>
                <w:szCs w:val="1"/>
                <w:color w:val="auto"/>
              </w:rPr>
            </w:pPr>
          </w:p>
        </w:tc>
      </w:tr>
      <w:tr>
        <w:trPr>
          <w:trHeight w:val="208"/>
        </w:trPr>
        <w:tc>
          <w:tcPr>
            <w:tcW w:w="3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center"/>
              <w:ind w:right="8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18"/>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2, 2022 through April 29, 2022</w:t>
            </w:r>
          </w:p>
        </w:tc>
        <w:tc>
          <w:tcPr>
            <w:tcW w:w="1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25,967</w:t>
            </w:r>
          </w:p>
        </w:tc>
        <w:tc>
          <w:tcPr>
            <w:tcW w:w="17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28.86</w:t>
            </w:r>
          </w:p>
        </w:tc>
        <w:tc>
          <w:tcPr>
            <w:tcW w:w="8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25,967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7,260</w:t>
            </w:r>
          </w:p>
        </w:tc>
        <w:tc>
          <w:tcPr>
            <w:tcW w:w="0" w:type="dxa"/>
            <w:vAlign w:val="bottom"/>
          </w:tcPr>
          <w:p>
            <w:pPr>
              <w:spacing w:after="0"/>
              <w:rPr>
                <w:sz w:val="1"/>
                <w:szCs w:val="1"/>
                <w:color w:val="auto"/>
              </w:rPr>
            </w:pPr>
          </w:p>
        </w:tc>
      </w:tr>
      <w:tr>
        <w:trPr>
          <w:trHeight w:val="21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April 30, 2022 through May 27, 2022</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May 28, 2022 through July 1, 2022</w:t>
            </w:r>
          </w:p>
        </w:tc>
        <w:tc>
          <w:tcPr>
            <w:tcW w:w="16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7,260</w:t>
            </w:r>
          </w:p>
        </w:tc>
        <w:tc>
          <w:tcPr>
            <w:tcW w:w="0" w:type="dxa"/>
            <w:vAlign w:val="bottom"/>
          </w:tcPr>
          <w:p>
            <w:pPr>
              <w:spacing w:after="0"/>
              <w:rPr>
                <w:sz w:val="1"/>
                <w:szCs w:val="1"/>
                <w:color w:val="auto"/>
              </w:rPr>
            </w:pPr>
          </w:p>
        </w:tc>
      </w:tr>
      <w:tr>
        <w:trPr>
          <w:trHeight w:val="212"/>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25,967</w:t>
            </w: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60" w:hanging="252"/>
        <w:spacing w:after="0" w:line="229" w:lineRule="auto"/>
        <w:tabs>
          <w:tab w:leader="none" w:pos="198"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November 2021, our Board of Directors approved a stock repurchase program, which does not have an expiration date, for the repurchase of up to $10.0 million of our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graph and accompanying data compare the cumulative total return on our common stock with the cumulative total return of the Total Return Index for The NASDAQ Composite Market (U.S. Companies) and the NASDAQ Telecommunications Index for the five-year period ended July 1, 2022. The stock price performance shown on the graph below is not necessarily indicative of future price performance. Note that this graph and accompanying data is “furnished,” not “filed,” with the SEC.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Aviat Networks, Inc., the NASDAQ Composite Index</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the NASDAQ Telecommunications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6/30/2017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6/29/2018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6/28/2019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7/3/2020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7/2/2021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7/1/2022</w:t>
            </w:r>
          </w:p>
        </w:tc>
      </w:tr>
      <w:tr>
        <w:trPr>
          <w:trHeight w:val="212"/>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Aviat Networks, Inc.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288.39</w:t>
            </w:r>
          </w:p>
        </w:tc>
      </w:tr>
      <w:tr>
        <w:trPr>
          <w:trHeight w:val="213"/>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NASDAQ Composite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189.76</w:t>
            </w:r>
          </w:p>
        </w:tc>
      </w:tr>
      <w:tr>
        <w:trPr>
          <w:trHeight w:val="21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NASDAQ Telecommunications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162.03</w:t>
            </w:r>
          </w:p>
        </w:tc>
      </w:tr>
    </w:tbl>
    <w:p>
      <w:pPr>
        <w:spacing w:after="0" w:line="3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31" w:lineRule="exact"/>
        <w:rPr>
          <w:sz w:val="20"/>
          <w:szCs w:val="20"/>
          <w:color w:val="auto"/>
        </w:rPr>
      </w:pPr>
    </w:p>
    <w:p>
      <w:pPr>
        <w:ind w:left="480" w:right="20" w:hanging="454"/>
        <w:spacing w:after="0" w:line="250" w:lineRule="auto"/>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(i) $100 invested on June 30, 2017 in Aviat Networks, Inc. common stock, the Total Return Index for The NASDAQ Composite Market (U.S. companies) and the NASDAQ Telecommunications Index; and (ii) immediate reinvestment of all dividends.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Operating Environment and Key Factors Impacting Fiscal 2022 and 2021 Results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ended July 1, 2022 is referred to as “fiscal 2022” or “2022”; our fiscal year ended July 2, 2021 is referred to as “fiscal 2021” or “2021”; and our fiscal year ended July 3, 2020 is referred to as “fiscal 2020” or “2020.” Our fiscal year ends on the Friday nearest to June 30. Fiscal 2022 and fiscal 2021 presented included 52 weeks while fiscal 2020 included 53 weeks. This one week difference between fiscal 2022 and 2021 to fiscal 2020 impacts the comparison of both revenue and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Aviat sells radios, routers, software and services. We have more than 3,000 customers and significant relationships with global service providers and private network operators. Our manufacturing base in North America consists of a combination of contract manufacturing and assembly and test operated in Austin, Texas by Aviat. Our technology is underpinned by more than 200 patents. We compete on the basis of total cost of ownership, microwave radio expertise and solutions for mission critical communications. We have a global presence.</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COVID-19 pandemic related disruptions to our business, operations, customers and suppliers lessened over the course of fiscal 2022. While supply chain lead-times remain extended and difficult to manage, the impact on our ability to fulfill orders for the year ended July 1, 2022 was minimal. Depending on the progression of pandemic-related factors such as supply constraints, potential for temporary manufacturing restrictions and our ability to perform field services during shelter in place orders, we could experience constraints and delays in fulfilling customer orders in future periods. We are monitoring, assessing and adapting to the situation to mitigate impacts on our business, supply chain and customer demand. We expect the potential for these challenges to continue until business and economic activities return to more normal levels.</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first priority remains the health and safety of our employees and their families. Employees whose tasks can be done offsite have been instructed to work from home. Our manufacturing sites remain operational, and we are maintaining social distancing and have enhanced cleaning protocols and usage of personal protective equipment, where appropriate.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Review</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market for mobile backhaul continued to be our primary addressable market segment globally in fiscal 2022. In North America, we supported 5G and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3G deployments, 5G deployments and LTE deployments. Our position continues to be to support our customers for 5G and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in “Overview” above and in the “Risk Factors” section in Item 1A of this Annual Report on Form 10-K, a number of factors could prevent us from achieving our objectives, including ongoing pricing pressures attributable to competition and macroeconomic conditions in the geographic markets that we service.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manage our sales activities primarily on a geographic basis in North America and three international geographic regions: (1) Africa and the Middle East, (2) Europe and (3) Latin America and Asia Pacific. Revenue by region for fiscal 2022, 2021 and 2020 and the related changes are shown in the table below:</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2400" w:type="dxa"/>
            <w:vAlign w:val="bottom"/>
            <w:gridSpan w:val="3"/>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2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2022/2021</w:t>
            </w:r>
          </w:p>
        </w:tc>
        <w:tc>
          <w:tcPr>
            <w:tcW w:w="12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12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2022/2021</w:t>
            </w:r>
          </w:p>
        </w:tc>
        <w:tc>
          <w:tcPr>
            <w:tcW w:w="120" w:type="dxa"/>
            <w:vAlign w:val="bottom"/>
            <w:tcBorders>
              <w:top w:val="single" w:sz="8" w:color="auto"/>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Africa and the Middle East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 and Asia Pacific</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36,269</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achieved revenue growth of 10.2% in fiscal 2022. We have progressed in the U.S. rural broadband and wireless internet service provider areas and there is evidence of investment to support 5G deployments with our U.S. service provider customers.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revenue from North America increased by $16.7 million, or 9.1%, in fiscal 2022 compared with fiscal 2021. The increase in North America revenue during fiscal 2022 was due to revenue growth with private network customers and rural broadband customers. Revenue from North America increased $31.4 million, or 20.7%, in fiscal 2021 compared with fiscal 2020. The increase in North America revenue during fiscal 2021 was due to stronger order flow from private network customers, as well as increased sales to mobile operators.</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revenue from Africa and the Middle East increased by $3.5 million, or 8.0%, in fiscal 2022 compared with fiscal 2021. The increase in revenue was primarily due to increased sales to mobile operators in the region. Revenue from Africa and the Middle East increased $6.4 million, or 17.1%, in fiscal 2021 compared with fiscal 2020. The increase in revenue was primarily due to increased sales to mobile operators in the region.</w:t>
      </w:r>
    </w:p>
    <w:p>
      <w:pPr>
        <w:spacing w:after="0" w:line="243" w:lineRule="exact"/>
        <w:rPr>
          <w:sz w:val="20"/>
          <w:szCs w:val="20"/>
          <w:color w:val="auto"/>
        </w:rPr>
      </w:pPr>
    </w:p>
    <w:p>
      <w:pPr>
        <w:ind w:right="160" w:firstLine="486"/>
        <w:spacing w:after="0" w:line="274" w:lineRule="auto"/>
        <w:rPr>
          <w:sz w:val="20"/>
          <w:szCs w:val="20"/>
          <w:color w:val="auto"/>
        </w:rPr>
      </w:pPr>
      <w:r>
        <w:rPr>
          <w:rFonts w:ascii="Times New Roman" w:cs="Times New Roman" w:eastAsia="Times New Roman" w:hAnsi="Times New Roman"/>
          <w:sz w:val="18"/>
          <w:szCs w:val="18"/>
          <w:color w:val="auto"/>
        </w:rPr>
        <w:t>Revenue from Europe increased by $4.1 million, or 47.0%, in fiscal 2022 compared with fiscal 2021. The increase in revenue was due to higher sales to private network customers. Revenue in Europe decreased $2.3 million, or 20.9%, in fiscal 2021 compared with fiscal 2020. The decrease was due to lower sales to mobile operator customers.</w:t>
      </w:r>
    </w:p>
    <w:p>
      <w:pPr>
        <w:spacing w:after="0" w:line="196"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Revenue in Latin America and Asia Pacific increased by $3.7 million, or 9.4%, in fiscal 2022 compared with fiscal 2021. The increase in revenue was primarily due to higher sales to mobile operator customers in Asia Pacific offset in part by decreased revenue in Latin America. Revenue from Latin America and Asia-Pacific increased $0.8 million, or 2.1%, in fiscal 2021 compared with fiscal 2020. The increase in revenue was primarily due to higher sales to mobile operator customers in Asia Pacific offset in part by decreased revenue in Latin America.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54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percentages)</w:t>
            </w: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900" w:type="dxa"/>
            <w:vAlign w:val="bottom"/>
            <w:tcBorders>
              <w:bottom w:val="single" w:sz="8" w:color="CCEEFF"/>
            </w:tcBorders>
            <w:vMerge w:val="continue"/>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2022/2021</w:t>
            </w:r>
          </w:p>
        </w:tc>
        <w:tc>
          <w:tcPr>
            <w:tcW w:w="12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120" w:type="dxa"/>
            <w:vAlign w:val="bottom"/>
            <w:tcBorders>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2022/2021</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0" w:type="dxa"/>
            <w:vAlign w:val="bottom"/>
          </w:tcPr>
          <w:p>
            <w:pPr>
              <w:spacing w:after="0"/>
              <w:rPr>
                <w:sz w:val="1"/>
                <w:szCs w:val="1"/>
                <w:color w:val="auto"/>
              </w:rPr>
            </w:pPr>
          </w:p>
        </w:tc>
      </w:tr>
      <w:tr>
        <w:trPr>
          <w:trHeight w:val="267"/>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185,787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153,793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70"/>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94,859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89,124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48"/>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revenue from product sales increased by $22.3 million, or 12.0%, in fiscal 2022 compared with fiscal 2021. Product volume increased with customers in all regions. Our services revenue increased by $5.7 million, or 6.4%, in fiscal 2022 compared with fiscal 2021 from increased sales in all regions, except for Asia Pacific.</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revenue from product sales increased $32.0 million, or 20.8%, in fiscal 2021 compared with fiscal 2020. Product volume increased with customers in North America and Middle East Africa, offset in part by small declines in the other international markets. Our services revenue increased by $4.3 million, or 5.0%, in fiscal 2021 compared with fiscal 2020 from increased sales in North America.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2340" w:type="dxa"/>
            <w:vAlign w:val="bottom"/>
            <w:gridSpan w:val="3"/>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380" w:type="dxa"/>
            <w:vAlign w:val="bottom"/>
            <w:tcBorders>
              <w:bottom w:val="single" w:sz="8" w:color="CCEEFF"/>
            </w:tcBorders>
            <w:vMerge w:val="continue"/>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2022/2021</w:t>
            </w:r>
          </w:p>
        </w:tc>
        <w:tc>
          <w:tcPr>
            <w:tcW w:w="12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12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2022/2021</w:t>
            </w:r>
          </w:p>
        </w:tc>
        <w:tc>
          <w:tcPr>
            <w:tcW w:w="100" w:type="dxa"/>
            <w:vAlign w:val="bottom"/>
            <w:tcBorders>
              <w:top w:val="single" w:sz="8" w:color="auto"/>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0" w:type="dxa"/>
            <w:vAlign w:val="bottom"/>
          </w:tcPr>
          <w:p>
            <w:pPr>
              <w:spacing w:after="0"/>
              <w:rPr>
                <w:sz w:val="1"/>
                <w:szCs w:val="1"/>
                <w:color w:val="auto"/>
              </w:rPr>
            </w:pPr>
          </w:p>
        </w:tc>
      </w:tr>
      <w:tr>
        <w:trPr>
          <w:trHeight w:val="229"/>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302,959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274,911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238,642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30"/>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193,724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172,296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153,946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18,350</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48"/>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109,235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102,615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84,696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36.1 %</w:t>
            </w: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37.3 %</w:t>
            </w:r>
          </w:p>
        </w:tc>
        <w:tc>
          <w:tcPr>
            <w:tcW w:w="5600" w:type="dxa"/>
            <w:vAlign w:val="bottom"/>
          </w:tcPr>
          <w:p>
            <w:pPr>
              <w:jc w:val="right"/>
              <w:ind w:right="4550"/>
              <w:spacing w:after="0"/>
              <w:rPr>
                <w:sz w:val="20"/>
                <w:szCs w:val="20"/>
                <w:color w:val="auto"/>
              </w:rPr>
            </w:pPr>
            <w:r>
              <w:rPr>
                <w:rFonts w:ascii="Times New Roman" w:cs="Times New Roman" w:eastAsia="Times New Roman" w:hAnsi="Times New Roman"/>
                <w:sz w:val="18"/>
                <w:szCs w:val="18"/>
                <w:color w:val="auto"/>
              </w:rPr>
              <w:t>35.5 %</w:t>
            </w: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margin %</w:t>
            </w:r>
          </w:p>
        </w:tc>
        <w:tc>
          <w:tcPr>
            <w:tcW w:w="19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36.4 %</w:t>
            </w:r>
          </w:p>
        </w:tc>
        <w:tc>
          <w:tcPr>
            <w:tcW w:w="14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39.1 %</w:t>
            </w:r>
          </w:p>
        </w:tc>
        <w:tc>
          <w:tcPr>
            <w:tcW w:w="5600" w:type="dxa"/>
            <w:vAlign w:val="bottom"/>
            <w:shd w:val="clear" w:color="auto" w:fill="CCEEFF"/>
          </w:tcPr>
          <w:p>
            <w:pPr>
              <w:jc w:val="right"/>
              <w:ind w:right="4550"/>
              <w:spacing w:after="0"/>
              <w:rPr>
                <w:sz w:val="20"/>
                <w:szCs w:val="20"/>
                <w:color w:val="auto"/>
              </w:rPr>
            </w:pPr>
            <w:r>
              <w:rPr>
                <w:rFonts w:ascii="Times New Roman" w:cs="Times New Roman" w:eastAsia="Times New Roman" w:hAnsi="Times New Roman"/>
                <w:sz w:val="18"/>
                <w:szCs w:val="18"/>
                <w:color w:val="auto"/>
              </w:rPr>
              <w:t>38.0 %</w:t>
            </w:r>
          </w:p>
        </w:tc>
      </w:tr>
      <w:tr>
        <w:trPr>
          <w:trHeight w:val="234"/>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margin %</w:t>
            </w:r>
          </w:p>
        </w:tc>
        <w:tc>
          <w:tcPr>
            <w:tcW w:w="1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35.4 %</w:t>
            </w: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33.5 %</w:t>
            </w:r>
          </w:p>
        </w:tc>
        <w:tc>
          <w:tcPr>
            <w:tcW w:w="5600" w:type="dxa"/>
            <w:vAlign w:val="bottom"/>
          </w:tcPr>
          <w:p>
            <w:pPr>
              <w:jc w:val="right"/>
              <w:ind w:right="4550"/>
              <w:spacing w:after="0"/>
              <w:rPr>
                <w:sz w:val="20"/>
                <w:szCs w:val="20"/>
                <w:color w:val="auto"/>
              </w:rPr>
            </w:pPr>
            <w:r>
              <w:rPr>
                <w:rFonts w:ascii="Times New Roman" w:cs="Times New Roman" w:eastAsia="Times New Roman" w:hAnsi="Times New Roman"/>
                <w:sz w:val="18"/>
                <w:szCs w:val="18"/>
                <w:color w:val="auto"/>
              </w:rPr>
              <w:t>30.9 %</w:t>
            </w:r>
          </w:p>
        </w:tc>
      </w:tr>
    </w:tbl>
    <w:p>
      <w:pPr>
        <w:spacing w:after="0" w:line="30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Gross margin for fiscal 2022 increased by $6.6 million, or 6.5%, compared with fiscal 2021. Gross margin as a percentage of revenue for fiscal 2022 decreased to 36.1%, compared with 37.3% in fiscal 2021, primarily due to inflationary pressures during the year.</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Gross margin for fiscal 2021 increased $17.9 million, or 21.2%, compared with fiscal 2020. Gross margin as a percentage of revenue for fiscal 2021 increased to 37.3%, compared with 35.5% in fiscal 2020, primarily due to higher volume of Private Network business, increased sales through Aviat Store which serves primarily the Rural Broadband, and wins with our multiband products and software sales.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340" w:type="dxa"/>
            <w:vAlign w:val="bottom"/>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30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2022/2021</w:t>
            </w:r>
          </w:p>
        </w:tc>
        <w:tc>
          <w:tcPr>
            <w:tcW w:w="12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12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2022/2021</w:t>
            </w:r>
          </w:p>
        </w:tc>
        <w:tc>
          <w:tcPr>
            <w:tcW w:w="100" w:type="dxa"/>
            <w:vAlign w:val="bottom"/>
            <w:tcBorders>
              <w:top w:val="single" w:sz="8" w:color="auto"/>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2021/2020</w:t>
            </w: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22,596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21,810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19,284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34"/>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research and development (“R&amp;D”) expenses increased by $0.8 million, or 3.6%, in fiscal 2022 compared with fiscal 2021. The increase was due to additional investments to support new product offerings and redesigns to mitigate supply chain constraints.</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R&amp;D expenses increased $2.5 million, or 13.1%, in fiscal 2021 compared with fiscal 2020. The increase was due to additional investments to support new product offerings.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340" w:type="dxa"/>
            <w:vAlign w:val="bottom"/>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30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0"/>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2022/2021</w:t>
            </w:r>
          </w:p>
        </w:tc>
        <w:tc>
          <w:tcPr>
            <w:tcW w:w="10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12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2022/2021</w:t>
            </w:r>
          </w:p>
        </w:tc>
        <w:tc>
          <w:tcPr>
            <w:tcW w:w="100" w:type="dxa"/>
            <w:vAlign w:val="bottom"/>
            <w:tcBorders>
              <w:top w:val="single" w:sz="8" w:color="auto"/>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2021/2020</w:t>
            </w:r>
          </w:p>
        </w:tc>
      </w:tr>
      <w:tr>
        <w:trPr>
          <w:trHeight w:val="22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57,656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56,324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57,985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382" w:lineRule="exact"/>
        <w:rPr>
          <w:sz w:val="20"/>
          <w:szCs w:val="20"/>
          <w:color w:val="auto"/>
        </w:rPr>
      </w:pPr>
    </w:p>
    <w:p>
      <w:pPr>
        <w:jc w:val="both"/>
        <w:ind w:firstLine="486"/>
        <w:spacing w:after="0" w:line="329" w:lineRule="auto"/>
        <w:rPr>
          <w:sz w:val="20"/>
          <w:szCs w:val="20"/>
          <w:color w:val="auto"/>
        </w:rPr>
      </w:pPr>
      <w:r>
        <w:rPr>
          <w:rFonts w:ascii="Times New Roman" w:cs="Times New Roman" w:eastAsia="Times New Roman" w:hAnsi="Times New Roman"/>
          <w:sz w:val="18"/>
          <w:szCs w:val="18"/>
          <w:color w:val="auto"/>
        </w:rPr>
        <w:t>Our selling and administrative expenses increased by $1.3 million, or 2.4%, in fiscal 2022 compared with fiscal 2021. The increase was primarily due to higher corporate expenses.</w:t>
      </w:r>
    </w:p>
    <w:p>
      <w:pPr>
        <w:spacing w:after="0" w:line="6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selling and administrative expenses decreased $1.7 million, or 2.9%, in fiscal 2021 compared with fiscal 2020. The decrease was primarily due to lower travel expenses and restructuring savings offset in part by increases in sales-related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fourth quarter of Q4 2022, our Board of Directors approved a restructuring plan (the “Q4 2022 Plan”) to restructure specific groups to optimize skill sets and execute on strategic deliverables. The Q4 2022 Plan was anticipated to be implemented through early fiscal year 2023, with a certain number of positions being consolidated. We recorded $0.4 million restructuring charges for this plan in Fiscal Year 2022.</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2021, our Board of Directors approved restructuring plans (the “Fiscal 2021 Plan”) to continue to reduce our operating costs and improve profitability. We recorded restructuring charges of $2.4 million related to the Fiscal 2021 Plan in fiscal 2021. Payments related to the accrued restructuring balances for this plan are expected to be fully paid in fiscal 2023.</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2020, our Board of Directors approved a restructuring plan (the “Q4 2020 Plan”) to continue to reduce our operating costs and improve profitability to optimize our business model and increase efficiencies. We recorded restructuring charges of $1.9 million related to the Q4 2020 Plan in fiscal 2020. Payments related to the accrued restructuring liability balance for this plan were fully paid in fiscal 2022.</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2020, our Board of Directors approved a restructuring plan (the “Q3 2020 Plan”) to reduce our operating costs and improve profitability to optimize our business model and increase efficiencies. We recorded restructuring charges of $0.6 million related to the Q3 2020 Plan in fiscal 2020. Payments related to the accrued restructuring liability balance for this plan were fully paid in fiscal 2021.</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restructuring charges by plan for fiscal 2022, 2021 and 2020 are summarized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6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2022/2021</w:t>
            </w:r>
          </w:p>
        </w:tc>
        <w:tc>
          <w:tcPr>
            <w:tcW w:w="12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100" w:type="dxa"/>
            <w:vAlign w:val="bottom"/>
            <w:tcBorders>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2022/2021</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Q4 2022 Plan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2021 Plan</w:t>
            </w:r>
          </w:p>
        </w:tc>
        <w:tc>
          <w:tcPr>
            <w:tcW w:w="240" w:type="dxa"/>
            <w:vAlign w:val="bottom"/>
          </w:tcPr>
          <w:p>
            <w:pPr>
              <w:spacing w:after="0"/>
              <w:rPr>
                <w:sz w:val="19"/>
                <w:szCs w:val="19"/>
                <w:color w:val="auto"/>
              </w:rPr>
            </w:pPr>
          </w:p>
        </w:tc>
        <w:tc>
          <w:tcPr>
            <w:tcW w:w="84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Years Plans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313"/>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Year Plan: Facilities and Other</w:t>
            </w:r>
          </w:p>
        </w:tc>
        <w:tc>
          <w:tcPr>
            <w:tcW w:w="240" w:type="dxa"/>
            <w:vAlign w:val="bottom"/>
          </w:tcPr>
          <w:p>
            <w:pPr>
              <w:spacing w:after="0"/>
              <w:rPr>
                <w:sz w:val="19"/>
                <w:szCs w:val="19"/>
                <w:color w:val="auto"/>
              </w:rPr>
            </w:pPr>
          </w:p>
        </w:tc>
        <w:tc>
          <w:tcPr>
            <w:tcW w:w="840" w:type="dxa"/>
            <w:vAlign w:val="bottom"/>
          </w:tcPr>
          <w:p>
            <w:pPr>
              <w:jc w:val="center"/>
              <w:ind w:left="313"/>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N/A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8"/>
        </w:trPr>
        <w:tc>
          <w:tcPr>
            <w:tcW w:w="29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Restructuring charges for fiscal 2022 included employee and severance and benefits of $0.4 million under the Q4 2022 Plan and $0.3 million under the Fiscal 2021 Plan and reductions of Prior Years Plans estimated accruals of $0.5 million. Restructuring charges for fiscal 2021 included employee severance and benefits of $2.4 million, the Fiscal 2021 Plan and a reduction in the previously estimated accrual of $0.1 million in Prior Years Plans. Restructuring charges for fiscal 2020 included employee severance and benefits costs of $1.9 million for the Q4 2020 Plan and $2.2 million for the Prior Years Plans.</w:t>
      </w:r>
    </w:p>
    <w:p>
      <w:pPr>
        <w:spacing w:after="0" w:line="1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successfully executed restructuring initiatives have enabled us to restructure specific groups to optimize skill sets and align structure to execute on strategic deliverables, in addition to aligning cost structure with core of the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2022/2021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2022/2021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w w:val="96"/>
              </w:rPr>
              <w:t>2021/2020</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other income, net increased by $1.5 million, in fiscal 2022 compared with fiscal 2021, primarily due to gains in marketable securities partially offset by movement in foreign exchange.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4"/>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2021/2020</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30,435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22,440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18,731</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9,275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(87,699)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(91,151)</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 of income before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provision for (benefit from) income taxes was $9.3 million of expense for fiscal 2022, $87.7 million of benefit for fiscal 2021 and $3.5 million of expense for fiscal 2020. Our tax expense for fiscal 2022 was primarily due to tax expense related to U.S. and profitable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tax benefit for fiscal 2021 was primarily due to the release of $92.2 million in valuation allowance on our U.S. federal and state deferred tax assets, offset by tax expenses related to profitable foreign subsidiaries and an increase in our reserve for uncertain tax positions.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Strategies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July 1, 2022, our cash and cash equivalents and marketable securities totaled $47.8 million. Approximately $5.9 million, or 12.3%, was held in the United States. The remaining balance of $41.9 million, or 87.7%, was held by entities outside the United States. This amount includes $14.0 million moved in advance of the Redline acquisition closure. Of the amount of cash and cash equivalents held by our foreign subsidiaries at July 1, 2022, $29.2 million was held in jurisdictions where our undistributed earnings are indefinitely reinvested, and if repatriated, would be subject to foreign withholding taxes.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Cash used in or provided by operating activities is presented as net income adjusted for certain non-cash items and changes in assets and liabilities. Net cash provided by operating activities was $2.8 million for fiscal 2022, $17.3 million and $17.5 million, respectively, were provided by operating activities for fiscal 2021 and fiscal 2020.</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fiscal 2022 compared to fiscal 2021, cash provided by operating activities decreased by $14.5 million. The net contribution of non-cash items to cash provided by operating activities increased by $97.4 million and the net contribution of changes in operating assets and liabilities to cash provided by operating activities decreased by $22.9 million in fiscal 2022 as compared to fiscal 2021.</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$97.4 million increase in the net contribution of non-cash items to cash provided by operating activities was primarily attributable to a $98.6 million net change in deferred tax assets.</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Net changes in operating assets and liabilities resulted in a decrease of $22.9 million additional cash used by operating activities for fiscal 2022 compared to fiscal 2021. Accounts receivable and unbilled costs fluctuate from period to period, depending on the amount and timing of sales and billing activities and cash collections. The fluctuations in accounts payable and accrued expenses during fiscal 2022 were primarily due to the timing of liabilities incurred and vendor payments. The change in inventories and in customer service inventories during fiscal 2022 were primarily driven by forecasted demand and to secure component parts in shortage. The decrease in customer advance payments and unearned revenue during fiscal 2022 was due to the timing of payment from customers and revenue recognition. We used $1.6 million in cash during fiscal 2022 on expenses related to restructuring liabilities.</w:t>
      </w:r>
    </w:p>
    <w:p>
      <w:pPr>
        <w:spacing w:after="0" w:line="34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fiscal 2021 compared to fiscal 2020, cash provided by operating activities increased by $0.2 million. The net contribution of non-cash items to cash provided by operating activities decreased by $92.3 million and the net changes in operating assets and liabilities to cash provided by operating activities decreased by $17.7 million in fiscal 2021 as compared to fiscal 2020.</w:t>
      </w:r>
    </w:p>
    <w:p>
      <w:pPr>
        <w:spacing w:after="0" w:line="1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$92.3 million decrease in the net contribution of non-cash items to cash provided by operating activities was primarily attributable to a $90.4 million net change in deferred tax assets offset by proceeds from sale of asset held for sale.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$7.8 million for fiscal year 2022, $2.8 million for fiscal 2021 and $4.6 million for fiscal 2020, which consisted of purchases of marketable securities and capital expenditures net of cash received from sale of a real estate asset.</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fiscal 2023, we expect to spend between $5.0 million to $6.0 million for capital expenditures, primarily on equipment for development and manufacturing of new products and IT infrastructure.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Financing cash flows consist primarily of proceeds and repayments of short-term debt, repurchase of stock and proceeds from the sale of shares of common stock through employee equity plans. Net cash used in financing activities was $4.9 million for fiscal year 2022, which was attributable to $5.4 million for repurchase of common stock relating to treasury shares, $0.5 million payments for taxes related to net settlement of equity awards, offset by $1.0 million proceeds from the issuance of common stock from employee stock plans. Net cash used by financing activities was $8.0 million for fiscal 2021 and $2.5 million for fiscal 2020.</w:t>
      </w:r>
    </w:p>
    <w:p>
      <w:pPr>
        <w:spacing w:after="0" w:line="1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July 1, 2022, our principal sources of liquidity consisted of the $47.8 million in cash and cash equivalents and marketable securities, $21.7 million of available credit under our $25.0 million credit facility with Silicon Valley Bank (“SVB Credit Facility”) which matures on June 28, 2024, and future collections of receivables from customers. We regularly require letters of credit from certain customers and, from time to time, these letters of credit are discounted without recourse shortly after shipment occurs to meet immediate liquidity requirements and to reduce our credit and sovereign risk. Historically, our primary sources of liquidity have been cash flows from operations and credit facilities.</w:t>
      </w:r>
    </w:p>
    <w:p>
      <w:pPr>
        <w:spacing w:after="0" w:line="1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May 17, 2021 we entered into Amendment No. 4 to Third Amended and Restated Loan and Security Agreement, which extended the expiration date to June 28, 2024. While we intend to continue to renew the SVB Credit Facility in the future, there can be no assurance that the SVB Credit Facility will be renewed. In addition, there can be no assurance that our business will generate cash flow from operations, that we will be in compliance with the quarterly financial covenants contained in the SVB Credit Facility, or that we will have a sufficient borrowing base under such facility. If we are not in compliance with the financial covenants or do not have sufficient eligible accounts receivable to support our borrowing base,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38" w:lineRule="exact"/>
        <w:rPr>
          <w:sz w:val="20"/>
          <w:szCs w:val="20"/>
          <w:color w:val="auto"/>
        </w:rPr>
      </w:pPr>
    </w:p>
    <w:p>
      <w:pPr>
        <w:jc w:val="both"/>
        <w:ind w:firstLine="486"/>
        <w:spacing w:after="0" w:line="273" w:lineRule="auto"/>
        <w:rPr>
          <w:sz w:val="20"/>
          <w:szCs w:val="20"/>
          <w:color w:val="auto"/>
        </w:rPr>
      </w:pPr>
      <w:r>
        <w:rPr>
          <w:rFonts w:ascii="Times New Roman" w:cs="Times New Roman" w:eastAsia="Times New Roman" w:hAnsi="Times New Roman"/>
          <w:sz w:val="18"/>
          <w:szCs w:val="18"/>
          <w:color w:val="auto"/>
        </w:rPr>
        <w:t>On April 13, 2021, we filed a registration statement on Form S-3 with the SEC using a “shelf” registration process. If and when we utilize the shelf registration, we will be able to, from time to time, offer and sell, either individually or in combination, in one or more offerings, up to a total dollar amount</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$200 million of any combination of the securities described in the shelf registration statement. Each time we offer securities under this shelf registration, we will provide a prospectus supplement that will contain more specific information about the terms of that offering.</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Credit Facility, Borrowings and Repayment of Debt</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May 17, 2021, we entered into Amendment No. 4 to Third Amended and Restated Loan and Security Agreement to extend the maturity date to June 28, 2024. The SVB Credit Facility provides for a $25.0 million accounts receivable formula-based revolving credit facility that can be borrowed by the U.S. company, with a $25.0 million sub-limit that can be borrowed by our U.S. and Singapore entities. Loans may be advanced under the SVB Credit Facility based on a borrowing base equal to a specified percentage of the value of eligible accounts of all borrowers under the SVB Credit Facility. The borrowing base is subject to certain eligibility criteria. Availability under the accounts receivable formula-based revolving credit facility can also be utilized to issue letters of credit with a $12.0 million sub-limit. We may prepay loans under the SVB Credit Facility in whole or in part at any time without premium or penalty. As of July 1, 2022, available credit under the SVB Credit Facility was $21.7 million reflecting the calculated borrowing base of $25.0 million less outstanding letters of credit of $3.3 million. We did not borrow against the SVB Credit Facility during fiscal 2022 and there was no borrowing outstanding as of July 1, 2022.</w:t>
      </w:r>
    </w:p>
    <w:p>
      <w:pPr>
        <w:spacing w:after="0" w:line="13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SVB Credit Facility carries an interest rate, at our option, computed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subsidiary-borrowed loans shall bear interest at an additional 2.00% above the applicable prime or LIBOR rate.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SVB Credit Facility contains monthly and quarterly financial covenants for minimum adjusted quick ratio and minimum profitability (EBITDA) requirements, respectively.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enter into a transaction resulting in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July 1, 2022, we were in compliance with the quarterly financial covenants, as amended, contained in the SVB Credit Facility.</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fiscal 2022, we terminated our uncommitted short-term line of credit from a bank in New Zealand.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Payments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had liabilities for restructuring activities totaling $1.4 million as of July 1, 2022, which was classified as current liability and expected to be paid in cash over the next 12 months. We expect to fund these future payments with available cash and cash provided by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 Management</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enter into foreign exchange forward contracts to mitigate the change in fair value of specific non-functional currency assets and liabilities on the consolidated balance sheets. All balance sheet hedges are marked to market through earnings every period. Changes in the fair value of these derivatives are largely offset by re-measurement of the underlying assets and liabilities.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July 1, 2022, we had multiple forward contracts in one foreign currency outstanding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Notional Contract Amount</w:t>
            </w:r>
          </w:p>
        </w:tc>
        <w:tc>
          <w:tcPr>
            <w:tcW w:w="400" w:type="dxa"/>
            <w:vAlign w:val="bottom"/>
          </w:tcPr>
          <w:p>
            <w:pPr>
              <w:spacing w:after="0"/>
              <w:rPr>
                <w:sz w:val="16"/>
                <w:szCs w:val="16"/>
                <w:color w:val="auto"/>
              </w:rPr>
            </w:pPr>
          </w:p>
        </w:tc>
        <w:tc>
          <w:tcPr>
            <w:tcW w:w="204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Notional Contract Amount</w:t>
            </w:r>
          </w:p>
        </w:tc>
      </w:tr>
      <w:tr>
        <w:trPr>
          <w:trHeight w:val="203"/>
        </w:trPr>
        <w:tc>
          <w:tcPr>
            <w:tcW w:w="6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Currency</w:t>
            </w:r>
          </w:p>
        </w:tc>
        <w:tc>
          <w:tcPr>
            <w:tcW w:w="2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(Local Currency)</w:t>
            </w:r>
          </w:p>
        </w:tc>
        <w:tc>
          <w:tcPr>
            <w:tcW w:w="400" w:type="dxa"/>
            <w:vAlign w:val="bottom"/>
          </w:tcPr>
          <w:p>
            <w:pPr>
              <w:spacing w:after="0"/>
              <w:rPr>
                <w:sz w:val="17"/>
                <w:szCs w:val="17"/>
                <w:color w:val="auto"/>
              </w:rPr>
            </w:pPr>
          </w:p>
        </w:tc>
        <w:tc>
          <w:tcPr>
            <w:tcW w:w="204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(USD)</w:t>
            </w:r>
          </w:p>
        </w:tc>
      </w:tr>
      <w:tr>
        <w:trPr>
          <w:trHeight w:val="23"/>
        </w:trPr>
        <w:tc>
          <w:tcPr>
            <w:tcW w:w="6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Borders>
              <w:bottom w:val="single" w:sz="8" w:color="auto"/>
            </w:tcBorders>
            <w:gridSpan w:val="3"/>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189"/>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(In thousands)</w:t>
            </w:r>
          </w:p>
        </w:tc>
        <w:tc>
          <w:tcPr>
            <w:tcW w:w="2040" w:type="dxa"/>
            <w:vAlign w:val="bottom"/>
          </w:tcPr>
          <w:p>
            <w:pPr>
              <w:spacing w:after="0"/>
              <w:rPr>
                <w:sz w:val="16"/>
                <w:szCs w:val="16"/>
                <w:color w:val="auto"/>
              </w:rPr>
            </w:pPr>
          </w:p>
        </w:tc>
      </w:tr>
      <w:tr>
        <w:trPr>
          <w:trHeight w:val="262"/>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24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1,681</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foreign exchange (loss) gain recorded in our consolidated statements of operations during fiscal 2022, 2021 and 2020 were $(1.1) million, $(1.0) million, and $0.4 million, respectively.</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10% adverse change in currency exchange rates for our foreign currency derivatives held as of July 1, 2022 would have no impact as we held no foreign currency derivatives as of July 1, 2022.</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of our international business are transacted in non-U.S. dollar currency. As discussed above, we utilize foreign currency hedging instruments to minimize the currency risk of international transactions. The impact of translating the assets and liabilities of foreign operations to U.S. dollars is included as a component of stockholders’ equity. As of July 1, 2022 and July 2, 2021, the cumulative translation adjustment decreased our stockholders’ equity by $16.0 million and $14.3 million, respectively.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cash equivalents, short-term investments and borrowings under our credit facility.</w:t>
      </w:r>
    </w:p>
    <w:p>
      <w:pPr>
        <w:spacing w:after="0" w:line="1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Exposure on Cash Equivalents and Short-term Investments</w:t>
      </w:r>
    </w:p>
    <w:p>
      <w:pPr>
        <w:spacing w:after="0" w:line="17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had $47.8 million in total cash and cash equivalents and marketable securities as of July 1, 2022. Cash equivalents and short-term investments totaled $9.0 million as of July 1, 2022 and were comprised of money market funds and certificates of deposit. Cash equivalents and short-term investments have been recorded at fair value on our consolidated balance sheets.</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to meet liquidity needs and therefore the potential effect of changing market rates on the value of securities sold.</w:t>
      </w:r>
    </w:p>
    <w:p>
      <w:pPr>
        <w:spacing w:after="0" w:line="1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primary objective of our short-term investment activities is to preserve principal while maximizing yields, without significantly increasing risk. Our cash equivalents and short-term investments earn interest at fixed rates; therefore, changes in interest rates will not generate a gain or loss on these investments unless they are sold prior to maturity. Actual gains and losses due to the sale of our investments prior to maturity have been immaterial. The investments held as of July 1, 2022, had weighted-average days to maturity of 36 days, and an average yield of 6.43% per annum. A 10% change in interest rates on our cash equivalents and short-term investments is not expected to have a material impact on our financial position, results of operations or cash flows.</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Exposure on Borrowings</w:t>
      </w:r>
    </w:p>
    <w:p>
      <w:pPr>
        <w:spacing w:after="0" w:line="17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fiscal 2022, we had no demand borrowings outstanding under our credit facility. The interest would have been at the prime rate plus a spread of 0.50% to 1.50%, with such spread determined based on our adjusted quick ratio. During fiscal 2022, our weighted average interest rate would have been 5.25%.</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These accounting principles require us to make certain estimates, judgments and assumptions. We believe that the estimates, judgments and assumptions upon which we rely are reasonable based upon information available to us.</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These estimates, judgments and assumptions can affect the reported amounts of assets and liabilities as of the date of the consolidated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22"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8"/>
          <w:szCs w:val="18"/>
          <w:color w:val="auto"/>
        </w:rPr>
        <w:t>The accounting policies that reflect our more significant estimates, judgments and assumptions and which we believe are the most critical to aid in fully understanding and evaluating our reported financial results include the following:</w:t>
      </w:r>
    </w:p>
    <w:p>
      <w:pPr>
        <w:spacing w:after="0" w:line="1"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for estimated costs to complete overtime services;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valuation and provision for excess and obsolete inventory losses; and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valuation.</w:t>
      </w:r>
    </w:p>
    <w:p>
      <w:pPr>
        <w:spacing w:after="0" w:line="17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 some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Our senior management has reviewed these critical accounting policies and related disclosures with the Audit Committee of the Board.</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is not intended to be a comprehensive list of all of our accounting policies or estimates. Our significant accounting policies are more fully described in “Note 1. The Company and Summary of Significant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Policies” in the notes to consolidated financial statements. In preparing our financial statements and accounting for the underlying transactions and balances, we apply those accounting policies. We consider the estimates discussed below as critical to an understanding of our financial statements because their application places the most significant demands on our judgment, with financial reporting results relying on estimates about the effect of matters that are inherently uncertain.</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Besides estimates that meet the “critical” accounting estimate criteria, we make many other accounting estimates in preparing our financial statements and related disclosures. All estimates, whether or not deemed critical, affect reported amounts of assets, liabilities, revenue and expenses as well as disclosures of contingent assets and liabilities. Estimates are based on experience and other information available prior to the issuance of the financial statements. Materially different results can occur as circumstances change and additional information becomes known, including for estimates that we do not deem “critical.”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Effective June 30, 2018, we adopted Financial Accounting Standards Board (“FASB”) Accounting Standards Codification (“ASC”) 606, using the modified retrospective method applied to those contracts that were not completed as of June 29, 2018. Results for the reporting periods after June 29, 2018 are presented under ASC 606, while prior period amounts are not adjusted and continue to be reported in accordance with our historical accounting under ASC 605.</w:t>
      </w:r>
    </w:p>
    <w:p>
      <w:pPr>
        <w:spacing w:after="0" w:line="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Under Financial Accounting Standards Board (“FASB”) Accounting Standards Codification (“ASC”) 606, 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3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Revenue from services includes certain network planning and design, engineering, installation and commissioning, extended warranty, customer support, consulting, training, and education. Maintenance and support services are generally offered to our customers and recognized over a specified period of time and from sales and subsequent renewals of maintenance and support contracts. The network planning and design, engineering and installation related services noted are recognized based on an over-time recognition model using the cost-input method. Certain judgment is required when estimating total contract costs and progress to completion on the over-time arrangements, as well as whether a loss is expected to be incurred on the contract. The cost estimation process for these contracts is based on the knowledge and experience of the Company’s project managers, engineers, and financial professionals. Changes in job performance and job conditions are factors that influence estimates of the total costs to complete those contracts and the Company’s revenue recognition. If circumstances arise that change the original estimates of revenues, costs, or extent of progress toward completion, revisions to the estimates are made in a timely manner. These revisions may result in increases or decreases in estimated revenues or costs, and such revisions are reflected in income in the period in which the circumstances that gave rise to the revision become known to us. We perform ongoing profitability analysis of our service contracts accounted for under this method to determine whether the latest estimates of revenues, costs, and profits require updating. In rare circumstances if these estimates indicate that the contract will be unprofitable, the entire estimated loss for the remainder of the contract is recorded immediately.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 and Provisions for Excess and Obsolete Losses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inventories have been valued at the lower of cost and net realizable value. Net realizable value is defined as the estimated selling price in the ordinary course of business, less reasonably predictable costs of completion, disposal and transportation. We balance the need to maintain prudent inventory levels to ensure competitive delivery performance with the risk of excess or obsolete inventory due to changing technology and customer requirements, and new product introductions. The manufacturing of our products is handled primarily by contract manufacturers. Our contract manufacturers procure components and manufacture our products based on our forecast of product demand. We regularly review inventory quantities on hand and record a provision for excess and obsolete inventory based primarily on our estimated forecast of product demand, the stage of the product life cycle, anticipated end of product life and production requirements. Several factors may influence the sale and use of our inventories, including decisions to exit a product line, technological change, new product development and competing product offerings. These factors could result in a change in the amount of obsolete inventory quantities on hand. Additionally, our estimates of future product demand may prove to be inaccurate, in which case the provision required for excess and obsolete inventory may be overstated or understated. In the future, if we determine that our inventory is overvalued, we would be required to recognize such costs in cost of product sales and services in our consolidated statements of operations at the time of such determination. In the case of goods which have been written down below cost at the close of a fiscal quarter, such</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reduced amount is considered the new lower cost basis for subsequent accounting purposes, and subsequent changes in facts and circumstances do not result in the restoration or increase in that newly established cost basis. We did not make any material changes in the valuation methodology during the past three fiscal years.</w:t>
      </w:r>
    </w:p>
    <w:p>
      <w:pPr>
        <w:spacing w:after="0" w:line="12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customer service inventories are stated at the lower of cost and net realizable value.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Valuation</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record the estimated future tax effects of temporary differences between the tax basis of assets and liabilities of amounts reported in our consolidated balance sheets, as well as operating loss and tax credit carryforwards. Certain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opening and closing of a tax audit or the refinement of an estimate. To the extent that the final tax outcome of these matters is different than the amounts recorded, such differences may result in an increase or decrease to our tax provision in a subsequent period in which such determination is made.</w:t>
      </w:r>
    </w:p>
    <w:p>
      <w:pPr>
        <w:spacing w:after="0" w:line="13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record deferred taxes by applying enacted statutory tax rates to the respective jurisdictions and follow specific and detailed guidelines in each tax jurisdiction regarding the recoverability of any tax assets recorded on the consolidated balance sheets and provide necessary valuation allowances as required. Future realization of deferred tax assets ultimately depends on meeting certain criteria in ASC 740, Income Taxes. One of the major criteria is the existence of sufficient taxable income of the appropriate character (for example, ordinary income or capital gain) within the carryback or carryforward periods available under the tax law. We regularly review our deferred tax assets for recoverability based on historical taxable income, projected future taxable income, the expected timing of the reversals of existing temporary differences and tax planning strategies. Our judgments regarding future profitability may change due to many factors, including future market conditions and our ability to successfully execute our business plans and/or tax planning strategies. Should there be a change in our ability to recover our deferred tax assets, our tax provision would increase or decrease in the period in which the assessment is changed.</w:t>
      </w:r>
    </w:p>
    <w:p>
      <w:pPr>
        <w:spacing w:after="0" w:line="13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accounting estimates related to the liability for uncertain tax position require us to make judgments regarding the sustainability of each uncertain tax position based on its technical merits. It is inherently difficult and subjective to estimate our reserves for the uncertain tax positions. Although we believe our estimates are reasonable, no assurance can be given that the final tax outcome of these matters will be same as these estimates. These estimates are updated quarterly based on factors such as change in facts or circumstances, changes in tax law, new audit activity, and effectively settled issues.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See “Note 1. The Company and Summary of Significant Accounting Policies” in the notes to consolidated financial statements for a full description of recently issued accounting pronouncements, including the respective expected dates of adoption and effects on our consolidated financial position and results of operations.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 For a discussion of such policies and procedures and the related risks, see “Financial Risk Management” in “Item 7. Management’s Discussion and Analysis of Financial Condition and Results of Operations,” which is incorporated by reference into this Item 7A.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Index to Financial Statements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6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10580" w:type="dxa"/>
            <w:vAlign w:val="bottom"/>
            <w:gridSpan w:val="2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243</w:t>
            </w:r>
            <w:r>
              <w:rPr>
                <w:rFonts w:ascii="Times New Roman" w:cs="Times New Roman" w:eastAsia="Times New Roman" w:hAnsi="Times New Roman"/>
                <w:sz w:val="18"/>
                <w:szCs w:val="18"/>
                <w:u w:val="single" w:color="auto"/>
                <w:color w:val="0000FF"/>
              </w:rPr>
              <w:t>)</w:t>
            </w:r>
          </w:p>
        </w:tc>
        <w:tc>
          <w:tcPr>
            <w:tcW w:w="62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shd w:val="clear" w:color="auto" w:fill="CCEEFF"/>
          </w:tcPr>
          <w:p>
            <w:pPr>
              <w:spacing w:after="0"/>
              <w:rPr>
                <w:sz w:val="17"/>
                <w:szCs w:val="17"/>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60" w:type="dxa"/>
            <w:vAlign w:val="bottom"/>
            <w:tcBorders>
              <w:top w:val="single" w:sz="8" w:color="0000FF"/>
            </w:tcBorders>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260" w:type="dxa"/>
            <w:vAlign w:val="bottom"/>
            <w:tcBorders>
              <w:top w:val="single" w:sz="8" w:color="auto"/>
            </w:tcBorders>
          </w:tcPr>
          <w:p>
            <w:pPr>
              <w:spacing w:after="0"/>
              <w:rPr>
                <w:sz w:val="16"/>
                <w:szCs w:val="16"/>
                <w:color w:val="auto"/>
              </w:rPr>
            </w:pPr>
          </w:p>
        </w:tc>
        <w:tc>
          <w:tcPr>
            <w:tcW w:w="5060" w:type="dxa"/>
            <w:vAlign w:val="bottom"/>
            <w:tcBorders>
              <w:top w:val="single" w:sz="8" w:color="CCEEFF"/>
            </w:tcBorders>
            <w:gridSpan w:val="2"/>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5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(Loss) Income</w:t>
            </w:r>
          </w:p>
        </w:tc>
        <w:tc>
          <w:tcPr>
            <w:tcW w:w="6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54</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240" w:type="dxa"/>
            <w:vAlign w:val="bottom"/>
            <w:tcBorders>
              <w:top w:val="single" w:sz="8" w:color="0000FF"/>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6340" w:type="dxa"/>
            <w:vAlign w:val="bottom"/>
            <w:tcBorders>
              <w:top w:val="single" w:sz="8" w:color="CCEEFF"/>
            </w:tcBorders>
            <w:gridSpan w:val="5"/>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880" w:type="dxa"/>
            <w:vAlign w:val="bottom"/>
            <w:tcBorders>
              <w:bottom w:val="single" w:sz="8" w:color="0000FF"/>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700" w:type="dxa"/>
            <w:vAlign w:val="bottom"/>
            <w:tcBorders>
              <w:bottom w:val="single" w:sz="8" w:color="CCEEFF"/>
            </w:tcBorders>
            <w:gridSpan w:val="11"/>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8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6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160" w:type="dxa"/>
            <w:vAlign w:val="bottom"/>
            <w:tcBorders>
              <w:bottom w:val="single" w:sz="8" w:color="0000FF"/>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420" w:type="dxa"/>
            <w:vAlign w:val="bottom"/>
            <w:tcBorders>
              <w:bottom w:val="single" w:sz="8" w:color="CCEEFF"/>
            </w:tcBorders>
            <w:gridSpan w:val="9"/>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80" w:type="dxa"/>
            <w:vAlign w:val="bottom"/>
            <w:gridSpan w:val="22"/>
          </w:tcPr>
          <w:p>
            <w:pPr>
              <w:ind w:left="460"/>
              <w:spacing w:after="0" w:line="189" w:lineRule="exact"/>
              <w:rPr>
                <w:sz w:val="20"/>
                <w:szCs w:val="20"/>
                <w:color w:val="auto"/>
              </w:rPr>
            </w:pPr>
            <w:r>
              <w:rPr>
                <w:rFonts w:ascii="Times New Roman" w:cs="Times New Roman" w:eastAsia="Times New Roman" w:hAnsi="Times New Roman"/>
                <w:sz w:val="18"/>
                <w:szCs w:val="18"/>
                <w:color w:val="0000FF"/>
              </w:rPr>
              <w:t>Note 1. The Company and Summary of Significant Accounting Policies</w:t>
            </w:r>
          </w:p>
        </w:tc>
        <w:tc>
          <w:tcPr>
            <w:tcW w:w="6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580" w:type="dxa"/>
            <w:vAlign w:val="bottom"/>
            <w:gridSpan w:val="22"/>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FF"/>
              </w:rPr>
              <w:t>Note 2. Net Income per Share of Common Stock</w:t>
            </w:r>
          </w:p>
        </w:tc>
        <w:tc>
          <w:tcPr>
            <w:tcW w:w="6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65</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22"/>
          </w:tcPr>
          <w:p>
            <w:pPr>
              <w:ind w:left="460"/>
              <w:spacing w:after="0" w:line="189" w:lineRule="exact"/>
              <w:rPr>
                <w:sz w:val="20"/>
                <w:szCs w:val="20"/>
                <w:color w:val="auto"/>
              </w:rPr>
            </w:pPr>
            <w:r>
              <w:rPr>
                <w:rFonts w:ascii="Times New Roman" w:cs="Times New Roman" w:eastAsia="Times New Roman" w:hAnsi="Times New Roman"/>
                <w:sz w:val="18"/>
                <w:szCs w:val="18"/>
                <w:color w:val="0000FF"/>
              </w:rPr>
              <w:t>Note 3. Revenue Recognition</w:t>
            </w:r>
          </w:p>
        </w:tc>
        <w:tc>
          <w:tcPr>
            <w:tcW w:w="6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580" w:type="dxa"/>
            <w:vAlign w:val="bottom"/>
            <w:gridSpan w:val="22"/>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FF"/>
              </w:rPr>
              <w:t>Note 4. Leases</w:t>
            </w:r>
          </w:p>
        </w:tc>
        <w:tc>
          <w:tcPr>
            <w:tcW w:w="6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64</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22"/>
          </w:tcPr>
          <w:p>
            <w:pPr>
              <w:ind w:left="460"/>
              <w:spacing w:after="0" w:line="189" w:lineRule="exact"/>
              <w:rPr>
                <w:sz w:val="20"/>
                <w:szCs w:val="20"/>
                <w:color w:val="auto"/>
              </w:rPr>
            </w:pPr>
            <w:r>
              <w:rPr>
                <w:rFonts w:ascii="Times New Roman" w:cs="Times New Roman" w:eastAsia="Times New Roman" w:hAnsi="Times New Roman"/>
                <w:sz w:val="18"/>
                <w:szCs w:val="18"/>
                <w:color w:val="0000FF"/>
              </w:rPr>
              <w:t>Note 5. Balance Sheet Components</w:t>
            </w:r>
          </w:p>
        </w:tc>
        <w:tc>
          <w:tcPr>
            <w:tcW w:w="6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580" w:type="dxa"/>
            <w:vAlign w:val="bottom"/>
            <w:gridSpan w:val="22"/>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FF"/>
              </w:rPr>
              <w:t>Note 6. Fair Value Measurements of Assets and Liabilities</w:t>
            </w:r>
          </w:p>
        </w:tc>
        <w:tc>
          <w:tcPr>
            <w:tcW w:w="6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72</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22"/>
          </w:tcPr>
          <w:p>
            <w:pPr>
              <w:ind w:left="460"/>
              <w:spacing w:after="0" w:line="189" w:lineRule="exact"/>
              <w:rPr>
                <w:sz w:val="20"/>
                <w:szCs w:val="20"/>
                <w:color w:val="auto"/>
              </w:rPr>
            </w:pPr>
            <w:r>
              <w:rPr>
                <w:rFonts w:ascii="Times New Roman" w:cs="Times New Roman" w:eastAsia="Times New Roman" w:hAnsi="Times New Roman"/>
                <w:sz w:val="18"/>
                <w:szCs w:val="18"/>
                <w:color w:val="0000FF"/>
              </w:rPr>
              <w:t>Note 7. Credit Facility and Debt</w:t>
            </w:r>
          </w:p>
        </w:tc>
        <w:tc>
          <w:tcPr>
            <w:tcW w:w="6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73</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580" w:type="dxa"/>
            <w:vAlign w:val="bottom"/>
            <w:gridSpan w:val="22"/>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FF"/>
              </w:rPr>
              <w:t>Note 8. Restructuring Activities</w:t>
            </w:r>
          </w:p>
        </w:tc>
        <w:tc>
          <w:tcPr>
            <w:tcW w:w="6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74</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22"/>
          </w:tcPr>
          <w:p>
            <w:pPr>
              <w:ind w:left="460"/>
              <w:spacing w:after="0" w:line="189" w:lineRule="exact"/>
              <w:rPr>
                <w:sz w:val="20"/>
                <w:szCs w:val="20"/>
                <w:color w:val="auto"/>
              </w:rPr>
            </w:pPr>
            <w:r>
              <w:rPr>
                <w:rFonts w:ascii="Times New Roman" w:cs="Times New Roman" w:eastAsia="Times New Roman" w:hAnsi="Times New Roman"/>
                <w:sz w:val="18"/>
                <w:szCs w:val="18"/>
                <w:color w:val="0000FF"/>
              </w:rPr>
              <w:t>Note 9. Stockholders’ Equity</w:t>
            </w:r>
          </w:p>
        </w:tc>
        <w:tc>
          <w:tcPr>
            <w:tcW w:w="6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580" w:type="dxa"/>
            <w:vAlign w:val="bottom"/>
            <w:gridSpan w:val="22"/>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FF"/>
              </w:rPr>
              <w:t>Note 10. Segment and Geographic Information</w:t>
            </w:r>
          </w:p>
        </w:tc>
        <w:tc>
          <w:tcPr>
            <w:tcW w:w="6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22"/>
          </w:tcPr>
          <w:p>
            <w:pPr>
              <w:ind w:left="460"/>
              <w:spacing w:after="0" w:line="189" w:lineRule="exact"/>
              <w:rPr>
                <w:sz w:val="20"/>
                <w:szCs w:val="20"/>
                <w:color w:val="auto"/>
              </w:rPr>
            </w:pPr>
            <w:r>
              <w:rPr>
                <w:rFonts w:ascii="Times New Roman" w:cs="Times New Roman" w:eastAsia="Times New Roman" w:hAnsi="Times New Roman"/>
                <w:sz w:val="18"/>
                <w:szCs w:val="18"/>
                <w:color w:val="0000FF"/>
              </w:rPr>
              <w:t>Note 11. Income Taxes</w:t>
            </w:r>
          </w:p>
        </w:tc>
        <w:tc>
          <w:tcPr>
            <w:tcW w:w="6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80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580" w:type="dxa"/>
            <w:vAlign w:val="bottom"/>
            <w:gridSpan w:val="22"/>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FF"/>
              </w:rPr>
              <w:t>Note 12. Commitments and Contingencies</w:t>
            </w:r>
          </w:p>
        </w:tc>
        <w:tc>
          <w:tcPr>
            <w:tcW w:w="6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84</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80" w:type="dxa"/>
            <w:vAlign w:val="bottom"/>
            <w:gridSpan w:val="22"/>
          </w:tcPr>
          <w:p>
            <w:pPr>
              <w:ind w:left="460"/>
              <w:spacing w:after="0" w:line="189" w:lineRule="exact"/>
              <w:rPr>
                <w:sz w:val="20"/>
                <w:szCs w:val="20"/>
                <w:color w:val="auto"/>
              </w:rPr>
            </w:pPr>
            <w:r>
              <w:rPr>
                <w:rFonts w:ascii="Times New Roman" w:cs="Times New Roman" w:eastAsia="Times New Roman" w:hAnsi="Times New Roman"/>
                <w:sz w:val="18"/>
                <w:szCs w:val="18"/>
                <w:color w:val="0000FF"/>
              </w:rPr>
              <w:t>Note 13 Subsequent Event</w:t>
            </w:r>
          </w:p>
        </w:tc>
        <w:tc>
          <w:tcPr>
            <w:tcW w:w="6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9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Networks,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Aviat Networks, Inc. (the “Company”) as of July 1, 2022 and July 2, 2021, the related consolidated statements of operations, comprehensive (loss) income, equity, and cash flows for each of the three fiscal years in the period ended July 1, 2022, the related notes and the financial statement schedule - Valuation and Qualifying Accounts (collectively referred to as the “consolidated financial statements”). In our opinion, the consolidated financial statements present fairly, in all material respects, the financial position of the Company at July 1, 2022 and July 2, 2021, and the results of its operations and its cash flows for each of the three fiscal years in the period ended July 1, 2022, in conformity with accounting principles generally accepted in the United States of America.</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July 1, 2022, based on criteria established in Internal Control – Integrated Framework (2013) issued by the Committee of Sponsoring Organizations of the Treadway Commission (“COSO”) and our report dated September 14, 2022 expressed an unqualified opinion thereon.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 Estimated Costs to Complete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Note 3 to the consolidated financial statements, revenues from network planning and design, engineering and installation-related services are recognized based on an overtime recognition model using the cost-input method. The cost estimation process for these contracts is based on the knowledge and experience of the Company’s project managers, engineers, and financial professionals. Changes in job performance and job conditions are factors that influence estimates of the total costs to complete those contracts and the Company’s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estimated costs to complete for open and ongoing over-time revenue contracts at year end as a critical audit matter. The determination of the total estimated cost and progress toward completion requires management to make significant estimates and assumptions. Changes in these estimates or timing of when the costs occur can have a significant impact on the revenue recognized each period. Auditing these elements involved especially challenging and subjective auditor judgment in evaluating the reasonableness of management’s assumptions and estimates over the duration of these contracts.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85" w:lineRule="exact"/>
        <w:rPr>
          <w:sz w:val="20"/>
          <w:szCs w:val="20"/>
          <w:color w:val="auto"/>
        </w:rPr>
      </w:pPr>
    </w:p>
    <w:p>
      <w:pPr>
        <w:ind w:left="660" w:hanging="328"/>
        <w:spacing w:after="0" w:line="271" w:lineRule="auto"/>
        <w:tabs>
          <w:tab w:leader="none" w:pos="649"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Testing the design and operating effectiveness of certain controls related to estimated costs to complete, including controls over management’s review of cost estimates.</w:t>
      </w:r>
    </w:p>
    <w:p>
      <w:pPr>
        <w:spacing w:after="0" w:line="127" w:lineRule="exact"/>
        <w:rPr>
          <w:rFonts w:ascii="Times New Roman" w:cs="Times New Roman" w:eastAsia="Times New Roman" w:hAnsi="Times New Roman"/>
          <w:sz w:val="20"/>
          <w:szCs w:val="20"/>
          <w:color w:val="auto"/>
        </w:rPr>
      </w:pPr>
    </w:p>
    <w:p>
      <w:pPr>
        <w:ind w:left="660" w:right="20" w:hanging="328"/>
        <w:spacing w:after="0" w:line="255" w:lineRule="auto"/>
        <w:tabs>
          <w:tab w:leader="none" w:pos="6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Evaluating the reasonableness of a sample of project budgets for projects completed during the year through a retrospective review against actual performance at project completion.</w:t>
      </w:r>
    </w:p>
    <w:p>
      <w:pPr>
        <w:spacing w:after="0" w:line="143" w:lineRule="exact"/>
        <w:rPr>
          <w:rFonts w:ascii="Times New Roman" w:cs="Times New Roman" w:eastAsia="Times New Roman" w:hAnsi="Times New Roman"/>
          <w:sz w:val="20"/>
          <w:szCs w:val="20"/>
          <w:color w:val="auto"/>
        </w:rPr>
      </w:pPr>
    </w:p>
    <w:p>
      <w:pPr>
        <w:jc w:val="both"/>
        <w:ind w:left="660" w:hanging="328"/>
        <w:spacing w:after="0" w:line="255" w:lineRule="auto"/>
        <w:tabs>
          <w:tab w:leader="none" w:pos="649"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Assessing the reasonableness of the estimated costs to complete for a sample of open projects through: (i) evaluating the reasonableness of project budgets and the nature of costs required to complete open projects, (ii) assessing the status of completion of respective projects through testing of a sample of project costs incurred to date, (iii) evaluating the reasonableness of project status by performing inquiries of project managers and assessing the nature of activities required to complete open projects, and (iv) performing retrospective review on closed projects and investigating budget to actual variances (if any).</w:t>
      </w:r>
    </w:p>
    <w:p>
      <w:pPr>
        <w:spacing w:after="0" w:line="144"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Assessing the reasonableness of project margins and changes in estimated costs to complete and investigating reasons for changes.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Aviat Networks,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We have audited Aviat Networks, Inc.’s (the “Company’s”) internal control over financial reporting as of July 1, 2022, based on criteria established in </w:t>
      </w:r>
      <w:r>
        <w:rPr>
          <w:rFonts w:ascii="Times New Roman" w:cs="Times New Roman" w:eastAsia="Times New Roman" w:hAnsi="Times New Roman"/>
          <w:sz w:val="21"/>
          <w:szCs w:val="21"/>
          <w:i w:val="1"/>
          <w:iCs w:val="1"/>
          <w:color w:val="auto"/>
        </w:rPr>
        <w:t xml:space="preserve">Internal Control – Integrated Framework (2013) </w:t>
      </w:r>
      <w:r>
        <w:rPr>
          <w:rFonts w:ascii="Times New Roman" w:cs="Times New Roman" w:eastAsia="Times New Roman" w:hAnsi="Times New Roman"/>
          <w:sz w:val="17"/>
          <w:szCs w:val="17"/>
          <w:color w:val="auto"/>
        </w:rPr>
        <w:t>issued by the Committee of Sponsoring Organizations of the Treadway Commission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17"/>
          <w:szCs w:val="17"/>
          <w:color w:val="auto"/>
        </w:rPr>
        <w:t>“COSO criteria”). In our opinion, the Company maintained, in all material respects, effective internal control over financial reporting as of September 14,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based on the COSO criteria</w:t>
      </w:r>
      <w:r>
        <w:rPr>
          <w:rFonts w:ascii="Times New Roman" w:cs="Times New Roman" w:eastAsia="Times New Roman" w:hAnsi="Times New Roman"/>
          <w:sz w:val="21"/>
          <w:szCs w:val="21"/>
          <w:i w:val="1"/>
          <w:iCs w:val="1"/>
          <w:color w:val="auto"/>
        </w:rPr>
        <w:t>.</w:t>
      </w:r>
    </w:p>
    <w:p>
      <w:pPr>
        <w:spacing w:after="0" w:line="2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July 1, 2022 and July 2, 2021, the related consolidated statements of operations, comprehensive (loss) income, equity, and cash flows for each of the three fiscal years in the period ended July 1, 2022, the related notes and the financial statement schedule - Valuation and Qualifying Accounts and our report dated September 14, 2022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14, 2022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91"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240" w:type="dxa"/>
            <w:vAlign w:val="bottom"/>
          </w:tcPr>
          <w:p>
            <w:pPr>
              <w:spacing w:after="0"/>
              <w:rPr>
                <w:sz w:val="11"/>
                <w:szCs w:val="11"/>
                <w:color w:val="auto"/>
              </w:rPr>
            </w:pPr>
          </w:p>
        </w:tc>
        <w:tc>
          <w:tcPr>
            <w:tcW w:w="102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July 1,</w:t>
            </w:r>
          </w:p>
        </w:tc>
        <w:tc>
          <w:tcPr>
            <w:tcW w:w="260" w:type="dxa"/>
            <w:vAlign w:val="bottom"/>
          </w:tcPr>
          <w:p>
            <w:pPr>
              <w:spacing w:after="0"/>
              <w:rPr>
                <w:sz w:val="11"/>
                <w:szCs w:val="11"/>
                <w:color w:val="auto"/>
              </w:rPr>
            </w:pPr>
          </w:p>
        </w:tc>
        <w:tc>
          <w:tcPr>
            <w:tcW w:w="102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40" w:type="dxa"/>
            <w:vAlign w:val="bottom"/>
          </w:tcPr>
          <w:p>
            <w:pPr>
              <w:spacing w:after="0"/>
              <w:rPr>
                <w:sz w:val="11"/>
                <w:szCs w:val="11"/>
                <w:color w:val="auto"/>
              </w:rPr>
            </w:pPr>
          </w:p>
        </w:tc>
        <w:tc>
          <w:tcPr>
            <w:tcW w:w="920" w:type="dxa"/>
            <w:vAlign w:val="bottom"/>
          </w:tcPr>
          <w:p>
            <w:pPr>
              <w:jc w:val="right"/>
              <w:ind w:right="292"/>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95"/>
        </w:trPr>
        <w:tc>
          <w:tcPr>
            <w:tcW w:w="75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product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208,100</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185,787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153,793</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84,849</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238,642</w:t>
            </w:r>
          </w:p>
        </w:tc>
        <w:tc>
          <w:tcPr>
            <w:tcW w:w="0" w:type="dxa"/>
            <w:vAlign w:val="bottom"/>
          </w:tcPr>
          <w:p>
            <w:pPr>
              <w:spacing w:after="0"/>
              <w:rPr>
                <w:sz w:val="1"/>
                <w:szCs w:val="1"/>
                <w:color w:val="auto"/>
              </w:rPr>
            </w:pPr>
          </w:p>
        </w:tc>
      </w:tr>
      <w:tr>
        <w:trPr>
          <w:trHeight w:val="20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95,321</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58,625</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153,946</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84,696</w:t>
            </w: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19,284</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57,985</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81,318</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21"/>
        </w:trPr>
        <w:tc>
          <w:tcPr>
            <w:tcW w:w="75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21,160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110,139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0" w:type="dxa"/>
            <w:vAlign w:val="bottom"/>
          </w:tcPr>
          <w:p>
            <w:pPr>
              <w:spacing w:after="0"/>
              <w:rPr>
                <w:sz w:val="1"/>
                <w:szCs w:val="1"/>
                <w:color w:val="auto"/>
              </w:rPr>
            </w:pPr>
          </w:p>
        </w:tc>
      </w:tr>
      <w:tr>
        <w:trPr>
          <w:trHeight w:val="234"/>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10,936</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1"/>
                <w:szCs w:val="11"/>
                <w:color w:val="auto"/>
              </w:rPr>
            </w:pPr>
          </w:p>
        </w:tc>
        <w:tc>
          <w:tcPr>
            <w:tcW w:w="102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July 1,</w:t>
            </w:r>
          </w:p>
        </w:tc>
        <w:tc>
          <w:tcPr>
            <w:tcW w:w="260" w:type="dxa"/>
            <w:vAlign w:val="bottom"/>
          </w:tcPr>
          <w:p>
            <w:pPr>
              <w:spacing w:after="0"/>
              <w:rPr>
                <w:sz w:val="11"/>
                <w:szCs w:val="11"/>
                <w:color w:val="auto"/>
              </w:rPr>
            </w:pPr>
          </w:p>
        </w:tc>
        <w:tc>
          <w:tcPr>
            <w:tcW w:w="10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240" w:type="dxa"/>
            <w:vAlign w:val="bottom"/>
          </w:tcPr>
          <w:p>
            <w:pPr>
              <w:spacing w:after="0"/>
              <w:rPr>
                <w:sz w:val="11"/>
                <w:szCs w:val="11"/>
                <w:color w:val="auto"/>
              </w:rPr>
            </w:pPr>
          </w:p>
        </w:tc>
        <w:tc>
          <w:tcPr>
            <w:tcW w:w="920" w:type="dxa"/>
            <w:vAlign w:val="bottom"/>
          </w:tcPr>
          <w:p>
            <w:pPr>
              <w:jc w:val="right"/>
              <w:ind w:right="296"/>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21,160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change in cumulative translation adjustment, net of tax</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(1,702)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8"/>
              </w:rPr>
              <w:t>(1,702)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19,458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par value amounts)</w:t>
            </w:r>
          </w:p>
        </w:tc>
        <w:tc>
          <w:tcPr>
            <w:tcW w:w="16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160" w:type="dxa"/>
            <w:vAlign w:val="bottom"/>
          </w:tcPr>
          <w:p>
            <w:pPr>
              <w:spacing w:after="0"/>
              <w:rPr>
                <w:sz w:val="16"/>
                <w:szCs w:val="16"/>
                <w:color w:val="auto"/>
              </w:rPr>
            </w:pP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July 2, 2021</w:t>
            </w:r>
          </w:p>
        </w:tc>
      </w:tr>
      <w:tr>
        <w:trPr>
          <w:trHeight w:val="23"/>
        </w:trPr>
        <w:tc>
          <w:tcPr>
            <w:tcW w:w="8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47,942</w:t>
            </w:r>
          </w:p>
        </w:tc>
      </w:tr>
      <w:tr>
        <w:trPr>
          <w:trHeight w:val="230"/>
        </w:trPr>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48,135</w:t>
            </w:r>
          </w:p>
        </w:tc>
      </w:tr>
      <w:tr>
        <w:trPr>
          <w:trHeight w:val="229"/>
        </w:trPr>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37,521</w:t>
            </w:r>
          </w:p>
        </w:tc>
      </w:tr>
      <w:tr>
        <w:trPr>
          <w:trHeight w:val="230"/>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23,436</w:t>
            </w:r>
          </w:p>
        </w:tc>
      </w:tr>
      <w:tr>
        <w:trPr>
          <w:trHeight w:val="229"/>
        </w:trPr>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service inventories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r>
      <w:tr>
        <w:trPr>
          <w:trHeight w:val="22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 held for sale</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r>
      <w:tr>
        <w:trPr>
          <w:trHeight w:val="230"/>
        </w:trPr>
        <w:tc>
          <w:tcPr>
            <w:tcW w:w="8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9,556</w:t>
            </w:r>
          </w:p>
        </w:tc>
      </w:tr>
      <w:tr>
        <w:trPr>
          <w:trHeight w:val="223"/>
        </w:trPr>
        <w:tc>
          <w:tcPr>
            <w:tcW w:w="8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170,239</w:t>
            </w: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11,701</w:t>
            </w:r>
          </w:p>
        </w:tc>
      </w:tr>
      <w:tr>
        <w:trPr>
          <w:trHeight w:val="22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103,467</w:t>
            </w: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w:t>
            </w:r>
          </w:p>
        </w:tc>
      </w:tr>
      <w:tr>
        <w:trPr>
          <w:trHeight w:val="22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w:t>
            </w:r>
          </w:p>
        </w:tc>
      </w:tr>
      <w:tr>
        <w:trPr>
          <w:trHeight w:val="223"/>
        </w:trPr>
        <w:tc>
          <w:tcPr>
            <w:tcW w:w="8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323,904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297,653</w:t>
            </w: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8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32,405</w:t>
            </w:r>
          </w:p>
        </w:tc>
      </w:tr>
      <w:tr>
        <w:trPr>
          <w:trHeight w:val="230"/>
        </w:trPr>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28,154</w:t>
            </w:r>
          </w:p>
        </w:tc>
      </w:tr>
      <w:tr>
        <w:trPr>
          <w:trHeight w:val="230"/>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29"/>
        </w:trPr>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32,304</w:t>
            </w:r>
          </w:p>
        </w:tc>
      </w:tr>
      <w:tr>
        <w:trPr>
          <w:trHeight w:val="230"/>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r>
      <w:tr>
        <w:trPr>
          <w:trHeight w:val="223"/>
        </w:trPr>
        <w:tc>
          <w:tcPr>
            <w:tcW w:w="8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96,369</w:t>
            </w:r>
          </w:p>
        </w:tc>
      </w:tr>
      <w:tr>
        <w:trPr>
          <w:trHeight w:val="23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w:t>
            </w: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r>
      <w:tr>
        <w:trPr>
          <w:trHeight w:val="22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uncertain tax positions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r>
      <w:tr>
        <w:trPr>
          <w:trHeight w:val="23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23"/>
        </w:trPr>
        <w:tc>
          <w:tcPr>
            <w:tcW w:w="8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114,318</w:t>
            </w:r>
          </w:p>
        </w:tc>
      </w:tr>
      <w:tr>
        <w:trPr>
          <w:trHeight w:val="23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$0.01 par value; 50,000,000 shares authorized; none issued</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7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300,000,000 shares authorized; 11,160,160 and 11,153,445 shares issued and</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as of July 1, 2022 and July 2, 2021, respectively</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194,943 and 19,587 shares as of July 1, 2022 and July 2, 2021, respectively</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9"/>
        </w:trPr>
        <w:tc>
          <w:tcPr>
            <w:tcW w:w="8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818,939</w:t>
            </w:r>
          </w:p>
        </w:tc>
      </w:tr>
      <w:tr>
        <w:trPr>
          <w:trHeight w:val="230"/>
        </w:trPr>
        <w:tc>
          <w:tcPr>
            <w:tcW w:w="8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(620,602)</w:t>
            </w:r>
          </w:p>
        </w:tc>
      </w:tr>
      <w:tr>
        <w:trPr>
          <w:trHeight w:val="230"/>
        </w:trPr>
        <w:tc>
          <w:tcPr>
            <w:tcW w:w="8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(14,327)</w:t>
            </w:r>
          </w:p>
        </w:tc>
      </w:tr>
      <w:tr>
        <w:trPr>
          <w:trHeight w:val="223"/>
        </w:trPr>
        <w:tc>
          <w:tcPr>
            <w:tcW w:w="8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201,753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183,335</w:t>
            </w:r>
          </w:p>
        </w:tc>
      </w:tr>
      <w:tr>
        <w:trPr>
          <w:trHeight w:val="223"/>
        </w:trPr>
        <w:tc>
          <w:tcPr>
            <w:tcW w:w="8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323,904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297,653</w:t>
            </w:r>
          </w:p>
        </w:tc>
      </w:tr>
      <w:tr>
        <w:trPr>
          <w:trHeight w:val="21"/>
        </w:trPr>
        <w:tc>
          <w:tcPr>
            <w:tcW w:w="8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1"/>
                <w:szCs w:val="11"/>
                <w:color w:val="auto"/>
              </w:rPr>
            </w:pPr>
          </w:p>
        </w:tc>
        <w:tc>
          <w:tcPr>
            <w:tcW w:w="102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July 1,</w:t>
            </w:r>
          </w:p>
        </w:tc>
        <w:tc>
          <w:tcPr>
            <w:tcW w:w="260" w:type="dxa"/>
            <w:vAlign w:val="bottom"/>
          </w:tcPr>
          <w:p>
            <w:pPr>
              <w:spacing w:after="0"/>
              <w:rPr>
                <w:sz w:val="11"/>
                <w:szCs w:val="11"/>
                <w:color w:val="auto"/>
              </w:rPr>
            </w:pPr>
          </w:p>
        </w:tc>
        <w:tc>
          <w:tcPr>
            <w:tcW w:w="10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40" w:type="dxa"/>
            <w:vAlign w:val="bottom"/>
          </w:tcPr>
          <w:p>
            <w:pPr>
              <w:spacing w:after="0"/>
              <w:rPr>
                <w:sz w:val="11"/>
                <w:szCs w:val="11"/>
                <w:color w:val="auto"/>
              </w:rPr>
            </w:pPr>
          </w:p>
        </w:tc>
        <w:tc>
          <w:tcPr>
            <w:tcW w:w="920" w:type="dxa"/>
            <w:vAlign w:val="bottom"/>
          </w:tcPr>
          <w:p>
            <w:pPr>
              <w:jc w:val="right"/>
              <w:ind w:right="291"/>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95"/>
        </w:trPr>
        <w:tc>
          <w:tcPr>
            <w:tcW w:w="75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4"/>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21,160</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110,139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(recovery from) uncollectible receivables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9"/>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Charges for inventory and customer service inventory write-downs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disposition of property, plant and equipment, net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gain on marketable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Gains on sale of assets held for sale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29"/>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service inventories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3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0" w:type="dxa"/>
            <w:vAlign w:val="bottom"/>
          </w:tcPr>
          <w:p>
            <w:pPr>
              <w:spacing w:after="0"/>
              <w:rPr>
                <w:sz w:val="1"/>
                <w:szCs w:val="1"/>
                <w:color w:val="auto"/>
              </w:rPr>
            </w:pPr>
          </w:p>
        </w:tc>
      </w:tr>
      <w:tr>
        <w:trPr>
          <w:trHeight w:val="23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 or receivable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3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lease liabilities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17,493</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acquisition of property, plant and equipment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asset held for sale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41,911</w:t>
            </w:r>
          </w:p>
        </w:tc>
        <w:tc>
          <w:tcPr>
            <w:tcW w:w="0" w:type="dxa"/>
            <w:vAlign w:val="bottom"/>
          </w:tcPr>
          <w:p>
            <w:pPr>
              <w:spacing w:after="0"/>
              <w:rPr>
                <w:sz w:val="1"/>
                <w:szCs w:val="1"/>
                <w:color w:val="auto"/>
              </w:rPr>
            </w:pPr>
          </w:p>
        </w:tc>
      </w:tr>
      <w:tr>
        <w:trPr>
          <w:trHeight w:val="230"/>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borrowings</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repurchase of common stock</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0" w:type="dxa"/>
            <w:vAlign w:val="bottom"/>
          </w:tcPr>
          <w:p>
            <w:pPr>
              <w:spacing w:after="0"/>
              <w:rPr>
                <w:sz w:val="1"/>
                <w:szCs w:val="1"/>
                <w:color w:val="auto"/>
              </w:rPr>
            </w:pPr>
          </w:p>
        </w:tc>
      </w:tr>
      <w:tr>
        <w:trPr>
          <w:trHeight w:val="229"/>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repurchase of common stock - treasury shares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taxes related to net settlement of equity awards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plans and exercises of stock options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year</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32,201</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year</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41,872</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6"/>
        </w:trPr>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1"/>
                <w:szCs w:val="11"/>
                <w:color w:val="auto"/>
              </w:rPr>
            </w:pPr>
          </w:p>
        </w:tc>
        <w:tc>
          <w:tcPr>
            <w:tcW w:w="102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July 1,</w:t>
            </w:r>
          </w:p>
        </w:tc>
        <w:tc>
          <w:tcPr>
            <w:tcW w:w="260" w:type="dxa"/>
            <w:vAlign w:val="bottom"/>
          </w:tcPr>
          <w:p>
            <w:pPr>
              <w:spacing w:after="0"/>
              <w:rPr>
                <w:sz w:val="11"/>
                <w:szCs w:val="11"/>
                <w:color w:val="auto"/>
              </w:rPr>
            </w:pPr>
          </w:p>
        </w:tc>
        <w:tc>
          <w:tcPr>
            <w:tcW w:w="102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40" w:type="dxa"/>
            <w:vAlign w:val="bottom"/>
          </w:tcPr>
          <w:p>
            <w:pPr>
              <w:spacing w:after="0"/>
              <w:rPr>
                <w:sz w:val="11"/>
                <w:szCs w:val="11"/>
                <w:color w:val="auto"/>
              </w:rPr>
            </w:pPr>
          </w:p>
        </w:tc>
        <w:tc>
          <w:tcPr>
            <w:tcW w:w="920" w:type="dxa"/>
            <w:vAlign w:val="bottom"/>
          </w:tcPr>
          <w:p>
            <w:pPr>
              <w:jc w:val="right"/>
              <w:ind w:right="294"/>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95"/>
        </w:trPr>
        <w:tc>
          <w:tcPr>
            <w:tcW w:w="75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Unpaid property, plant and equipment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(received) paid for income taxes,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2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234315</wp:posOffset>
            </wp:positionV>
            <wp:extent cx="51517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tcPr>
          <w:p>
            <w:pPr>
              <w:spacing w:after="0"/>
              <w:rPr>
                <w:sz w:val="15"/>
                <w:szCs w:val="15"/>
                <w:color w:val="auto"/>
              </w:rPr>
            </w:pPr>
          </w:p>
        </w:tc>
        <w:tc>
          <w:tcPr>
            <w:tcW w:w="2080" w:type="dxa"/>
            <w:vAlign w:val="bottom"/>
            <w:gridSpan w:val="5"/>
          </w:tcPr>
          <w:p>
            <w:pPr>
              <w:ind w:left="5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500" w:type="dxa"/>
            <w:vAlign w:val="bottom"/>
            <w:gridSpan w:val="4"/>
          </w:tcPr>
          <w:p>
            <w:pPr>
              <w:jc w:val="right"/>
              <w:ind w:right="268"/>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2"/>
                <w:szCs w:val="12"/>
                <w:color w:val="auto"/>
              </w:rPr>
            </w:pPr>
          </w:p>
        </w:tc>
        <w:tc>
          <w:tcPr>
            <w:tcW w:w="940" w:type="dxa"/>
            <w:vAlign w:val="bottom"/>
            <w:vMerge w:val="restart"/>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share amounts)</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20" w:type="dxa"/>
            <w:vAlign w:val="bottom"/>
          </w:tcPr>
          <w:p>
            <w:pPr>
              <w:spacing w:after="0"/>
              <w:rPr>
                <w:sz w:val="10"/>
                <w:szCs w:val="10"/>
                <w:color w:val="auto"/>
              </w:rPr>
            </w:pPr>
          </w:p>
        </w:tc>
        <w:tc>
          <w:tcPr>
            <w:tcW w:w="940" w:type="dxa"/>
            <w:vAlign w:val="bottom"/>
          </w:tcPr>
          <w:p>
            <w:pPr>
              <w:jc w:val="center"/>
              <w:ind w:right="49"/>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83"/>
        </w:trPr>
        <w:tc>
          <w:tcPr>
            <w:tcW w:w="2980" w:type="dxa"/>
            <w:vAlign w:val="bottom"/>
            <w:vMerge w:val="continue"/>
          </w:tcPr>
          <w:p>
            <w:pPr>
              <w:spacing w:after="0"/>
              <w:rPr>
                <w:sz w:val="15"/>
                <w:szCs w:val="15"/>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Amount</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w w:val="94"/>
              </w:rPr>
              <w:t>$ Amount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5"/>
                <w:szCs w:val="15"/>
                <w:color w:val="auto"/>
              </w:rPr>
            </w:pPr>
          </w:p>
        </w:tc>
        <w:tc>
          <w:tcPr>
            <w:tcW w:w="94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0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28, 2019</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10,719,390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815,142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(730,998)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(12,736)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71,516</w:t>
            </w:r>
          </w:p>
        </w:tc>
        <w:tc>
          <w:tcPr>
            <w:tcW w:w="0" w:type="dxa"/>
            <w:vAlign w:val="bottom"/>
          </w:tcPr>
          <w:p>
            <w:pPr>
              <w:spacing w:after="0"/>
              <w:rPr>
                <w:sz w:val="1"/>
                <w:szCs w:val="1"/>
                <w:color w:val="auto"/>
              </w:rPr>
            </w:pPr>
          </w:p>
        </w:tc>
      </w:tr>
      <w:tr>
        <w:trPr>
          <w:trHeight w:val="19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under employee stock</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450,112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Shares withheld for taxes related to vesting of</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(112,482)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awards</w:t>
            </w: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1,686</w:t>
            </w:r>
          </w:p>
        </w:tc>
        <w:tc>
          <w:tcPr>
            <w:tcW w:w="0" w:type="dxa"/>
            <w:vAlign w:val="bottom"/>
          </w:tcPr>
          <w:p>
            <w:pPr>
              <w:spacing w:after="0"/>
              <w:rPr>
                <w:sz w:val="1"/>
                <w:szCs w:val="1"/>
                <w:color w:val="auto"/>
              </w:rPr>
            </w:pPr>
          </w:p>
        </w:tc>
      </w:tr>
      <w:tr>
        <w:trPr>
          <w:trHeight w:val="19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3, 2020</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10,800,974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814,283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(730,741)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(14,969)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68,681</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110,139</w:t>
            </w:r>
          </w:p>
        </w:tc>
        <w:tc>
          <w:tcPr>
            <w:tcW w:w="0" w:type="dxa"/>
            <w:vAlign w:val="bottom"/>
          </w:tcPr>
          <w:p>
            <w:pPr>
              <w:spacing w:after="0"/>
              <w:rPr>
                <w:sz w:val="1"/>
                <w:szCs w:val="1"/>
                <w:color w:val="auto"/>
              </w:rPr>
            </w:pPr>
          </w:p>
        </w:tc>
      </w:tr>
      <w:tr>
        <w:trPr>
          <w:trHeight w:val="19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142"/>
        </w:trPr>
        <w:tc>
          <w:tcPr>
            <w:tcW w:w="2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under employee stock</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1,906</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withheld for taxes related to vesting of</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(13,366)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9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awards</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0" w:type="dxa"/>
            <w:vAlign w:val="bottom"/>
          </w:tcPr>
          <w:p>
            <w:pPr>
              <w:spacing w:after="0"/>
              <w:rPr>
                <w:sz w:val="1"/>
                <w:szCs w:val="1"/>
                <w:color w:val="auto"/>
              </w:rPr>
            </w:pPr>
          </w:p>
        </w:tc>
      </w:tr>
      <w:tr>
        <w:trPr>
          <w:trHeight w:val="19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2,921</w:t>
            </w:r>
          </w:p>
        </w:tc>
        <w:tc>
          <w:tcPr>
            <w:tcW w:w="0" w:type="dxa"/>
            <w:vAlign w:val="bottom"/>
          </w:tcPr>
          <w:p>
            <w:pPr>
              <w:spacing w:after="0"/>
              <w:rPr>
                <w:sz w:val="1"/>
                <w:szCs w:val="1"/>
                <w:color w:val="auto"/>
              </w:rPr>
            </w:pPr>
          </w:p>
        </w:tc>
      </w:tr>
      <w:tr>
        <w:trPr>
          <w:trHeight w:val="20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2,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11,153,445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19,587</w:t>
            </w: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(787)</w:t>
            </w: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818,939</w:t>
            </w: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(620,602)</w:t>
            </w: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(14,327)</w:t>
            </w: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183,335</w:t>
            </w:r>
          </w:p>
        </w:tc>
        <w:tc>
          <w:tcPr>
            <w:tcW w:w="0" w:type="dxa"/>
            <w:vAlign w:val="bottom"/>
          </w:tcPr>
          <w:p>
            <w:pPr>
              <w:spacing w:after="0"/>
              <w:rPr>
                <w:sz w:val="1"/>
                <w:szCs w:val="1"/>
                <w:color w:val="auto"/>
              </w:rPr>
            </w:pPr>
          </w:p>
        </w:tc>
      </w:tr>
      <w:tr>
        <w:trPr>
          <w:trHeight w:val="19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21,160</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0" w:type="dxa"/>
            <w:vAlign w:val="bottom"/>
          </w:tcPr>
          <w:p>
            <w:pPr>
              <w:spacing w:after="0"/>
              <w:rPr>
                <w:sz w:val="1"/>
                <w:szCs w:val="1"/>
                <w:color w:val="auto"/>
              </w:rPr>
            </w:pPr>
          </w:p>
        </w:tc>
      </w:tr>
      <w:tr>
        <w:trPr>
          <w:trHeight w:val="135"/>
        </w:trPr>
        <w:tc>
          <w:tcPr>
            <w:tcW w:w="29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under employee stock</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198,143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19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Shares withheld for taxes related to vesting of</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20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awards</w:t>
            </w: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175,356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(5,362)</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3,834</w:t>
            </w:r>
          </w:p>
        </w:tc>
        <w:tc>
          <w:tcPr>
            <w:tcW w:w="0" w:type="dxa"/>
            <w:vAlign w:val="bottom"/>
          </w:tcPr>
          <w:p>
            <w:pPr>
              <w:spacing w:after="0"/>
              <w:rPr>
                <w:sz w:val="1"/>
                <w:szCs w:val="1"/>
                <w:color w:val="auto"/>
              </w:rPr>
            </w:pPr>
          </w:p>
        </w:tc>
      </w:tr>
      <w:tr>
        <w:trPr>
          <w:trHeight w:val="19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1, 2022</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11,160,160</w:t>
            </w: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112</w:t>
            </w: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194,943</w:t>
            </w: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(6,147)</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823,259</w:t>
            </w:r>
          </w:p>
        </w:tc>
        <w:tc>
          <w:tcPr>
            <w:tcW w:w="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(599,442)</w:t>
            </w: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(16,029)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201,753</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91"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design, manufacture and sell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 (“the Company”, “Aviat Networks,” “Aviat”, “we,” “us,” and “our”) to more effectively reflect our business and communicate our brand identity to customers. Additionally, the change of our corporate name was to comply with the termination of the Harris Corporation (“Harris”) trademark licensing agreement resulting from the spin-off by Harris of its interest in our stock to its stockholders in May 2009.</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Aviat Networks and its wholly-owned and majority owned subsidiaries. Significant intercompany transactions and accounts have been eliminated.</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fiscal year ends on the Friday nearest June 30. This was July 1, for fiscal 2022, July 2, for fiscal 2021 and July 3, for fiscal 2020. Fiscal 2022 and 2021 presented 52 weeks while fiscal 2020 included 53 weeks . In these notes to consolidated financial statements, we refer to our fiscal years as “fiscal 2022”, “fiscal 2021” and “fiscal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Split</w:t>
      </w:r>
    </w:p>
    <w:p>
      <w:pPr>
        <w:spacing w:after="0" w:line="25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April 7, 2021 we effected a two-for-one stock split in the form of a stock dividend to shareholders of record as of April 1, 2021. Common stock, Additional paid-in-capital, per share and equity award amounts for all periods presented have been retrospectively reclassified to reflect the two-for-one stock split in the form of a stock dividend.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accounting principles generally accepted in the United States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and uncertainties in income taxes.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at the date of purchase to be cash equivalents. Cash equivalents are carried at amortized cost, which approximates fair value due to the short-term nature of these investments. Investments with an original maturity of greater than three months are accounted for as short-term investments and are classified as such at the time of purchase.</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hold cash and cash equivalents at several major financial institutions, which often significantly exceed Federal Deposit Insurance Corporation insured limits. However, a substantial portion of the cash equivalents is invested in prime money market funds which are backed by the securities in the fund.</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July 1, 2022 and July 2, 2021, all of our high-quality marketable debt securities were invested in prime money market funds.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Cash and cash equivalents that are restricted as to withdrawal or usage under the terms of contractual agreements are recorded as restricted cash. Our long-term restricted cash included the cash balance in our disability insurance voluntary plan account that cannot be used by us for any operating purposes other than to pay benefits to the insured employees and was recorded in other assets on our consolidated balance sheets and the corresponding liabilities were included in other long-term liabilities on our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Concentrations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typically invoice our customers for the sales order (or contract) value of the related products delivered at various milestones, including order receipt, shipment, installation and acceptance and for services when rendered. Our trade receivables are derived from sales to customers located in North America, Africa, Europe, the Middle East, Asia-Pacific and Latin America.</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Accounts receivable is presented net of allowance for estimated uncollectible accounts to reflect any loss anticipated on the collection of accounts receivable balances. We calculate the allowance based on our history of write-offs, level of past due accounts and the economic status of the customers. The fair value of our accounts receivable approximates their net realizable value.</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regularly require letters of credit from certain customers and, from time to time, we discount these letters of credit issued by customers through various financial institutions. The discounting of letters of credit depends on many factors, including the willingness of financial institutions to discount the letters of credit and the cost of such arrangements. Under these arrangements, collection risk is fully transferred to the financial institutions. We record the financing charges on discounting these letters of credit as interest expense.</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fiscal 2022, Motorola accounted for 13% of our total revenue. During fiscal 2021 and 2020 there were no customers that accounted for more than 10% of our total revenue. As of July 1, 2022 and July 2, 2021, MTN Group accounted for approximately 17% and 14%, respectively, of our accounts receivable.</w:t>
      </w:r>
    </w:p>
    <w:p>
      <w:pPr>
        <w:spacing w:after="0" w:line="12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us to a concentration of credit risk consist principally of cash equivalents, marketable debt securities, trade accounts receivable and financial instruments used in foreign currency hedging activities. We invest our excess cash primarily in prime money market funds and certificates of deposit. We are exposed to credit risks related to such instruments in the event of default or decrease in credit-worthiness of the issuers of the investments. Risks associated with cash and cash equivalents, and investments are mitigated by banking with, and investing in, creditworthy institutions.</w:t>
      </w:r>
    </w:p>
    <w:p>
      <w:pPr>
        <w:spacing w:after="0" w:line="1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perform ongoing credit evaluations of our customers and generally do not require collateral on accounts receivable, as the majority of our customers are large, well-established companies. However, in certain circumstances, we may require letters of credit, additional guarantees or advance payments. We maintain allowances for collection losses, but historically have not experienced any significant losses related to any particular geographic area. Our customers are primarily in the telecommunications industry, so our accounts receivable are concentrated within one industry and exposed to concentrations of credit risk within that industry. Accounts receivable are written off when attempts to collect outstanding amounts have been exhausted or there are other indicators that the amounts are no longer collectible.</w:t>
      </w:r>
    </w:p>
    <w:p>
      <w:pPr>
        <w:spacing w:after="0" w:line="13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rely on third parties to manufacture our products and we purchase raw materials from third-party vendors. In addition, we purchase certain strategic component inventory which is consigned to our third-party manufacturers. Other components included in our products are sourced from various suppliers and are principally industry standard parts and components that are available from multiple vendors. The inability of a contract manufacturer or supplier to fulfill our supply requirements or changes in their financial or business condition could disrupt our ability to supply quality products to our customers, and thereby may have a material adverse effect on our business and operating results.</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agreements relating to our foreign currency contracts with Silicon Valley Bank, a multinational financial institution. The amounts subject to credit risk arising from the possible inability of any such parties to meet the terms of their contracts are generally limited to the amounts, if any, by which such party’s obligations exceed our obligations to that party.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Inventories are valued at the lower of cost and net realizable value. Net realizable value is defined as the estimated selling price in the ordinary course of business, less reasonably predictable costs of completion, disposal and transportation. Cost is determined using standard cost, which approximates actual cost on a weighted-average first-in-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first-out basis. We regularly review inventory quantities on hand and record adjustments to reduce the cost of inventory for excess and obsolete inventory based primarily on our estimated forecast of product demand and production requirements. Inventory adjustments are measured as the difference between the cost of the inventory and net realizable value based upon assumptions about future demand and charged to the provision for inventory, which is a component of cost of sales. At the point of the loss recognition, a new, lower-cost basis for that inventory is established, and any subsequent improvements in facts and circumstances do not result in the restoration or increase in that newly established cost basis.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Service Inventories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customer service inventories are stated at the lower of cost and net realizable value. We carry service parts because we generally provide product warranty for 12 to 36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stated on the basis of cost less accumulated depreciation and amortization. We capitalize costs of software, consulting services, hardware and other related costs incurred to purchase or develop internal-use software. We expense costs incurred during preliminary project assessment, re-engineering, training and application maintenance.</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Depreciation and amortization are calculated using the straight-line method over the estimated useful lives of the respective assets. Leasehold improvements are amortized on the straight-line method over the shorter of the remaining lease term or the estimated useful life of the improvements. The useful lives of the assets are generally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5420" w:type="dxa"/>
            <w:vAlign w:val="bottom"/>
            <w:shd w:val="clear" w:color="auto" w:fill="CCEEFF"/>
          </w:tcPr>
          <w:p>
            <w:pPr>
              <w:ind w:left="3840"/>
              <w:spacing w:after="0"/>
              <w:rPr>
                <w:sz w:val="20"/>
                <w:szCs w:val="20"/>
                <w:color w:val="auto"/>
              </w:rPr>
            </w:pPr>
            <w:r>
              <w:rPr>
                <w:rFonts w:ascii="Times New Roman" w:cs="Times New Roman" w:eastAsia="Times New Roman" w:hAnsi="Times New Roman"/>
                <w:sz w:val="18"/>
                <w:szCs w:val="18"/>
                <w:color w:val="auto"/>
              </w:rPr>
              <w:t>40 years</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42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2 to 10 years</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5420" w:type="dxa"/>
            <w:vAlign w:val="bottom"/>
            <w:shd w:val="clear" w:color="auto" w:fill="CCEEFF"/>
          </w:tcPr>
          <w:p>
            <w:pPr>
              <w:ind w:left="3840"/>
              <w:spacing w:after="0"/>
              <w:rPr>
                <w:sz w:val="20"/>
                <w:szCs w:val="20"/>
                <w:color w:val="auto"/>
              </w:rPr>
            </w:pPr>
            <w:r>
              <w:rPr>
                <w:rFonts w:ascii="Times New Roman" w:cs="Times New Roman" w:eastAsia="Times New Roman" w:hAnsi="Times New Roman"/>
                <w:sz w:val="18"/>
                <w:szCs w:val="18"/>
                <w:color w:val="auto"/>
              </w:rPr>
              <w:t>3 to 5 years</w:t>
            </w: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542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2 to 5 years</w:t>
            </w:r>
          </w:p>
        </w:tc>
      </w:tr>
    </w:tbl>
    <w:p>
      <w:pPr>
        <w:spacing w:after="0" w:line="22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Expenditures for maintenance and repairs are charged to expense as incurred. Cost and accumulated depreciation of assets sold or retired are removed from the respective property accounts, and any gain or loss is reflected in the consolidated statements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evaluate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product sales, we provide for future warranty costs upon product delivery. The specific terms and conditions of those warranties vary depending upon the product sold and the country in which we do business. In the case of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sold by us, our warranties generally start from the delivery date and continue for one to three years, depending on the terms.</w:t>
      </w:r>
    </w:p>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Many of our products are manufactured to customer specifications and their acceptance is based on meeting those specifications. Factors that affect our warranty liabilities include the number of product units subject to warranty protection, historical experience and management’s judgment regarding anticipated rates of warranty claims and cost per claim. We assess the adequacy of our recorded warranty liabilities every quarter and make adjustments to the liabilities as necessary.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lease facilities under non-cancelable operating lease agreements. These leases have varying terms that range from one to 20 years and contain leasehold improvement incentives, rent holidays and escalation clauses. In addition, some of these leases have renewal options for up to 3 years.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determine if an arrangement contains a lease at inception. These operating leases are included in Right of use assets (ROU assets) on our July 1, 2022 consolidated balance sheets and represent our right to use the underlying asset for the lease term. Our obligation to make lease payments are included in "Short-term lease liabilities" and "Long-term lease liabilities" on our July 1, 2022 consolidated balance sheets. We have not entered into any financing leases during fiscal 2022.</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Operating lease ROU assets and lease liabilities are recognized based on the present value of the future minimum lease payments over the lease term at commencement date. As most of our leases do not provide an implicit rate, we used the incremental borrowing rate based on the remaining lease term at commencement date in determining the present value of future payments. The operating lease ROU assets also include any lease payments made and exclude lease incentives and initial direct costs incurred. Variable lease payments are expensed as incurred and are not included within the ROU asset and lease liability calculation. Lease expense for minimum lease payments is recognized on a straight-line basis over the lease term. Certain of our lease arrangements include non-lease components and we account for non-lease components together with lease components for all such lease arrangements.</w:t>
      </w:r>
    </w:p>
    <w:p>
      <w:pPr>
        <w:spacing w:after="0" w:line="1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our consolidated balance sheets. We recognize lease expense for these leases on a straight-line basis over the lease term.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functional currency of our subsidiaries located in the United Kingdom, Singapore, Mexico, Algeria and New Zealand is the United States (“U.S.”) dollar. Determination of the functional currency is dependent upon the economic environment in which an entity operates as well as the customers and suppliers the entity conducts business with. Changes in facts and circumstances may occur which could lead to a change in the functional currency of that entity. Accordingly, all of the monetary assets and liabilities of these subsidiaries are re-measured into U.S. dollars at the current exchange rate as of the applicable balance sheet date, and all non-monetary assets and liabilities are re-measured at historical rates. Income and expenses are re-measured at the average exchange rate prevailing during the period. Gains and losses resulting from the re-measurement of these subsidiaries’ financial statements are included in the consolidated statements of operations.</w:t>
      </w:r>
    </w:p>
    <w:p>
      <w:pPr>
        <w:spacing w:after="0" w:line="13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other international subsidiaries use their respective local currency as their functional currency. Assets and liabilities of these subsidiaries are translated at the local current exchange rates in effect at the balance sheet date, and income and expense accounts are translated at the average exchange rates during the period. The resulting translation adjustments are included in accumulated other comprehensive loss.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Gains and losses resulting from foreign exchange transactions and revaluation of monetary assets and liabilities in non-functional currencies are included in other income, net in the accompanying consolidated statements of operations, based on the nature of the transactions. Net foreign exchange (loss) gains recorded in our consolidated statements of operations during fiscal 2022, 2021 and 2020 were $(1.1) million, $(1.0) million, and $0.4 million,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July 1, 2022, we provided retirement benefits to substantially all employees primarily through our defined contribution retirement plans. These plans have matching and savings elements. Contributions by us to these retirement plans are based on profits and employees’ savings with no other funding requirements. Contributions to retirement plans are expensed as incurred. Retirement plan expense amounted to $1.9 million, $1.8 million and $1.7 million in fiscal 2022, 2021 and 2020,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Under Financial Accounting Standards Board (“FASB”) Accounting Standards Codification (“ASC”) 606, we recognize revenue by applying the following five-step approach: (1) identification of the contract with a customer; (2) identification of the performance obligations in the contract;</w:t>
      </w:r>
    </w:p>
    <w:p>
      <w:pPr>
        <w:spacing w:after="0" w:line="1" w:lineRule="exact"/>
        <w:rPr>
          <w:sz w:val="20"/>
          <w:szCs w:val="20"/>
          <w:color w:val="auto"/>
        </w:rPr>
      </w:pPr>
    </w:p>
    <w:p>
      <w:pPr>
        <w:ind w:firstLine="8"/>
        <w:spacing w:after="0" w:line="260" w:lineRule="auto"/>
        <w:tabs>
          <w:tab w:leader="none" w:pos="27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(4) allocation of the transaction price to the performance obligations in the contract; and (5) recognition of revenue when, or as, we satisfy a performance obligation. See Note 3 for additional discussion on revenue recognition.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Sales and Services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sales consists primarily of materials, labor and overhead costs incurred internally and amounts incurred for contract manufacturers to produce our products, personnel and other implementation costs incurred to install our products and train customer personnel, and customer service and third party original equipment manufacturer costs to provide continuing support to our customers.</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Shipping and handling costs are included as a component of costs of product sales in our consolidated statements of operations because they are also included in revenue that we bill our customers.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expense all advertising costs as incurred. Advertising costs were immaterial during fiscal 2022, 2021 and 2020.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Presentation of Transactional Taxes Collected from Customers and Remitted to Government Authorities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present transactional taxes such as sales and use tax collected from customers and remitted to governmental authorities on a net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research and development costs, which include costs in connection with new product development, improvement of existing products, process improvement, and product use technologies, are generally charged to operations in the period in which they are incurred. For certain software projects under development, we capitalize the development costs during the period between determining technological feasibility of the product and commercial release and are included in Other assets on the consolidated balance sheet. We amortize the capitalized development cost upon commercial release, generally over three years. To date, the amount of development costs capitalized and amount amortized have not been material.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estimate the grant date fair value of our share-based awards and amortize this fair value to compensation expense over the requisite service period or vesting term. To estimate the fair value of our stock option awards, we use the Black-Scholes option pricing model. The determination of the fair value of stock option awards on the date of grant using an option pricing model is affected by our stock price as well as assumptions regarding a number of complex and subjective variables. These variables include our expected stock price volatility over the expected term of the awards, actual and projected employee stock option exercise behaviors, risk-free interest rate and expected dividends. Due to the inherent limitations of option valuation models, including consideration of future events that are unpredictable and the estimation process utilized in determining the valuation of the share-based awards, the ultimate value realized by our employees may vary significantly from the amounts expensed in our financial statements. For restricted stock awards and units and performance share awards and units, we measure the grant date fair value based upon the market price of our common stock on the date of the grant. The fair value of each market-based stock unit with market conditions was estimated using the Monte-Carlo simulation model. We elected to account for forfeitures as they occur.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generally recognize compensation cost for share-based payment awards on a straight-line basis over the requisite service period. For an award that has a graded vesting schedule, compensation expense is recognized on a straight-line basis over the requisite service period for each separately vesting portion of the award as if the award was, in-substance, multiple awards. The amount of compensation cost recognized at any date must at least equal the portion of the grant-date value of the award that is vested at that date.</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awards with a performance condition vesting feature, we recognize share-based compensation costs for the performance awards and units when achievement of the performance conditions is considered probable. Any previously recognized compensation cost would be reversed if the performance condition is not satisfied or if it is not probable that the performance conditions will be achieved. For awards with a market condition vesting feature, we recognize share-based compensation costs over the period the requisite service is rendered, regardless of when, if ever, the market condition is satisfied.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restructuring charges represent expenses incurred in connection with certain cost reduction programs that we have implemented, and consisted of the costs of employee termination costs, lease and other contract termination charges and other costs of exiting activities or geographies. A liability for costs associated with an exit or disposal activity is measured at its fair value when the liability is incurred. Expenses for one-time termination benefits are recognized at the date we notify the employee, unless the employee must provide future service, in which case the benefits are expensed ratably over the future service period. We recognize severance benefits provided as part of an ongoing benefit arrangement when the payment is probable, and the amounts can be reasonably estimated. Liabilities related to termination of an operating lease or contract are measured and recognized at fair value when the contract does not have any future economic benefit to the entity and the fair value of the liability is determined based on the present value of the remaining lease obligations, adjusted for the effects of deferred items recognized under the lease, and reduced by estimated sublease rentals that could be reasonably obtained for the property. The assumptions in determining such estimates include anticipated timing of sublease rentals and estimates of sublease rental receipts and related costs based on market conditions. We expense all other costs related to an exit or disposal activity as incurred.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Related Uncertainties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Deferred tax assets and liabilities are determined based on the estimated future tax effects of temporary differences between the financial statement and tax basis of assets and liabilities, as measured by tax rates at which temporary differences are expected to reverse as well as operating loss and tax credit carry forwards. Deferred tax expense (benefit) is the result of changes in deferred tax assets and liabilities. A valuation allowance is established to offset any deferred tax assets if, based upon the available information, it is more likely than not that some or all of the deferred tax assets will not be realized.</w:t>
      </w:r>
    </w:p>
    <w:p>
      <w:pPr>
        <w:spacing w:after="0" w:line="1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required to compute our income taxes in each federal, state, and foreign jurisdiction in which we operate. This process requires that we estimate the current tax exposure as well as assess temporary differences between the accounting and tax treatment of assets and liabilities, including items such as accruals and allowances not currently deductible for tax purposes as well as operating loss and tax credit carry forwards. The income tax effects of the differences we identify are classified as current or long-term deferred tax assets and liabilities in our consolidated balance sheets. Our judgments, assumptions, and estimates relative to the current provision for income taxes take into account current tax laws, our interpretation of current tax laws, and possible outcomes of current and future audits conducted by foreign and domestic tax authorities. Changes in tax laws or our interpretation of tax laws and the resolution of current and future tax audits could significantly impact the amounts provided for income taxes in our consolidated balance sheets and consolidated statements of operations. We must also assess the likelihood that deferred tax assets will be realized from future taxable income and, based on this assessment, establish a valuation allowance, if required. Our determination of our valuation allowance is based upon a number of assumptions, judgments, and estimates, including forecasted earnings, future taxable income, and the relative proportions of revenue and income before taxes in the various domestic and international jurisdictions in which we operate. To the extent we establish a valuation allowance or change the valuation allowance in a period, we reflect the change with a corresponding increase or decrease to our tax provision in our consolidated statements of operations.</w:t>
      </w:r>
    </w:p>
    <w:p>
      <w:pPr>
        <w:spacing w:after="0" w:line="13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use a two-step process to determine the amount of tax benefit to be recognized for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likely of being realized upon ultimate settlement. It is inherently difficult and subjective to estimate such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as this requires us to determine the probability of various possible outcomes. We reevaluate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 in the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2019-12, Income Taxes (Topic 740). This guidance simplifies the accounting for income taxes by removing certain exceptions to the general principles and also simplifies areas such as franchise taxes, step-up in tax basis of goodwill, separate entity financial statements and interim recognition of enactment of tax laws and rate changes. ASU 2019-12 became effective for us in our first quarter of fiscal 2022. The adoption had no material impact on our unaudited condensed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This guidance provides optional guidance related to reference rate reform, which provides practical expedients for contract modifications and certain hedging relationships associated with the transition from reference rates that are expected to be discontinued. This guidance is applicable for our borrowing instruments, which use LIBOR as a reference rate, and will be effective through December 31, 2022. We are currently evaluating the potential impact of ASU 2020-04 will have on our consolidated financial statements.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Instruments-Credit Losses (Topic 326): Measurement of Credit Losses on Financial Instruments (ASU 2016-13) and also issued subsequent amendments to the initial guidance: ASU 2018-19, ASU 2019-04, and ASU 2019-05 (collectively, Topic 326). Topic 326 requires measurement and recognition of expected credit losses for financial assets held. Topic 326 will be effective for us in our first quarter of fiscal 2023, and earlier adoption is permitted. We are evaluating the impact adopting Topic 326 will have on our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Net Income per Share of Common Stock</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income per share is computed using the two-class method, by dividing net income attributable to us by the weighted average number of shares of our outstanding common stock and participating securities outstanding.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income per share attributable to our common stockholders: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110,139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Effect of potentially dilutive equivalent shares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48"/>
        </w:trPr>
        <w:tc>
          <w:tcPr>
            <w:tcW w:w="6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weighted-average equity awards that were excluded from the diluted net income per share calculations since they were antidilutive:</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 and performance stock units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6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shares of common stock excluded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Contracts and customer purchase orders are used to determine the existence of an arrangement.</w:t>
      </w:r>
    </w:p>
    <w:p>
      <w:pPr>
        <w:spacing w:after="0" w:line="17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Many of the Company’s arrangements with customers contain multiple performance obligations and therefore promises to provide multiple goods and services. The Company evaluates each promised good and service in a contract to determine whether it represents a distinct performance obligation or should be accounted for as a combined performance obligation. For goods and services determined to be distinct we have concluded that they provide a benefit to the customer either on their own or together with other resources that are readily available to the customer, without having the need for significant integration or customization.</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from product sales, recognized at a point-in-time, is generated predominately from the sales of products manufactured by third-party manufacturers to whom we have outsourced our manufacturing processes.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third-party manufacturers.</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Revenue from services includes certain network planning and design, engineering, installation and commissioning (“field services”), extended warranty, customer support, consulting, training, and education. Maintenance and support services are generally offered to our customers and recognized over a specified period of time and from sales and subsequent renewals of maintenance and support contracts. The network planning and design, engineering and installation related services noted are recognized based on an over-time recognition model using the cost-input method. Certain judgment is required when estimating total contract costs and progress to completion on the over-time arrangements, as well as whether a loss is expected to be incurred on the contract. The cost estimation process for these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contracts is based on the knowledge and experience of the Company’s project managers, engineers, and financial professionals. Changes in job performance and job conditions are factors that influence estimates of the total costs to complete those contracts and the Company’s revenue recognition. If circumstances arise that change the original estimates of revenues, costs, or extent of progress toward completion, revisions to the estimates are made in a timely manner. These revisions may result in increases or decreases in estimated revenues or costs, and such revisions are reflected in income in the period in which the circumstances that gave rise to the revision become known to us. We perform ongoing profitability analysis of our service contracts accounted for under this method to determine whether the latest estimates of revenues, costs, and profits require updating. In rare circumstances if these estimates indicate that the contract will be unprofitable, the entire estimated loss for the remainder of the contract is recorded immediately. We establish billing terms at the time project deliverables and milestones are agreed. Revenues recognized in excess of the amounts invoiced to clients are classified as unbilled receivables and if invoicing is ahead of revenue recognized it is classified as an unearned liability on the consolidated balance sheets.</w:t>
      </w:r>
    </w:p>
    <w:p>
      <w:pPr>
        <w:spacing w:after="0" w:line="134"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In addition, shipping documents and customer acceptances, when applicable, are used to verify delivery and transfer of control. We typically satisfy our performance obligations upon shipment or delivery of product depending on the contractual terms. Payment terms to customers generally range from net 30 to 120 days from invoice, which are considered to be standard payment terms. Revenue recognition does not necessarily follow payment terms as there are a number of scenarios where they would be different. Recognition follows contractual terms and those vary depending on the nature of the performance obligation being satisfied. These timing differences result in contract assets and liabilities as discussed below. We assess our ability to collect from our customers based primarily on the creditworthiness and past payment history of the customer.</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our customers do not have the right of return, we reserve for estimated product returns as an offset to revenue based primarily on historical trends. Actual product returns may be different than what was estimated. These factors and unanticipated changes in economic and industry condition could make actual results differ from our return estimates.</w:t>
      </w:r>
    </w:p>
    <w:p>
      <w:pPr>
        <w:spacing w:after="0" w:line="122" w:lineRule="exact"/>
        <w:rPr>
          <w:sz w:val="20"/>
          <w:szCs w:val="20"/>
          <w:color w:val="auto"/>
        </w:rPr>
      </w:pPr>
    </w:p>
    <w:p>
      <w:pPr>
        <w:ind w:right="980" w:firstLine="486"/>
        <w:spacing w:after="0" w:line="438" w:lineRule="auto"/>
        <w:rPr>
          <w:sz w:val="20"/>
          <w:szCs w:val="20"/>
          <w:color w:val="auto"/>
        </w:rPr>
      </w:pPr>
      <w:r>
        <w:rPr>
          <w:rFonts w:ascii="Times New Roman" w:cs="Times New Roman" w:eastAsia="Times New Roman" w:hAnsi="Times New Roman"/>
          <w:sz w:val="18"/>
          <w:szCs w:val="18"/>
          <w:color w:val="auto"/>
        </w:rPr>
        <w:t xml:space="preserve">We present transactional taxes such as sales and use tax collected from customers and remitted to government authorities on a net basis. </w:t>
      </w:r>
      <w:r>
        <w:rPr>
          <w:rFonts w:ascii="Times New Roman" w:cs="Times New Roman" w:eastAsia="Times New Roman" w:hAnsi="Times New Roman"/>
          <w:sz w:val="18"/>
          <w:szCs w:val="18"/>
          <w:b w:val="1"/>
          <w:bCs w:val="1"/>
          <w:i w:val="1"/>
          <w:iCs w:val="1"/>
          <w:color w:val="auto"/>
        </w:rPr>
        <w:t>Bill-and-Hold Sales</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customer arrangements consist of bill-and-hold characteristics under which transfer of control has been met (including the passing of title and significant risk and reward of ownership to the customers). Therefore, the customers can direct the use of the bill-and-hold inventory while we retain physical possession of the product until it is installed at a customer site at a point in time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Rights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contract term is determined on the basis of the period over which the parties to the contract have present enforceable rights and obligations. Certain customer contracts include a termination for convenience clause that allows the customer to terminate services without penalty, upon advance notification. We concluded that the duration of support contracts does not extend beyond the non-cancellable portion of the contract.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consideration associated with customer contracts is generally fixed. Variable consideration includes discounts, rebates, refunds, credits, incentives, penalties, or other similar items. The amount of consideration that can vary is not a substantial portion of total consideration.</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Variable consideration estimates are re-assessed at each reporting period until a final outcome is determined. The changes to the original transaction price due to a change in estimated variable consideration are applied on a retrospective basis, with the adjustment recorded in the period in which the change occurs. Changes to variable consideration are tracked and material changes disclosed.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Stand-alone Selling Price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Stand-alone selling price is the price at which an entity would sell a good or service on a stand-alone (or separate) basis at contract inception. Under the model, the observable price of a good or service sold separately provides the best evidence of stand-alone selling price. However, in certain situations, stand-alone selling prices will not be readily observable and the entity must estimate the stand-alone selling price.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When allocating on a relative stand-alone selling price basis, any discount provided in the contract is allocated proportionately to all of the performance obligations in the contract.</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majority of products and services that we offer have readily observable selling prices. For products and services that do not, we estimate stand-alone selling price using the market assessment approach based on expected selling price and adjust those prices as necessary to reflect our costs and margins. As part of our stand-alone selling price policy, we review product pricing on a periodic basis to identify any significant changes and revise our expected selling price assumptions as appropriate.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Shipping and handling costs are included as a component of costs of product sales in our consolidated statements of operations because they are also included in revenue that we bill our customers.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assessed the treatment of costs to obtain or fulfill a contract with a customer. Under ASC 606, we capitalize sales commissions related to multi-year service contracts, and amortize the asset over the period of benefit, which is the estimated service period. Sales commissions paid on contract renewals, including service contract renewals, is commensurate with the sales commissions paid on the initial contracts. The capitalized sales commissions are included in Other Current Assets and Other Assets on the consolidated balance sheets. We have not identified any impairments during the periods presented.</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elected the practical expedient to expense sales commissions as incurred when the amortization period of the related asset is one year or less. These costs are recorded as sales and marketing expense and included in our consolidated balance sheet as accrued expenses until paid. Our amortization expense was not material for the fiscal years ended July 1, 2022, July 2, 2021 and July 3,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 Performance Obligations, and Backlog</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and liabilities from contracts with customers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300" w:type="dxa"/>
            <w:vAlign w:val="bottom"/>
          </w:tcPr>
          <w:p>
            <w:pPr>
              <w:spacing w:after="0"/>
              <w:rPr>
                <w:sz w:val="16"/>
                <w:szCs w:val="16"/>
                <w:color w:val="auto"/>
              </w:rPr>
            </w:pPr>
          </w:p>
        </w:tc>
        <w:tc>
          <w:tcPr>
            <w:tcW w:w="14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0" w:type="dxa"/>
            <w:vAlign w:val="bottom"/>
          </w:tcPr>
          <w:p>
            <w:pPr>
              <w:spacing w:after="0"/>
              <w:rPr>
                <w:sz w:val="1"/>
                <w:szCs w:val="1"/>
                <w:color w:val="auto"/>
              </w:rPr>
            </w:pPr>
          </w:p>
        </w:tc>
      </w:tr>
      <w:tr>
        <w:trPr>
          <w:trHeight w:val="23"/>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48,135</w:t>
            </w:r>
          </w:p>
        </w:tc>
        <w:tc>
          <w:tcPr>
            <w:tcW w:w="0" w:type="dxa"/>
            <w:vAlign w:val="bottom"/>
          </w:tcPr>
          <w:p>
            <w:pPr>
              <w:spacing w:after="0"/>
              <w:rPr>
                <w:sz w:val="1"/>
                <w:szCs w:val="1"/>
                <w:color w:val="auto"/>
              </w:rPr>
            </w:pPr>
          </w:p>
        </w:tc>
      </w:tr>
      <w:tr>
        <w:trPr>
          <w:trHeight w:val="230"/>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37,521</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commissions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32,304</w:t>
            </w:r>
          </w:p>
        </w:tc>
        <w:tc>
          <w:tcPr>
            <w:tcW w:w="0" w:type="dxa"/>
            <w:vAlign w:val="bottom"/>
          </w:tcPr>
          <w:p>
            <w:pPr>
              <w:spacing w:after="0"/>
              <w:rPr>
                <w:sz w:val="1"/>
                <w:szCs w:val="1"/>
                <w:color w:val="auto"/>
              </w:rPr>
            </w:pPr>
          </w:p>
        </w:tc>
      </w:tr>
      <w:tr>
        <w:trPr>
          <w:trHeight w:val="234"/>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 long-term</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Significant changes in contract balances may arise as a result of recognition over time for services, transfer of control for equipment, and periodic payments (both in arrears and in advance). The Contract Asset balance has continued to grow as we continue to execute on large North American over time projects and International projects that carry notably longer payment terms.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may experience unforeseen events that could result in a change to the scope or price associated with an arrangement. We would update the transaction price and measure of progress for the performance obligation and recognize the change as a cumulative catch-up to revenue. Because of the nature and type of contracts we engage in, the timeframe to completion and satisfaction of current and future performance obligations can shift; however, this will have no impact on our future obligation to bill and collect.</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July 1, 2022, we had $42.7 million in advance payments and unearned revenue and long-term unearned revenue, of which approximately 60% is expected to be recognized as revenue in fiscal 2023 and the remainder thereafter. During fiscal years 2022 and 2021, we recognized approximately $23.3 million and $21.9 million respectively, that was included in advance payments and unearned revenue at the beginning of each reporting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elect the practical consideration to exclude performance obligations that relate to contracts with original expected durations of one year or less. As our product purchase orders are generally delivered within one year or less and our maintenance and support service contracts can be terminated without substantive termination penalties resulting in contracts with less than one year of duration, these performance obligations have been excluded from the remaining performance obligation amounts. The aggregate amount of transaction price allocated to the remaining unsatisfied performance obligations (or partially unsatisfied) was approximately $97.0 million at July 1, 2022 relating to our long-term field service projects. Of this amount, we expect to recognize approximately 50% as revenue during fiscal 2023, with the remaining amount to be recognized as revenue beyond 12 months.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lease facilities under non-cancelable operating lease agreements. These leases have original terms that range from one to 20 years and may contain leasehold improvement incentives, rent holidays and escalation clauses. In addition, some of these leases have renewal options for up to 3 years. We lease office space in Austin, Texas as our corporate headquarters with an original term of 36 months.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determine if an arrangement contains a lease at inception. These operating leases are included in "Right of use assets" (ROU assets) on our July 1, 2022 consolidated balance sheet and represent our right to use the underlying asset for the lease term. Our obligation to make lease payments are included in "Short-term lease liabilities" and "Long-term lease liabilities" on our July 1, 2022 consolidated balance sheet. We have not entered into any financing leases during fiscal 2022.</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Operating lease ROU assets and lease liabilities are recognized based on the present value of the future minimum lease payments over the lease term at commencement date. As most of our leases do not provide an implicit rate, we used the incremental borrowing rate based on the remaining lease term at commencement date in determining the present value of future payments. The operating lease ROU assets also include any lease payments made and exclude lease incentives and initial direct costs incurred. Variable lease payments are expensed as incurred and are not included within the ROU asset and lease liability calculation. Lease expense for minimum lease payments is recognized on a straight-line basis over the lease term. Certain of our lease arrangements include non-lease components and we account for non-lease components together with lease components for all such lease arrangements.</w:t>
      </w:r>
    </w:p>
    <w:p>
      <w:pPr>
        <w:spacing w:after="0" w:line="133"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our consolidated balance sheets. We recognize lease expense for these leases on a straight-line basis over the lease term.</w:t>
      </w:r>
    </w:p>
    <w:p>
      <w:pPr>
        <w:spacing w:after="0" w:line="10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of July 1, 2022, total ROU assets were approximately $2.8 million, and short-term lease liabilities and long-term lease liabilities were approximately $0.5 million and $2.4 million, respectively. Cash paid for lease liabilities was $0.7 million for fiscal 2022.</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summarizes our lease costs, lease term and discount rate for fiscal 2022 and 2021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300" w:type="dxa"/>
            <w:vAlign w:val="bottom"/>
            <w:tcBorders>
              <w:bottom w:val="single" w:sz="8" w:color="auto"/>
            </w:tcBorders>
          </w:tcPr>
          <w:p>
            <w:pPr>
              <w:spacing w:after="0"/>
              <w:rPr>
                <w:sz w:val="20"/>
                <w:szCs w:val="20"/>
                <w:color w:val="auto"/>
              </w:rPr>
            </w:pPr>
          </w:p>
        </w:tc>
      </w:tr>
      <w:tr>
        <w:trPr>
          <w:trHeight w:val="223"/>
        </w:trPr>
        <w:tc>
          <w:tcPr>
            <w:tcW w:w="76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1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3"/>
        </w:trPr>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costs</w:t>
            </w:r>
          </w:p>
        </w:tc>
        <w:tc>
          <w:tcPr>
            <w:tcW w:w="11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w:t>
            </w:r>
          </w:p>
        </w:tc>
      </w:tr>
      <w:tr>
        <w:trPr>
          <w:trHeight w:val="21"/>
        </w:trPr>
        <w:tc>
          <w:tcPr>
            <w:tcW w:w="7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information related to our operating leases for fiscal 2022 and 2021 (in thousands, except for weighted average):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380" w:type="dxa"/>
            <w:vAlign w:val="bottom"/>
            <w:tcBorders>
              <w:bottom w:val="single" w:sz="8" w:color="auto"/>
            </w:tcBorders>
          </w:tcPr>
          <w:p>
            <w:pPr>
              <w:spacing w:after="0"/>
              <w:rPr>
                <w:sz w:val="20"/>
                <w:szCs w:val="20"/>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years</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years</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1,772</w:t>
            </w:r>
          </w:p>
        </w:tc>
      </w:tr>
    </w:tbl>
    <w:p>
      <w:pPr>
        <w:spacing w:after="0" w:line="23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Rental expense for operating leases, including rentals on a month-to-month basis was $3.6 million for fiscal 2022 and $3.3 million for each of fiscal 2021 and 2020.</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July 1, 2022, our future minimum lease payments under all non-cancelable operating leases with an initial term in excess of one year were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480" w:type="dxa"/>
            <w:vAlign w:val="bottom"/>
          </w:tcPr>
          <w:p>
            <w:pPr>
              <w:spacing w:after="0"/>
              <w:rPr>
                <w:sz w:val="16"/>
                <w:szCs w:val="16"/>
                <w:color w:val="auto"/>
              </w:rPr>
            </w:pPr>
          </w:p>
        </w:tc>
        <w:tc>
          <w:tcPr>
            <w:tcW w:w="1760" w:type="dxa"/>
            <w:vAlign w:val="bottom"/>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8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9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23"/>
        </w:trPr>
        <w:tc>
          <w:tcPr>
            <w:tcW w:w="9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4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r>
      <w:tr>
        <w:trPr>
          <w:trHeight w:val="229"/>
        </w:trPr>
        <w:tc>
          <w:tcPr>
            <w:tcW w:w="9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48"/>
        </w:trPr>
        <w:tc>
          <w:tcPr>
            <w:tcW w:w="9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cash, cash equivalents, and restricted cash reported within the Consolidated Balance Sheets that reconciles to the corresponding amount in the Consolidated Statements of Cash Flows: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300" w:type="dxa"/>
            <w:vAlign w:val="bottom"/>
          </w:tcPr>
          <w:p>
            <w:pPr>
              <w:spacing w:after="0"/>
              <w:rPr>
                <w:sz w:val="16"/>
                <w:szCs w:val="16"/>
                <w:color w:val="auto"/>
              </w:rPr>
            </w:pPr>
          </w:p>
        </w:tc>
        <w:tc>
          <w:tcPr>
            <w:tcW w:w="14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0" w:type="dxa"/>
            <w:vAlign w:val="bottom"/>
          </w:tcPr>
          <w:p>
            <w:pPr>
              <w:spacing w:after="0"/>
              <w:rPr>
                <w:sz w:val="1"/>
                <w:szCs w:val="1"/>
                <w:color w:val="auto"/>
              </w:rPr>
            </w:pPr>
          </w:p>
        </w:tc>
      </w:tr>
      <w:tr>
        <w:trPr>
          <w:trHeight w:val="23"/>
        </w:trPr>
        <w:tc>
          <w:tcPr>
            <w:tcW w:w="488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47,942</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27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48,198</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2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880" w:type="dxa"/>
            <w:vAlign w:val="bottom"/>
            <w:vMerge w:val="continue"/>
          </w:tcPr>
          <w:p>
            <w:pPr>
              <w:spacing w:after="0"/>
              <w:rPr>
                <w:sz w:val="24"/>
                <w:szCs w:val="24"/>
                <w:color w:val="auto"/>
              </w:rPr>
            </w:pPr>
          </w:p>
        </w:tc>
        <w:tc>
          <w:tcPr>
            <w:tcW w:w="2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Our net accounts receivable are summarized below:</w:t>
            </w:r>
          </w:p>
        </w:tc>
        <w:tc>
          <w:tcPr>
            <w:tcW w:w="2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300" w:type="dxa"/>
            <w:vAlign w:val="bottom"/>
          </w:tcPr>
          <w:p>
            <w:pPr>
              <w:spacing w:after="0"/>
              <w:rPr>
                <w:sz w:val="24"/>
                <w:szCs w:val="24"/>
                <w:color w:val="auto"/>
              </w:rPr>
            </w:pPr>
          </w:p>
        </w:tc>
        <w:tc>
          <w:tcPr>
            <w:tcW w:w="14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30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7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50,276</w:t>
            </w:r>
          </w:p>
        </w:tc>
        <w:tc>
          <w:tcPr>
            <w:tcW w:w="0" w:type="dxa"/>
            <w:vAlign w:val="bottom"/>
          </w:tcPr>
          <w:p>
            <w:pPr>
              <w:spacing w:after="0"/>
              <w:rPr>
                <w:sz w:val="1"/>
                <w:szCs w:val="1"/>
                <w:color w:val="auto"/>
              </w:rPr>
            </w:pPr>
          </w:p>
        </w:tc>
      </w:tr>
      <w:tr>
        <w:trPr>
          <w:trHeight w:val="23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Allowances for collection losses</w:t>
            </w:r>
          </w:p>
        </w:tc>
        <w:tc>
          <w:tcPr>
            <w:tcW w:w="27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CCEEFF"/>
            </w:tcBorders>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48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inventories are summarized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300" w:type="dxa"/>
            <w:vAlign w:val="bottom"/>
          </w:tcPr>
          <w:p>
            <w:pPr>
              <w:spacing w:after="0"/>
              <w:rPr>
                <w:sz w:val="16"/>
                <w:szCs w:val="16"/>
                <w:color w:val="auto"/>
              </w:rPr>
            </w:pPr>
          </w:p>
        </w:tc>
        <w:tc>
          <w:tcPr>
            <w:tcW w:w="14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23,436</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Consigned inventories included within raw materials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4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fiscal 2022, 2021 and 2020, we recorded charges to adjust our inventory and customer service inventory due to excess and obsolete inventory resulting from lower sales forecasts, product transitioning or discontinuance. Such charges incurred during fiscal 2022, 2021 and 2020 were classified in cost of product sales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obsolete inventory charges (recovery)</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service inventory write-downs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charges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consider properties to be Assets held for sale when management approves and commits to a plan to dispose of a property or group of properties.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property held for sale prior to the sale date is separately presented on the balance sheet as Assets held for sale.</w:t>
      </w:r>
    </w:p>
    <w:p>
      <w:pPr>
        <w:spacing w:after="0" w:line="15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second quarter of fiscal 2021 management initiated the sale of our facility located in the United Kingdom. We completed the sale during the third quarter of fiscal 2022 with proceeds of $2.3 million, reflecting a gain of $0.1 million. We have no additional assets held for sale.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property, plant and equipment, net is summarized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300" w:type="dxa"/>
            <w:vAlign w:val="bottom"/>
          </w:tcPr>
          <w:p>
            <w:pPr>
              <w:spacing w:after="0"/>
              <w:rPr>
                <w:sz w:val="16"/>
                <w:szCs w:val="16"/>
                <w:color w:val="auto"/>
              </w:rPr>
            </w:pPr>
          </w:p>
        </w:tc>
        <w:tc>
          <w:tcPr>
            <w:tcW w:w="14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July 2, 2021</w:t>
            </w:r>
          </w:p>
        </w:tc>
      </w:tr>
      <w:tr>
        <w:trPr>
          <w:trHeight w:val="23"/>
        </w:trPr>
        <w:tc>
          <w:tcPr>
            <w:tcW w:w="7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21,370</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51,244</w:t>
            </w:r>
          </w:p>
        </w:tc>
      </w:tr>
      <w:tr>
        <w:trPr>
          <w:trHeight w:val="223"/>
        </w:trPr>
        <w:tc>
          <w:tcPr>
            <w:tcW w:w="7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79,738</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(68,037)</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Included in the total plant, property and equipment above were $1.2 million and $0.3 million of assets in progress which have not been placed in service as of July 1, 2022 and July 2, 2021, respectively. Depreciation and amortization expense related to property, plant and equipment, including amortization of internal use software was $4.5 million, $5.4 million and $4.4 million in fiscal 2022, 2021 and 2020,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accrued expenses are summarized below: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300" w:type="dxa"/>
            <w:vAlign w:val="bottom"/>
          </w:tcPr>
          <w:p>
            <w:pPr>
              <w:spacing w:after="0"/>
              <w:rPr>
                <w:sz w:val="16"/>
                <w:szCs w:val="16"/>
                <w:color w:val="auto"/>
              </w:rPr>
            </w:pPr>
          </w:p>
        </w:tc>
        <w:tc>
          <w:tcPr>
            <w:tcW w:w="14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July 2, 2021</w:t>
            </w:r>
          </w:p>
        </w:tc>
      </w:tr>
      <w:tr>
        <w:trPr>
          <w:trHeight w:val="23"/>
        </w:trPr>
        <w:tc>
          <w:tcPr>
            <w:tcW w:w="7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agent commissions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warranties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9,123</w:t>
            </w:r>
          </w:p>
        </w:tc>
      </w:tr>
      <w:tr>
        <w:trPr>
          <w:trHeight w:val="248"/>
        </w:trPr>
        <w:tc>
          <w:tcPr>
            <w:tcW w:w="7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28,154</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accrue for the estimated cost to repair or replace products under warranty. Changes in our warranty liability, which is included as a component of accrued expenses in the consolidated balance sheets,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beginning of the fiscal year</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w w:val="98"/>
              </w:rPr>
              <w:t>3,228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center"/>
              <w:ind w:left="855"/>
              <w:spacing w:after="0"/>
              <w:rPr>
                <w:sz w:val="20"/>
                <w:szCs w:val="20"/>
                <w:color w:val="auto"/>
              </w:rPr>
            </w:pPr>
            <w:r>
              <w:rPr>
                <w:rFonts w:ascii="Times New Roman" w:cs="Times New Roman" w:eastAsia="Times New Roman" w:hAnsi="Times New Roman"/>
                <w:sz w:val="18"/>
                <w:szCs w:val="18"/>
                <w:color w:val="auto"/>
              </w:rPr>
              <w:t>3,196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provision recorded during the period</w:t>
            </w:r>
          </w:p>
        </w:tc>
        <w:tc>
          <w:tcPr>
            <w:tcW w:w="420" w:type="dxa"/>
            <w:vAlign w:val="bottom"/>
          </w:tcPr>
          <w:p>
            <w:pPr>
              <w:spacing w:after="0"/>
              <w:rPr>
                <w:sz w:val="19"/>
                <w:szCs w:val="19"/>
                <w:color w:val="auto"/>
              </w:rPr>
            </w:pPr>
          </w:p>
        </w:tc>
        <w:tc>
          <w:tcPr>
            <w:tcW w:w="1320" w:type="dxa"/>
            <w:vAlign w:val="bottom"/>
          </w:tcPr>
          <w:p>
            <w:pPr>
              <w:jc w:val="center"/>
              <w:ind w:left="674"/>
              <w:spacing w:after="0"/>
              <w:rPr>
                <w:sz w:val="20"/>
                <w:szCs w:val="20"/>
                <w:color w:val="auto"/>
              </w:rPr>
            </w:pPr>
            <w:r>
              <w:rPr>
                <w:rFonts w:ascii="Times New Roman" w:cs="Times New Roman" w:eastAsia="Times New Roman" w:hAnsi="Times New Roman"/>
                <w:sz w:val="18"/>
                <w:szCs w:val="18"/>
                <w:color w:val="auto"/>
                <w:w w:val="98"/>
              </w:rPr>
              <w:t>1,328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center"/>
              <w:ind w:left="855"/>
              <w:spacing w:after="0"/>
              <w:rPr>
                <w:sz w:val="20"/>
                <w:szCs w:val="20"/>
                <w:color w:val="auto"/>
              </w:rPr>
            </w:pPr>
            <w:r>
              <w:rPr>
                <w:rFonts w:ascii="Times New Roman" w:cs="Times New Roman" w:eastAsia="Times New Roman" w:hAnsi="Times New Roman"/>
                <w:sz w:val="18"/>
                <w:szCs w:val="18"/>
                <w:color w:val="auto"/>
              </w:rPr>
              <w:t>1,679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Consumption during the period</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634"/>
              <w:spacing w:after="0"/>
              <w:rPr>
                <w:sz w:val="20"/>
                <w:szCs w:val="20"/>
                <w:color w:val="auto"/>
              </w:rPr>
            </w:pPr>
            <w:r>
              <w:rPr>
                <w:rFonts w:ascii="Times New Roman" w:cs="Times New Roman" w:eastAsia="Times New Roman" w:hAnsi="Times New Roman"/>
                <w:sz w:val="18"/>
                <w:szCs w:val="18"/>
                <w:color w:val="auto"/>
                <w:w w:val="98"/>
              </w:rPr>
              <w:t>(1,643)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center"/>
              <w:ind w:left="835"/>
              <w:spacing w:after="0"/>
              <w:rPr>
                <w:sz w:val="20"/>
                <w:szCs w:val="20"/>
                <w:color w:val="auto"/>
              </w:rPr>
            </w:pPr>
            <w:r>
              <w:rPr>
                <w:rFonts w:ascii="Times New Roman" w:cs="Times New Roman" w:eastAsia="Times New Roman" w:hAnsi="Times New Roman"/>
                <w:sz w:val="18"/>
                <w:szCs w:val="18"/>
                <w:color w:val="auto"/>
                <w:w w:val="98"/>
              </w:rPr>
              <w:t>(1,647)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8"/>
                <w:szCs w:val="18"/>
                <w:color w:val="auto"/>
                <w:w w:val="98"/>
              </w:rPr>
              <w:t>2,913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gridSpan w:val="2"/>
          </w:tcPr>
          <w:p>
            <w:pPr>
              <w:jc w:val="center"/>
              <w:ind w:left="855"/>
              <w:spacing w:after="0"/>
              <w:rPr>
                <w:sz w:val="20"/>
                <w:szCs w:val="20"/>
                <w:color w:val="auto"/>
              </w:rPr>
            </w:pPr>
            <w:r>
              <w:rPr>
                <w:rFonts w:ascii="Times New Roman" w:cs="Times New Roman" w:eastAsia="Times New Roman" w:hAnsi="Times New Roman"/>
                <w:sz w:val="18"/>
                <w:szCs w:val="18"/>
                <w:color w:val="auto"/>
              </w:rPr>
              <w:t>3,228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payments and Unearned Revenue</w:t>
            </w: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9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Our advance payments and unearned revenue are summarized below:</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0" w:type="dxa"/>
            <w:vAlign w:val="bottom"/>
          </w:tcPr>
          <w:p>
            <w:pPr>
              <w:spacing w:after="0"/>
              <w:rPr>
                <w:sz w:val="1"/>
                <w:szCs w:val="1"/>
                <w:color w:val="auto"/>
              </w:rPr>
            </w:pPr>
          </w:p>
        </w:tc>
      </w:tr>
      <w:tr>
        <w:trPr>
          <w:trHeight w:val="23"/>
        </w:trPr>
        <w:tc>
          <w:tcPr>
            <w:tcW w:w="59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payments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4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29,859</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32,304</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 of Assets and Liabilities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8"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market-based inputs or observable inputs that are corroborated by market data; and</w:t>
      </w:r>
    </w:p>
    <w:p>
      <w:pPr>
        <w:spacing w:after="0" w:line="6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0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carrying amounts, estimated fair values and valuation input levels of our assets and liabilities that are measured at fair value on a recurring basis as of July 1, 2022 and July 2, 2021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0" w:type="dxa"/>
            <w:vAlign w:val="bottom"/>
          </w:tcPr>
          <w:p>
            <w:pPr>
              <w:spacing w:after="0"/>
              <w:rPr>
                <w:sz w:val="1"/>
                <w:szCs w:val="1"/>
                <w:color w:val="auto"/>
              </w:rPr>
            </w:pPr>
          </w:p>
        </w:tc>
      </w:tr>
      <w:tr>
        <w:trPr>
          <w:trHeight w:val="128"/>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296"/>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276"/>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7"/>
                <w:szCs w:val="17"/>
                <w:color w:val="auto"/>
              </w:rPr>
            </w:pPr>
          </w:p>
        </w:tc>
        <w:tc>
          <w:tcPr>
            <w:tcW w:w="9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7"/>
                <w:szCs w:val="17"/>
                <w:color w:val="auto"/>
              </w:rPr>
            </w:pPr>
          </w:p>
        </w:tc>
        <w:tc>
          <w:tcPr>
            <w:tcW w:w="9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216"/>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9"/>
              </w:rPr>
              <w:t>Level 1</w:t>
            </w: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Pr>
          <w:p>
            <w:pPr>
              <w:spacing w:after="0"/>
              <w:rPr>
                <w:sz w:val="19"/>
                <w:szCs w:val="19"/>
                <w:color w:val="auto"/>
              </w:rPr>
            </w:pPr>
          </w:p>
        </w:tc>
        <w:tc>
          <w:tcPr>
            <w:tcW w:w="11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9"/>
              </w:rPr>
              <w:t>Level 1</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1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9"/>
              </w:rPr>
              <w:t>Level 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91"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classify items within Level 1 if quoted prices are available in active markets. Our Level 1 items mainly are marketable securities and money market funds purchased from major financial institutions. Our marketable securities are included in current assets on our balance sheet as they are available to be converted into cash to fund current operations. These marketable securities are publicly traded stock measured at fair value and classified within Level 1. As of July 1, 2022, these money market funds were valued at $1.00 net asset value per share by these financial institutions.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assets and liabilities related to our foreign currency forward contracts were not material as of July 1, 2022 and July 2, 2021. We did not have any recurring assets or liabilities that were valued using significant unobservable inputs.</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policy is to recognize asset or liability transfers among Level 1, Level 2 and Level 3 as of the actual date of the events or change in circumstances that caused the transfer. During fiscal 2022, 2021 and 2020, we had no transfers between levels of the fair value hierarchy of our assets or liabilities measured at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Credit Facility and Debt</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May 17, 2020, we entered into Amendment No. 4 to Third Amended and Restated Loan and Security Agreement with Silicon Valley Bank (the “SVB Credit Facility”) which extended the expiration date to June 28, 2024. The SVB Credit Facility provides for a $25.0 million accounts receivable formula based revolving credit facility that can be borrowed by our U.S. company, with a $25.0 million sublimit that can be borrowed by our U.S. and Singapore entities. Loans may be advanced under the SVB Credit Facility based on a borrowing base equal to a specified percentage of the value of eligible accounts of the borrowers under the SVB Credit Facility. The borrowing base is subject to certain eligibility criteria. Availability under the accounts receivable formula based revolving credit facility can also be utilized to issue letters of credit with a $12.0 million sub limit. We may prepay loans under the SVB Credit Facility in whole or in part at any time without premium or penalty. As of July 1, 2022, available credit under the SVB Credit Facility was $21.7 million reflecting the calculated borrowing base of $25.0 million less outstanding letters of credit of $3.3 million. We did not borrow against the SVB Credit Facility during fiscal 2022 or 2021 and there was no borrowing outstanding as of July 1, 2022.</w:t>
      </w:r>
    </w:p>
    <w:p>
      <w:pPr>
        <w:spacing w:after="0" w:line="13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SVB Credit Facility carries an interest rate, at our option, computed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 applicable prime or LIBOR rate.</w:t>
      </w:r>
    </w:p>
    <w:p>
      <w:pPr>
        <w:spacing w:after="0" w:line="12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SVB Credit Facility contains monthly and quarterly financial covenants including minimum adjusted quick ratio and minimum profitability (EBITDA) requirements. In the event our adjusted quick ratio falls below a certain level, cash received in our accounts with Silicon Valley Bank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 As of July 1, 2022, we were in compliance with the quarterly financial covenants, as amended, contained in the SVB Credit Facility.</w:t>
      </w:r>
    </w:p>
    <w:p>
      <w:pPr>
        <w:spacing w:after="0" w:line="134"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During fiscal 2022, we terminated an uncommitted short-term line of credit from a bank in New Zealand to support the operations of our subsidiary located there.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Restructuring Activities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restructuring related activities during fiscal year 2022, 2021 and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00" w:type="dxa"/>
            <w:vAlign w:val="bottom"/>
            <w:gridSpan w:val="5"/>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Severance and Benefits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Facilities and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5"/>
            <w:vMerge w:val="continue"/>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Q4 2022 Plan</w:t>
            </w:r>
          </w:p>
        </w:tc>
        <w:tc>
          <w:tcPr>
            <w:tcW w:w="10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Fiscal 2021 Plan</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Prior Years Plans</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Prior Years Plans</w:t>
            </w:r>
          </w:p>
        </w:tc>
        <w:tc>
          <w:tcPr>
            <w:tcW w:w="260" w:type="dxa"/>
            <w:vAlign w:val="bottom"/>
          </w:tcPr>
          <w:p>
            <w:pPr>
              <w:spacing w:after="0"/>
              <w:rPr>
                <w:sz w:val="24"/>
                <w:szCs w:val="24"/>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5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28, 2019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net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 2020</w:t>
            </w: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0" w:type="dxa"/>
            <w:vAlign w:val="bottom"/>
          </w:tcPr>
          <w:p>
            <w:pPr>
              <w:spacing w:after="0"/>
              <w:rPr>
                <w:sz w:val="1"/>
                <w:szCs w:val="1"/>
                <w:color w:val="auto"/>
              </w:rPr>
            </w:pPr>
          </w:p>
        </w:tc>
      </w:tr>
      <w:tr>
        <w:trPr>
          <w:trHeight w:val="229"/>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net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2, 2021</w:t>
            </w: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net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July 1, 2022, the sum of the accrual balance of $1.4 million was in short-term restructuring liabilities on the consolidated balance sheets. Included in the above plans for which we were carrying a provision were positions identified for termination that have not been executed from a restructuring perspective.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2022 Plan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fourth quarter of Q4 2022, our Board of Directors approved a restructuring plan (the “Q4 2022 Plan”) to restructure specific groups to optimize skill sets and align structure to execute on strategic deliverables. The Q4 2022 Plan was anticipated to entail a reduction in force of approximately 11 employees to be implemented through early fiscal year 2023, with a certain number of positions being consolidated.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2021 Plan</w:t>
      </w:r>
    </w:p>
    <w:p>
      <w:pPr>
        <w:spacing w:after="0" w:line="175"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color w:val="auto"/>
        </w:rPr>
        <w:t>During the third quarter of fiscal 2021, our Board of Directors approved restructuring plans (the “Fiscal 2021 Plan”) to continue to reduce our operating costs and improve profitability as part of our transformational initiative to optimize our business model and increase efficiencies. We recorded restructuring charges of $2.4 million related to the Fiscal 2021 Plan in fiscal 2021. The Fiscal 2021 Plan was anticipated to entail a reduction in force of approximately 30 employees to be implemented through the end of fiscal year 2022, with a certain number of positions being consolidated and/or relocated.</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Q4 2020 Plan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2020, our Board of Directors approved a restructuring plan (the “Q4 2020 Plan”) to continue to reduce our operating costs and improve profitability to optimize our business model and increase efficiencies. Payments related to the accrued restructuring liability balance for this plan was completed in the second quarter of fiscal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Years’ Plan</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Activities under the Fiscal 2015-2016 Plan primarily included reductions in workforce across the Company, but primarily in operations outside the United States. Payments related to the accrued restructuring liability balance for this plan are complete.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second quarter of fiscal 2022 we completed the $7.5 million stock repurchase program approved by our board of directors in May 2018. This repurchase program was temporarily suspended from February 2020 to February 2021. In November 2021 our board of directors approved a stock repurchase program to purchase up to $10.0 million of our common stock. During fiscal 2022, 2021 and 2020 we repurchased $5.4 million, $0.8 million and $1.8 million of our common stock in the open market respectively. As of July 1, 2022, $7.3 million remained available for repurchase under our November 2021 stock repurchase program.</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repurchase of our common stock:</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Weighted-Average Price Paid</w:t>
            </w:r>
          </w:p>
        </w:tc>
        <w:tc>
          <w:tcPr>
            <w:tcW w:w="120" w:type="dxa"/>
            <w:vAlign w:val="bottom"/>
          </w:tcPr>
          <w:p>
            <w:pPr>
              <w:spacing w:after="0"/>
              <w:rPr>
                <w:sz w:val="16"/>
                <w:szCs w:val="16"/>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Aggregate purchase</w:t>
            </w:r>
          </w:p>
        </w:tc>
        <w:tc>
          <w:tcPr>
            <w:tcW w:w="0" w:type="dxa"/>
            <w:vAlign w:val="bottom"/>
          </w:tcPr>
          <w:p>
            <w:pPr>
              <w:spacing w:after="0"/>
              <w:rPr>
                <w:sz w:val="1"/>
                <w:szCs w:val="1"/>
                <w:color w:val="auto"/>
              </w:rPr>
            </w:pPr>
          </w:p>
        </w:tc>
      </w:tr>
      <w:tr>
        <w:trPr>
          <w:trHeight w:val="21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per-share amounts)</w:t>
            </w:r>
          </w:p>
        </w:tc>
        <w:tc>
          <w:tcPr>
            <w:tcW w:w="17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20" w:type="dxa"/>
            <w:vAlign w:val="bottom"/>
          </w:tcPr>
          <w:p>
            <w:pPr>
              <w:spacing w:after="0"/>
              <w:rPr>
                <w:sz w:val="18"/>
                <w:szCs w:val="18"/>
                <w:color w:val="auto"/>
              </w:rPr>
            </w:pPr>
          </w:p>
        </w:tc>
        <w:tc>
          <w:tcPr>
            <w:tcW w:w="15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211"/>
        </w:trPr>
        <w:tc>
          <w:tcPr>
            <w:tcW w:w="5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2022 Treasury Shares</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175,356</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5,361</w:t>
            </w:r>
          </w:p>
        </w:tc>
        <w:tc>
          <w:tcPr>
            <w:tcW w:w="0" w:type="dxa"/>
            <w:vAlign w:val="bottom"/>
          </w:tcPr>
          <w:p>
            <w:pPr>
              <w:spacing w:after="0"/>
              <w:rPr>
                <w:sz w:val="1"/>
                <w:szCs w:val="1"/>
                <w:color w:val="auto"/>
              </w:rPr>
            </w:pPr>
          </w:p>
        </w:tc>
      </w:tr>
      <w:tr>
        <w:trPr>
          <w:trHeight w:val="21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Fiscal 2021 Treasury Shares</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19,587</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0" w:type="dxa"/>
            <w:vAlign w:val="bottom"/>
          </w:tcPr>
          <w:p>
            <w:pPr>
              <w:spacing w:after="0"/>
              <w:rPr>
                <w:sz w:val="1"/>
                <w:szCs w:val="1"/>
                <w:color w:val="auto"/>
              </w:rPr>
            </w:pPr>
          </w:p>
        </w:tc>
      </w:tr>
      <w:tr>
        <w:trPr>
          <w:trHeight w:val="219"/>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2020</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Starting in February 2021, repurchased shares were recorded as treasury stock and we do not anticipate retiring them. Treasury stock did not participate in the two-for-one stock split in the form of a stock dividend paid on April 7, 2021. All repurchased shares prior to February 2021 were retired and reflected the two-for-one stock split. As of July 1, 2022, $7.3 million remained available for repurchase under our November 2021 stock repurchase program.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Programs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Equity Plan</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At July 1, 2022, we had one stock incentive plan for our employees and non-employee directors, the 2018 Incentive Plan (the “2018 Plan”). The 2018 Plan was approved by the stockholders at the fiscal year 2017 Annual Stockholders’ Meeting and it added 500,000 shares to the equity pool of shares available to grant to employees and non-employee directors. The 2018 Plan replaced the 2007 Plan as our primary long-term incentive program (“LTIP”). The 2007 Plan was discontinued following stockholder approval of the 2018 Plan, but the outstanding awards under the 2007 Plan will continue to remain in effect in accordance with their terms; provided that, as shares are returned under the 2007 Plan upon cancellation, termination or otherwise of awards outstanding under the 2007 Plan, such shares will be available for grant under the 2018 Plan. The 2018 Plan also provides for the issuance of share-based awards in the form of stock options, stock appreciation rights, restricted stock awards and units, and performance share awards and units.</w:t>
      </w:r>
    </w:p>
    <w:p>
      <w:pPr>
        <w:spacing w:after="0" w:line="13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Under the 2018 Plan, option exercise prices are equal to the fair market value of our common stock on the date the options are granted using our closing stock price. After vesting, options generally may be exercised within seven years after the date of grant.</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to non-executive board members annually generally vest on the day before the annual stockholders’ meeting.</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Vesting of performance share awards and units is subject to the achievement of predetermined financial performance criteria and continued employment through the end of the applicable period. Market-based stock units vest upon meeting certain predetermined share price performance criteria and continued employment through the end of the applicable period.</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issue new shares of our common stock to our employees upon the exercise of stock options, vesting of restricted stock awards and units or vesting of performance share awards and units. All awards that are canceled prior to vesting or expire unexercised are returned to the approved pool of reserved shares and made available for future grants under the 2018 Plan. Shares of our common stock remaining available for future issuance under the 2018 Plan totaled 932,752 as of July 1, 2022.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March 3, 2020, our Board of Directors authorized and declared a dividend distribution of one right (a “Right”) for each outstanding share of our common stock, par value $0.01 per share, to our stockholders of record as of the close of business on March 3, 2020, (the “Record Date”). Each Right entitles the registered holder to purchase from the Company one one-thousandth of a share of Series A Participating Preferred Stock, par value $0.01 per share (the “Preferred Shares”), of the Company at an exercise price of $35.00 per one one-thousandth of a Preferred Share, subject to adjustment. Until the rights become exercisable, they will not be evidenced by separate certificates and will trade automatically with shares of the Company’s common stock. The Rights have a de minimis fair value. The complete terms of the Rights are set forth in The Plan, dated as of March 3, 2020, and amended as of August 27, 2020, between the Company and Computershare Inc., as rights agent. By adopting the Plan, we are helping to preserve the value of certain deferred tax benefits, including those generated by net operating losses (collectively, the “Tax Benefits”), which could be lost in the event of an “ownership change” as defined under Section 382 Code. We submitted the Plan to a stockholder vote and our stockholders voted to approve the Plan at the 2020 Annual Meeting of Stockholders.</w:t>
      </w:r>
    </w:p>
    <w:p>
      <w:pPr>
        <w:spacing w:after="0" w:line="2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Also, on September 6, 2016, our Board of Directors adopted certain amendments to our Amended and Restated Certificate of Incorporation, as amended (the “Charter Amendments”) The Charter Amendments are designed to preserve the Tax Benefits by restricting certain transfers of our common stock.</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Under the Employee Stock Purchase Plan (“ESPP”), employees are entitled to purchase shares of our common stock at a 5% discount from the fair market value at the end of a three-month purchase period. As of July 1, 2022, 110,123 shares were reserved for future issuances under the ESPP. We issued 2,329 shares under the ESPP during fiscal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Total following table presents the compensation expense for share-based awards included in our consolidated statements of operations for fiscal 2022, 2021 and 2020:</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6600" w:type="dxa"/>
            <w:vAlign w:val="bottom"/>
            <w:tcBorders>
              <w:bottom w:val="single" w:sz="8" w:color="CCEEFF"/>
            </w:tcBorders>
            <w:gridSpan w:val="3"/>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By Expense Category:</w:t>
            </w:r>
          </w:p>
        </w:tc>
        <w:tc>
          <w:tcPr>
            <w:tcW w:w="48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product sales and services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0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By Types of Award: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60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share awards and units and market-based stock units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unamortized compensation expense and the remaining years over which such expense would be expected to be recognized, on a weighted-average basis, by type of award:</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20" w:type="dxa"/>
            <w:vAlign w:val="bottom"/>
          </w:tcPr>
          <w:p>
            <w:pPr>
              <w:spacing w:after="0"/>
              <w:rPr>
                <w:sz w:val="11"/>
                <w:szCs w:val="1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Unamortized Expense</w:t>
            </w:r>
          </w:p>
        </w:tc>
        <w:tc>
          <w:tcPr>
            <w:tcW w:w="29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 Remaining Recognition</w:t>
            </w:r>
          </w:p>
        </w:tc>
        <w:tc>
          <w:tcPr>
            <w:tcW w:w="0" w:type="dxa"/>
            <w:vAlign w:val="bottom"/>
          </w:tcPr>
          <w:p>
            <w:pPr>
              <w:spacing w:after="0"/>
              <w:rPr>
                <w:sz w:val="1"/>
                <w:szCs w:val="1"/>
                <w:color w:val="auto"/>
              </w:rPr>
            </w:pPr>
          </w:p>
        </w:tc>
      </w:tr>
      <w:tr>
        <w:trPr>
          <w:trHeight w:val="195"/>
        </w:trPr>
        <w:tc>
          <w:tcPr>
            <w:tcW w:w="672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4"/>
        </w:trPr>
        <w:tc>
          <w:tcPr>
            <w:tcW w:w="67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6"/>
                <w:szCs w:val="16"/>
                <w:color w:val="auto"/>
              </w:rPr>
            </w:pPr>
          </w:p>
        </w:tc>
        <w:tc>
          <w:tcPr>
            <w:tcW w:w="2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(Years)</w:t>
            </w:r>
          </w:p>
        </w:tc>
        <w:tc>
          <w:tcPr>
            <w:tcW w:w="0" w:type="dxa"/>
            <w:vAlign w:val="bottom"/>
          </w:tcPr>
          <w:p>
            <w:pPr>
              <w:spacing w:after="0"/>
              <w:rPr>
                <w:sz w:val="1"/>
                <w:szCs w:val="1"/>
                <w:color w:val="auto"/>
              </w:rPr>
            </w:pPr>
          </w:p>
        </w:tc>
      </w:tr>
      <w:tr>
        <w:trPr>
          <w:trHeight w:val="23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shd w:val="clear" w:color="auto" w:fill="CCEEFF"/>
          </w:tcPr>
          <w:p>
            <w:pPr>
              <w:spacing w:after="0"/>
              <w:rPr>
                <w:sz w:val="20"/>
                <w:szCs w:val="20"/>
                <w:color w:val="auto"/>
              </w:rPr>
            </w:pP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1.11</w:t>
            </w: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20" w:type="dxa"/>
            <w:vAlign w:val="bottom"/>
          </w:tcPr>
          <w:p>
            <w:pPr>
              <w:spacing w:after="0"/>
              <w:rPr>
                <w:sz w:val="19"/>
                <w:szCs w:val="19"/>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2.02</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awards and units</w:t>
            </w:r>
          </w:p>
        </w:tc>
        <w:tc>
          <w:tcPr>
            <w:tcW w:w="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shd w:val="clear" w:color="auto" w:fill="CCEEFF"/>
          </w:tcPr>
          <w:p>
            <w:pPr>
              <w:spacing w:after="0"/>
              <w:rPr>
                <w:sz w:val="19"/>
                <w:szCs w:val="19"/>
                <w:color w:val="auto"/>
              </w:rPr>
            </w:pP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combined stock option activity under our equity plans during fiscal 2022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3"/>
                <w:szCs w:val="13"/>
                <w:color w:val="auto"/>
              </w:rPr>
            </w:pPr>
          </w:p>
        </w:tc>
        <w:tc>
          <w:tcPr>
            <w:tcW w:w="124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4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24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20" w:type="dxa"/>
            <w:vAlign w:val="bottom"/>
          </w:tcPr>
          <w:p>
            <w:pPr>
              <w:spacing w:after="0"/>
              <w:rPr>
                <w:sz w:val="17"/>
                <w:szCs w:val="17"/>
                <w:color w:val="auto"/>
              </w:rPr>
            </w:pPr>
          </w:p>
        </w:tc>
        <w:tc>
          <w:tcPr>
            <w:tcW w:w="12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(Years)</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3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as of July 2,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540,790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w:t>
            </w:r>
          </w:p>
        </w:tc>
        <w:tc>
          <w:tcPr>
            <w:tcW w:w="0" w:type="dxa"/>
            <w:vAlign w:val="bottom"/>
          </w:tcPr>
          <w:p>
            <w:pPr>
              <w:spacing w:after="0"/>
              <w:rPr>
                <w:sz w:val="1"/>
                <w:szCs w:val="1"/>
                <w:color w:val="auto"/>
              </w:rPr>
            </w:pPr>
          </w:p>
        </w:tc>
      </w:tr>
      <w:tr>
        <w:trPr>
          <w:trHeight w:val="229"/>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as of July 1, 2022</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 as of July 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469,716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0" w:type="dxa"/>
            <w:vAlign w:val="bottom"/>
          </w:tcPr>
          <w:p>
            <w:pPr>
              <w:spacing w:after="0"/>
              <w:rPr>
                <w:sz w:val="1"/>
                <w:szCs w:val="1"/>
                <w:color w:val="auto"/>
              </w:rPr>
            </w:pP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as of July 1, 2022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aggregate intrinsic value represents the total pre-tax intrinsic value or the aggregate difference between the closing price of our common stock on July 1, 2022 of $25.09, and the exercise price for in-the-money options that would have been received by the optionees if all options had been exercised on July 1, 2022.</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Additional information related to our stock options is summarized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under our 2018 Stock Plan was estimated using the Black-Scholes option pricing model on the date of grant. A summary of the significant weighted-average assumptions we used in the Black-Scholes valuation model is as follows:</w:t>
      </w:r>
    </w:p>
    <w:p>
      <w:pPr>
        <w:spacing w:after="0" w:line="250"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51.7 %</w:t>
            </w:r>
          </w:p>
        </w:tc>
      </w:tr>
      <w:tr>
        <w:trPr>
          <w:trHeight w:val="230"/>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4"/>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summarizes all of our stock options outstanding and exercisable as of July 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6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0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Actual Range of Exercise Prices</w:t>
            </w:r>
          </w:p>
        </w:tc>
        <w:tc>
          <w:tcPr>
            <w:tcW w:w="1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0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15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4"/>
        </w:trPr>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(Years)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2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8"/>
              </w:rPr>
              <w:t>$6.42</w:t>
            </w:r>
          </w:p>
        </w:tc>
        <w:tc>
          <w:tcPr>
            <w:tcW w:w="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$6.42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29"/>
        </w:trPr>
        <w:tc>
          <w:tcPr>
            <w:tcW w:w="126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8"/>
              </w:rPr>
              <w:t>$7.23</w:t>
            </w:r>
          </w:p>
        </w:tc>
        <w:tc>
          <w:tcPr>
            <w:tcW w:w="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$7.23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8"/>
              </w:rPr>
              <w:t>$8.90</w:t>
            </w:r>
          </w:p>
        </w:tc>
        <w:tc>
          <w:tcPr>
            <w:tcW w:w="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$8.90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30"/>
        </w:trPr>
        <w:tc>
          <w:tcPr>
            <w:tcW w:w="126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6"/>
              </w:rPr>
              <w:t>$11.00</w:t>
            </w:r>
          </w:p>
        </w:tc>
        <w:tc>
          <w:tcPr>
            <w:tcW w:w="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$11.00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$17.25</w:t>
            </w:r>
          </w:p>
        </w:tc>
        <w:tc>
          <w:tcPr>
            <w:tcW w:w="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6"/>
              </w:rPr>
              <w:t>$35.97</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8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111,505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9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 and Units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status of our restricted stock as of July 1, 2022 and changes during fiscal 2022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7880" w:type="dxa"/>
            <w:vAlign w:val="bottom"/>
          </w:tcPr>
          <w:p>
            <w:pPr>
              <w:spacing w:after="0"/>
              <w:rPr>
                <w:sz w:val="12"/>
                <w:szCs w:val="12"/>
                <w:color w:val="auto"/>
              </w:rPr>
            </w:pPr>
          </w:p>
        </w:tc>
        <w:tc>
          <w:tcPr>
            <w:tcW w:w="15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78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outstanding as of July 2, 2021</w:t>
            </w:r>
          </w:p>
        </w:tc>
        <w:tc>
          <w:tcPr>
            <w:tcW w:w="15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189,244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29"/>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279,588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 and released</w:t>
            </w:r>
          </w:p>
        </w:tc>
        <w:tc>
          <w:tcPr>
            <w:tcW w:w="15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(46,788)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(38,787)</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outstanding as of July 1, 2022</w:t>
            </w:r>
          </w:p>
        </w:tc>
        <w:tc>
          <w:tcPr>
            <w:tcW w:w="15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383,257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fair value of each restricted stock grant is based on the closing price of our common stock on the date of grant. The total grant date fair value of restricted stock that vested during fiscal 2022, 2021 and 2020 was $0.5 million, $0.5 million and $1.7 million, respectively.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Market-Based Stock Units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status of our market-based stock units as of July 1, 2022 and changes during fiscal 2022 is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7900" w:type="dxa"/>
            <w:vAlign w:val="bottom"/>
          </w:tcPr>
          <w:p>
            <w:pPr>
              <w:spacing w:after="0"/>
              <w:rPr>
                <w:sz w:val="12"/>
                <w:szCs w:val="12"/>
                <w:color w:val="auto"/>
              </w:rPr>
            </w:pPr>
          </w:p>
        </w:tc>
        <w:tc>
          <w:tcPr>
            <w:tcW w:w="158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ind w:right="97"/>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Market-based stock units outstanding as of July 2, 2021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3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 and released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Market-based stock units outstanding as of July 1,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208,059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fair value for each market-based stock units with market condition was estimated using the Monte-Carlo simulation model. A summary of the significant weighted-average assumptions we used in the Monte-Carlo simulation model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240" w:type="dxa"/>
            <w:vAlign w:val="bottom"/>
            <w:gridSpan w:val="3"/>
          </w:tcPr>
          <w:p>
            <w:pPr>
              <w:ind w:left="14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77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90"/>
        </w:trPr>
        <w:tc>
          <w:tcPr>
            <w:tcW w:w="77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6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 - 60.0%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 - 48.9%</w:t>
            </w:r>
          </w:p>
        </w:tc>
        <w:tc>
          <w:tcPr>
            <w:tcW w:w="100" w:type="dxa"/>
            <w:vAlign w:val="bottom"/>
          </w:tcPr>
          <w:p>
            <w:pPr>
              <w:spacing w:after="0"/>
              <w:rPr>
                <w:sz w:val="19"/>
                <w:szCs w:val="19"/>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 - 0.45%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 - 0.19%</w:t>
            </w:r>
          </w:p>
        </w:tc>
        <w:tc>
          <w:tcPr>
            <w:tcW w:w="100" w:type="dxa"/>
            <w:vAlign w:val="bottom"/>
            <w:shd w:val="clear" w:color="auto" w:fill="CCEEFF"/>
          </w:tcPr>
          <w:p>
            <w:pPr>
              <w:spacing w:after="0"/>
              <w:rPr>
                <w:sz w:val="19"/>
                <w:szCs w:val="19"/>
                <w:color w:val="auto"/>
              </w:rPr>
            </w:pP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per share 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$35.56 - $31.88</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20"/>
                <w:szCs w:val="20"/>
                <w:color w:val="auto"/>
              </w:rPr>
            </w:pPr>
          </w:p>
        </w:tc>
      </w:tr>
    </w:tbl>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Awards and Units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status of our performance shares awards and units as of July 1, 2022 and changes during fiscal 2022 is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37"/>
        </w:trPr>
        <w:tc>
          <w:tcPr>
            <w:tcW w:w="7940" w:type="dxa"/>
            <w:vAlign w:val="bottom"/>
          </w:tcPr>
          <w:p>
            <w:pPr>
              <w:spacing w:after="0"/>
              <w:rPr>
                <w:sz w:val="11"/>
                <w:szCs w:val="11"/>
                <w:color w:val="auto"/>
              </w:rPr>
            </w:pPr>
          </w:p>
        </w:tc>
        <w:tc>
          <w:tcPr>
            <w:tcW w:w="150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awards and units outstanding as of July 2, 2021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 and released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Forfeited/Cancelled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(40,346)</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awards and units outstanding as of July 1,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performance share units that vested during fiscal 2022, 2021 and 2020 was $0.4 million, $0.4 million and $0.5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Segment and Geographic Information</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the Chief Operating Decision Maker (the “CODM”). Our CODM manages our business primarily by function globally and reviews financial information on a consolidated basis, accompanied by disaggregated information about revenues by geographic region, for purposes of allocating resources and evaluating financial performance. The profitability of our geographic regions is not a determining factor in allocating resources and the CODM does not evaluate profitability below the level of the consolidated company.</w:t>
      </w:r>
    </w:p>
    <w:p>
      <w:pPr>
        <w:spacing w:after="0" w:line="1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report revenue by region and country based on the location where our customers accept delivery of our products and services. Revenue by region for 2022, 2021 and 2020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183,071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Africa and Middle East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 and Asia Pacific</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42,658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38,991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274,911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9760" w:type="dxa"/>
            <w:vAlign w:val="bottom"/>
            <w:gridSpan w:val="9"/>
          </w:tcPr>
          <w:p>
            <w:pPr>
              <w:ind w:left="500"/>
              <w:spacing w:after="0"/>
              <w:rPr>
                <w:sz w:val="20"/>
                <w:szCs w:val="20"/>
                <w:color w:val="auto"/>
              </w:rPr>
            </w:pPr>
            <w:r>
              <w:rPr>
                <w:rFonts w:ascii="Times New Roman" w:cs="Times New Roman" w:eastAsia="Times New Roman" w:hAnsi="Times New Roman"/>
                <w:sz w:val="18"/>
                <w:szCs w:val="18"/>
                <w:color w:val="auto"/>
              </w:rPr>
              <w:t>Revenue by country comprising more than 5% of our total revenue for fiscal 2022, 2021 and 2020 was as follows: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21"/>
                <w:szCs w:val="21"/>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66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215"/>
        </w:trPr>
        <w:tc>
          <w:tcPr>
            <w:tcW w:w="6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65.6 %</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Philippines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2021:</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66.1 %</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2020:</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61.9 %</w:t>
            </w:r>
          </w:p>
        </w:tc>
        <w:tc>
          <w:tcPr>
            <w:tcW w:w="0" w:type="dxa"/>
            <w:vAlign w:val="bottom"/>
          </w:tcPr>
          <w:p>
            <w:pPr>
              <w:spacing w:after="0"/>
              <w:rPr>
                <w:sz w:val="1"/>
                <w:szCs w:val="1"/>
                <w:color w:val="auto"/>
              </w:rPr>
            </w:pPr>
          </w:p>
        </w:tc>
      </w:tr>
      <w:tr>
        <w:trPr>
          <w:trHeight w:val="234"/>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Philippines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Our long-lived assets, consisting primarily of net property, plant and equipment, by geographic areas based on the physical location of the assets as of July 1, 2022 and July 2, 2021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40" w:type="dxa"/>
            <w:vAlign w:val="bottom"/>
          </w:tcPr>
          <w:p>
            <w:pPr>
              <w:spacing w:after="0"/>
              <w:rPr>
                <w:sz w:val="16"/>
                <w:szCs w:val="16"/>
                <w:color w:val="auto"/>
              </w:rPr>
            </w:pPr>
          </w:p>
        </w:tc>
        <w:tc>
          <w:tcPr>
            <w:tcW w:w="12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July 2, 2021</w:t>
            </w:r>
          </w:p>
        </w:tc>
      </w:tr>
      <w:tr>
        <w:trPr>
          <w:trHeight w:val="23"/>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Zealand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Slovenia</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48"/>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Income before provision for income taxes during fiscal year 2022, 2021 and 2020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31,923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26,325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8"/>
              </w:rPr>
              <w:t>9,497</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8"/>
              </w:rPr>
              <w:t>(3,885)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435"/>
              <w:spacing w:after="0"/>
              <w:rPr>
                <w:sz w:val="20"/>
                <w:szCs w:val="20"/>
                <w:color w:val="auto"/>
              </w:rPr>
            </w:pPr>
            <w:r>
              <w:rPr>
                <w:rFonts w:ascii="Times New Roman" w:cs="Times New Roman" w:eastAsia="Times New Roman" w:hAnsi="Times New Roman"/>
                <w:sz w:val="18"/>
                <w:szCs w:val="18"/>
                <w:color w:val="auto"/>
                <w:w w:val="98"/>
              </w:rPr>
              <w:t>(5,788)</w:t>
            </w:r>
          </w:p>
        </w:tc>
        <w:tc>
          <w:tcPr>
            <w:tcW w:w="0" w:type="dxa"/>
            <w:vAlign w:val="bottom"/>
          </w:tcPr>
          <w:p>
            <w:pPr>
              <w:spacing w:after="0"/>
              <w:rPr>
                <w:sz w:val="1"/>
                <w:szCs w:val="1"/>
                <w:color w:val="auto"/>
              </w:rPr>
            </w:pPr>
          </w:p>
        </w:tc>
      </w:tr>
      <w:tr>
        <w:trPr>
          <w:trHeight w:val="248"/>
        </w:trPr>
        <w:tc>
          <w:tcPr>
            <w:tcW w:w="6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30,435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22,440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8"/>
              </w:rPr>
              <w:t>3,709</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Provision for (benefit from) income taxes for fiscal year 2022, 2021 and 2020 were summarized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tcBorders>
              <w:bottom w:val="single" w:sz="8" w:color="CCEEFF"/>
            </w:tcBorders>
            <w:vMerge w:val="continue"/>
          </w:tcPr>
          <w:p>
            <w:pPr>
              <w:spacing w:after="0"/>
              <w:rPr>
                <w:sz w:val="16"/>
                <w:szCs w:val="16"/>
                <w:color w:val="auto"/>
              </w:rPr>
            </w:pPr>
          </w:p>
        </w:tc>
        <w:tc>
          <w:tcPr>
            <w:tcW w:w="2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provision (benefit):</w:t>
            </w:r>
          </w:p>
        </w:tc>
        <w:tc>
          <w:tcPr>
            <w:tcW w:w="2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2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provision (benefit):</w:t>
            </w:r>
          </w:p>
        </w:tc>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20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(89,988)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provision for (benefit from) income taxes</w:t>
            </w:r>
          </w:p>
        </w:tc>
        <w:tc>
          <w:tcPr>
            <w:tcW w:w="2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54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provision for (benefit from) income taxes differed from the amount computed by applying the federal statutory rate of 21.0%, to our income before provision for (benefit from) income taxes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provision at statutory rate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taxes, net of U.S. federal tax benefit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taxed at rates different than the U.S. statutory rate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57"/>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compensation limitation</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excess tax benefits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credit/deductions - generated and expired</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withholding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 withholding tax receivable</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Return-to-provision/Deferred true-up adjustments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3"/>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provision for (benefit from) income taxes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(87,699)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provision for (benefit from) income taxes was $9.3 million of expense for fiscal 2022, $87.7 million of benefit for fiscal 2021 and $3.5 million of expense for fiscal 2020. Our tax expense for fiscal 2022 was primarily due to tax expense related to U.S. and profitable foreign subsidiaries.</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tax benefit for fiscal 2021 was primarily due to the release of $92.2 million in valuation allowance on our U.S. federal and state deferred tax assets, offset by tax expenses related to profitable foreign subsidiaries and an increase in our reserve for uncertain tax positions.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deferred tax assets and liabilities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1, 2022</w:t>
            </w:r>
          </w:p>
        </w:tc>
        <w:tc>
          <w:tcPr>
            <w:tcW w:w="240" w:type="dxa"/>
            <w:vAlign w:val="bottom"/>
          </w:tcPr>
          <w:p>
            <w:pPr>
              <w:spacing w:after="0"/>
              <w:rPr>
                <w:sz w:val="16"/>
                <w:szCs w:val="16"/>
                <w:color w:val="auto"/>
              </w:rPr>
            </w:pPr>
          </w:p>
        </w:tc>
        <w:tc>
          <w:tcPr>
            <w:tcW w:w="12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July 2, 2021</w:t>
            </w:r>
          </w:p>
        </w:tc>
        <w:tc>
          <w:tcPr>
            <w:tcW w:w="0" w:type="dxa"/>
            <w:vAlign w:val="bottom"/>
          </w:tcPr>
          <w:p>
            <w:pPr>
              <w:spacing w:after="0"/>
              <w:rPr>
                <w:sz w:val="1"/>
                <w:szCs w:val="1"/>
                <w:color w:val="auto"/>
              </w:rPr>
            </w:pPr>
          </w:p>
        </w:tc>
      </w:tr>
      <w:tr>
        <w:trPr>
          <w:trHeight w:val="23"/>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Accruals and reserves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Bad debts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exchange gain/loss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loss carryforwards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119,287</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141,514</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(37,447)</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104,067</w:t>
            </w:r>
          </w:p>
        </w:tc>
        <w:tc>
          <w:tcPr>
            <w:tcW w:w="0" w:type="dxa"/>
            <w:vAlign w:val="bottom"/>
          </w:tcPr>
          <w:p>
            <w:pPr>
              <w:spacing w:after="0"/>
              <w:rPr>
                <w:sz w:val="1"/>
                <w:szCs w:val="1"/>
                <w:color w:val="auto"/>
              </w:rPr>
            </w:pPr>
          </w:p>
        </w:tc>
      </w:tr>
      <w:tr>
        <w:trPr>
          <w:trHeight w:val="20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Branch undistributed earnings reserve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 on the Consolidated Balance Sheets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103,467</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23"/>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deferred income tax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94,849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102,853</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valuation allowance related to deferred income taxes, as reflected in our consolidated balance sheets, was $37.5 million as of July 1, 2022 and $37.4 million as of July 2, 2021. The change in valuation allowance for the fiscal years ended July 1, 2022 and July 2, 2021 was an increase of $0.1 million and a decrease of $98.7 million, respectively. The increase in the valuation allowance in fiscal 2022 was primarily due to losses in tax jurisdictions in which we cannot recognize tax benefits, partially offset by the release of certain U.S. federal, state, and foreign valuation allowances. The decrease in the valuation allowance in fiscal 2021 was primarily due to the release of certain U.S. federal, state, and foreign valuation allowances, partially offset by losses in tax jurisdictions in which we cannot recognize tax benefits. During the third quarter of fiscal 2021, we recorded a valuation allowance release of $92.2 million as a discrete item based on management’s reassessment of the amount of its U.S. federal and state deferred tax assets that are more likely than not to be realized, primarily as a result of increases in U.S. profitability in the current period and expectations of continued profitability in future periods. In performing our analysis, we used the most updated plans and estimates that we currently use to manage the underlying business and calculated the utilization of our deferred tax assets. As of July 1, 2022, we continue to maintain a valuation allowance of $1.1 million on certain U.S. federal and state deferred tax assets that we believe is not more likely than not to be realized in future periods.</w:t>
      </w:r>
    </w:p>
    <w:p>
      <w:pPr>
        <w:spacing w:after="0" w:line="1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Tax loss and credit carryforwards as of July 1, 2022 have expiration dates ranging between one year and no expiration in certain instances. The amounts of U.S. federal tax loss carryforwards as of July 1, 2022 was $358.9 million and begin to expire in fiscal 2023. The amount of U.S. federal and state tax credit carryforwards as of July 1, 2022 was $7.0 million, and certain credits began to expire in fiscal 2023. The amount of foreign tax loss carryforwards as of July 1, 2022 was $188.0 million and certain losses began to expire in fiscal 2023. The amount of foreign tax credit carryforwards as of July 1, 2022 was $2.8 million, and certain credits will begin to expire in fiscal 2026.</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use the flow-through method to account for investment tax credits generated on eligible scientific research and development expenditures. Under this method, the investment tax credits are recognized as a benefit to income tax in the year they are generated.</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United States income taxes have not been provided on basis differences in foreign subsidiaries of $3.2 million as of July 1, 2022 because of our intention to reinvest these earnings indefinitely. Additionally, no foreign withholding taxes, federal or state taxes have been provided if these unremitted earnings of the Company’s foreign subsidiaries were distributed, as such amounts are considered permanently reinvested.</w:t>
      </w:r>
    </w:p>
    <w:p>
      <w:pPr>
        <w:spacing w:after="0" w:line="1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It is not practicable to estimate the additional income taxes, including applicable foreign withholding taxes, that would be due upon the repatriation of these earnings.</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July 1, 2022, we had unrecognized tax benefits of $17.7 million for various federal, foreign, and state income tax matters. Unrecognized tax benefits increased by $0.4 million during fiscal 2022. Our total unrecognized tax benefits that, if recognized, would affect our effective tax rate was $9.7 million as of July 1, 2022. These unrecognized tax benefits are presented on the accompanying consolidated balance sheets net of the tax effects of net operating loss carryforwards.</w:t>
      </w:r>
    </w:p>
    <w:p>
      <w:pPr>
        <w:spacing w:after="0" w:line="12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account for interest and penalties related to unrecognized tax benefits as part of our provision for income taxes. The interest accrued was $0.7 million as of July 1, 2022. As of July 2, 2021, an immaterial amount of penalties have been accrued.</w:t>
      </w:r>
    </w:p>
    <w:p>
      <w:pPr>
        <w:sectPr>
          <w:pgSz w:w="11900" w:h="16838" w:orient="portrait"/>
          <w:cols w:equalWidth="0" w:num="1">
            <w:col w:w="11240"/>
          </w:cols>
          <w:pgMar w:left="320" w:top="391" w:right="339" w:bottom="1440" w:gutter="0" w:footer="0" w:header="0"/>
        </w:sectPr>
      </w:pP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unrecognized tax benefit activity for fiscal 2022, 2021 and 2020 was as follows:</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 as of June 28, 2019</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in current periods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related to change of foreign exchange rate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 as of July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in prior periods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in current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for tax positions in prior periods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related to change of foreign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 as of July 2, 2021</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 for tax positions in current periods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for tax positions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Decreases related to change of foreign exchange rate</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 as of July 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left="604"/>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61" w:lineRule="exact"/>
        <w:rPr>
          <w:sz w:val="20"/>
          <w:szCs w:val="20"/>
          <w:color w:val="auto"/>
        </w:rPr>
      </w:pPr>
    </w:p>
    <w:p>
      <w:pPr>
        <w:ind w:left="1164" w:hanging="1164"/>
        <w:spacing w:after="0"/>
        <w:tabs>
          <w:tab w:leader="none" w:pos="11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12,987</w:t>
      </w:r>
    </w:p>
    <w:p>
      <w:pPr>
        <w:spacing w:after="0" w:line="27" w:lineRule="exact"/>
        <w:rPr>
          <w:rFonts w:ascii="Times New Roman" w:cs="Times New Roman" w:eastAsia="Times New Roman" w:hAnsi="Times New Roman"/>
          <w:sz w:val="18"/>
          <w:szCs w:val="18"/>
          <w:color w:val="auto"/>
        </w:rPr>
      </w:pPr>
    </w:p>
    <w:p>
      <w:pPr>
        <w:ind w:left="12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7,023</w:t>
      </w:r>
    </w:p>
    <w:p>
      <w:pPr>
        <w:spacing w:after="0" w:line="22" w:lineRule="exact"/>
        <w:rPr>
          <w:rFonts w:ascii="Times New Roman" w:cs="Times New Roman" w:eastAsia="Times New Roman" w:hAnsi="Times New Roman"/>
          <w:sz w:val="18"/>
          <w:szCs w:val="18"/>
          <w:color w:val="auto"/>
        </w:rPr>
      </w:pPr>
    </w:p>
    <w:p>
      <w:pPr>
        <w:ind w:left="12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3,094</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(4,692)</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1055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1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18,047</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184</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869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(1,788)</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(57)</w:t>
      </w:r>
    </w:p>
    <w:p>
      <w:pPr>
        <w:spacing w:after="0" w:line="3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17,255</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54</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704</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(104)</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1055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11" w:lineRule="exact"/>
        <w:rPr>
          <w:sz w:val="20"/>
          <w:szCs w:val="20"/>
          <w:color w:val="auto"/>
        </w:rPr>
      </w:pPr>
    </w:p>
    <w:p>
      <w:pPr>
        <w:ind w:left="1164" w:hanging="1164"/>
        <w:spacing w:after="0"/>
        <w:tabs>
          <w:tab w:leader="none" w:pos="11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055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1055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796" w:space="720"/>
            <w:col w:w="1724"/>
          </w:cols>
          <w:pgMar w:left="320" w:top="391" w:right="339" w:bottom="1440" w:gutter="0" w:footer="0" w:header="0"/>
          <w:type w:val="continuous"/>
        </w:sectPr>
      </w:pPr>
    </w:p>
    <w:p>
      <w:pPr>
        <w:spacing w:after="0" w:line="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unrecognized tax benefit for tax positions in prior periods for fiscal year 2022 related to settlements with tax authorities in the table above. Our unrecognized tax benefit decreased for tax positions in prior periods by $0.9 million and $3.8 million for fiscal year 2021 and 2020, respectively, related to settlements with tax authorities in the table above.</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a number of years with open tax audits which vary from jurisdiction to jurisdiction. Our major tax jurisdictions that are open and subject to potential audits include the U.S., Singapore, Nigeria, and Saudi Arabia. The earliest years for these jurisdictions are as follows: U.S. - 2003; Singapore - 2015; Nigeria – 2006; and Saudi Arabia - 2019.</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December 27, 2020, the US enacted the Consolidated Appropriations Act of 2021 (CAA) which extended and expanded certain tax relief measures created by the CARES Act, including, but not limited to, (1) second round of Payroll Protection Program loans, and (2) the Employer Retention Credit for 2021.</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11, 2021, the US enacted the American Rescue Plan Act of 2021 (ARPA) which expands Section 162(m) to cover the next five most highly compensated employees for the taxable year, in addition to the “covered employees” effective for taxable years beginning after December 31, 2026. We continue to examine the elements of CAA and ARPA and the impact they may have on our future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Orders and Other Commitments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July 1, 2022, we had outstanding purchase obligations and other commitments as follows:</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color w:val="auto"/>
              </w:rPr>
              <w:t>Payments due by period</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Purchase obligations with suppliers of contract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55"/>
        </w:trPr>
        <w:tc>
          <w:tcPr>
            <w:tcW w:w="38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manufacturers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45,378</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52,817</w:t>
            </w:r>
          </w:p>
        </w:tc>
        <w:tc>
          <w:tcPr>
            <w:tcW w:w="0" w:type="dxa"/>
            <w:vAlign w:val="bottom"/>
          </w:tcPr>
          <w:p>
            <w:pPr>
              <w:spacing w:after="0"/>
              <w:rPr>
                <w:sz w:val="1"/>
                <w:szCs w:val="1"/>
                <w:color w:val="auto"/>
              </w:rPr>
            </w:pPr>
          </w:p>
        </w:tc>
      </w:tr>
      <w:tr>
        <w:trPr>
          <w:trHeight w:val="180"/>
        </w:trPr>
        <w:tc>
          <w:tcPr>
            <w:tcW w:w="38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Contractual obligations associated with software as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service and software maintenance support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obligations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48,273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56,758</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 and Commercial Commitments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July 1, 2022, we had no guarantees applicable to our debt arrangements.</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July 1, 2022, we had commercial commitments of $65.4 million outstanding that were not recorded on our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July 1, 2022,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July 1, 2022, we had not recorded any liabilities related to these indemnifications.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subject from time to time to disputes with customers concerning our products and services. In May 2016, we received notification of a claim for damages from a customer alleging that certain of our products were defective which we settled for an immaterial amount during the third quarter of 2021.</w:t>
      </w:r>
    </w:p>
    <w:p>
      <w:pPr>
        <w:spacing w:after="0" w:line="12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March 2016, an enforcement action by the Indian Department of Revenue, Ministry of Finance was brought against our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our directors of Aviat India appeared before the Ministry of Finance Enforcement Directorate. No settlement offers were discussed at the meeting and the matter is still ongoing with no subsequent hearing date currently scheduled.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14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significant accrual for loss contingencies associated with such legal claims or litigation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2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Subsequent Event</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April 13, 2022, Aviat and Redline Communications, Inc. (“Redline”), a leading provider of mission-critical data infrastructure, signed a definitive agreement for Aviat to acquire all outstanding common stock of Redline. The transaction closed on July 5, 2022, subsequent to the balance sheet date. Redline allows Aviat to expand its Private Networks Offering with Private LTE/5G, Unlicensed Wireless Access Solutions, by creating an integrated end-to-end offering for wireless access and transport in the Private Networks segment, leveraging Aviat's sales channel to address a large dollar Private LTE/5G addressable market and increasing Aviat’s reach in mission-critical industrial Private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Networks. Redline shareholders received $0.69 ($0.90 CAD) per share in cash. The total transaction value was approximately $12.9 million USD and the implied enterprise value was approximately $15.0 million after adding back Redline’s net debt as of July 5, 2022. Aviat is continuing to integrate Redline and additional disclosures are not available as of the time of this filing as we are in the process of determining the fair value of the assets and liabilities assumed.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Based on management’s evaluation, with participation of our Chief Executive Officer (“CEO”) and Chief Financial Officer (“CFO”), as of the end of the period covered by this report, our CEO and CFO have concluded that our disclosure controls and procedures, as defined in Rules 13a-15(e) and 15d-15(e) under the Exchange Act are effective to provide reasonable assurance that the information required to be disclosed in reports that we file or submit under the Exchange Act is recorded, processed, summarized and reported within the time periods specified in the Securities and Exchange Commission’s rules and forms, and is accumulated and communicated to management, including our principal executive officer and principal financial officer, as appropriate to allow timely decisions regarding required disclosures.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defined in Rules 13a-15(f) or 15d-15(f) that occurred during the quarter ended July 1, 2022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Report on Internal Control Over Financial Reporting</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U.S. GAAP.</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Management, including our CEO and CFO, assessed our internal control over financial reporting as of July 1, 2022, the end of our fiscal year. Management based its assessment on criteria established in Internal Control-Integrated Framework issued by the Committee of Sponsoring Organizations of the Treadway Commission (2013 framework). Management’s assessment included evaluation of elements such as the design and operating effectiveness of key financial reporting controls, process documentation, accounting policies, and our overall control environment.</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Based on this assessment, management has concluded that our internal control over financial reporting was effective as of the end of the fiscal year to provide reasonable assurance regarding the reliability of financial reporting and the preparation of consolidated financial statements for external reporting purposes in accordance with U.S. GAAP. We reviewed the results of management’s assessment with the Audit Committee of our Board of Directors.</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BDO USA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July 1, 2022. The report is included in this Item under the heading “Report of Independent Registered Public Accounting Firm.”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26" w:lineRule="exact"/>
        <w:rPr>
          <w:sz w:val="20"/>
          <w:szCs w:val="20"/>
          <w:color w:val="auto"/>
        </w:rPr>
      </w:pPr>
    </w:p>
    <w:p>
      <w:pPr>
        <w:jc w:val="center"/>
        <w:ind w:right="9140"/>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jc w:val="center"/>
        <w:ind w:right="9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Certain information required by Part III is omitted from this Annual Report on Form 10-K because we will file a definitive Proxy Statement with the SEC within 120 days after the end of our fiscal year ended July 1,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adopted a Code of Conduct that is available at www.aviatnetworks.com. We most recently amended and restated our Code of Conduct on February 10, 2021, and posted it on our website. If, in the future, we amend our Code of Conduct or grant waivers from our Code of Conduct with respect to any of our executive officers or directors, we will make information regarding such amendments or waivers available on our corporate website (www.aviatnetworks.com) for a period of at least 12 months.</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information with respect to Executive Officers, see Part I, Item 1 of this Annual Report on Form 10-K, under “Executive Officers of the Registrant,” which is incorporated herein by reference.</w:t>
      </w:r>
    </w:p>
    <w:p>
      <w:pPr>
        <w:spacing w:after="0" w:line="10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All information required to be disclosed in this Item 10 that is not otherwise contained herein will appear in our definitive Proxy Statement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Information regarding our executive and director compensation will appear in our definitive Proxy Statement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and related stockholder matters will appear in our definitive Proxy Statement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and director independence will appear in our definitive Proxy Statement and is incorporated herein by reference.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Information regarding our principal accountant fees and services will appear in our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tc>
        <w:tc>
          <w:tcPr>
            <w:tcW w:w="1740" w:type="dxa"/>
            <w:vAlign w:val="bottom"/>
          </w:tcPr>
          <w:p>
            <w:pPr>
              <w:spacing w:after="0"/>
              <w:rPr>
                <w:sz w:val="20"/>
                <w:szCs w:val="20"/>
                <w:color w:val="auto"/>
              </w:rPr>
            </w:pPr>
          </w:p>
        </w:tc>
      </w:tr>
      <w:tr>
        <w:trPr>
          <w:trHeight w:val="378"/>
        </w:trPr>
        <w:tc>
          <w:tcPr>
            <w:tcW w:w="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1740" w:type="dxa"/>
            <w:vAlign w:val="bottom"/>
          </w:tcPr>
          <w:p>
            <w:pPr>
              <w:spacing w:after="0"/>
              <w:rPr>
                <w:sz w:val="24"/>
                <w:szCs w:val="24"/>
                <w:color w:val="auto"/>
              </w:rPr>
            </w:pPr>
          </w:p>
        </w:tc>
      </w:tr>
      <w:tr>
        <w:trPr>
          <w:trHeight w:val="378"/>
        </w:trPr>
        <w:tc>
          <w:tcPr>
            <w:tcW w:w="9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financial statements of Aviat Networks, Inc. are set forth in Item 8 of this Annual Report on Form 10-K.</w:t>
            </w:r>
          </w:p>
        </w:tc>
        <w:tc>
          <w:tcPr>
            <w:tcW w:w="1740" w:type="dxa"/>
            <w:vAlign w:val="bottom"/>
          </w:tcPr>
          <w:p>
            <w:pPr>
              <w:spacing w:after="0"/>
              <w:rPr>
                <w:sz w:val="24"/>
                <w:szCs w:val="24"/>
                <w:color w:val="auto"/>
              </w:rPr>
            </w:pPr>
          </w:p>
        </w:tc>
      </w:tr>
      <w:tr>
        <w:trPr>
          <w:trHeight w:val="378"/>
        </w:trPr>
        <w:tc>
          <w:tcPr>
            <w:tcW w:w="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1740" w:type="dxa"/>
            <w:vAlign w:val="bottom"/>
          </w:tcPr>
          <w:p>
            <w:pPr>
              <w:spacing w:after="0"/>
              <w:rPr>
                <w:sz w:val="24"/>
                <w:szCs w:val="24"/>
                <w:color w:val="auto"/>
              </w:rPr>
            </w:pPr>
          </w:p>
        </w:tc>
      </w:tr>
      <w:tr>
        <w:trPr>
          <w:trHeight w:val="351"/>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Schedule</w:t>
            </w:r>
          </w:p>
        </w:tc>
        <w:tc>
          <w:tcPr>
            <w:tcW w:w="174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392"/>
        </w:trPr>
        <w:tc>
          <w:tcPr>
            <w:tcW w:w="9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Schedule II — Valuation and Qualifying Accounts for the three fiscal years ended July 1, 2022</w:t>
            </w:r>
          </w:p>
        </w:tc>
        <w:tc>
          <w:tcPr>
            <w:tcW w:w="17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0000FF"/>
              </w:rPr>
              <w:t>91</w:t>
            </w: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because the required information is not present or is not present in amounts sufficient to require submission of the schedules or because the information required is included in the consolidated financial statements or notes thereto.</w:t>
      </w:r>
    </w:p>
    <w:p>
      <w:pPr>
        <w:spacing w:after="0" w:line="108" w:lineRule="exact"/>
        <w:rPr>
          <w:sz w:val="20"/>
          <w:szCs w:val="20"/>
          <w:color w:val="auto"/>
        </w:rPr>
      </w:pPr>
    </w:p>
    <w:p>
      <w:pPr>
        <w:ind w:left="640" w:hanging="63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7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on the Exhibit Index (following the Signatures section of this report) and is included, or incorporated by reference,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682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AVIAT NETWORKS, INC.</w:t>
            </w:r>
          </w:p>
        </w:tc>
      </w:tr>
      <w:tr>
        <w:trPr>
          <w:trHeight w:val="234"/>
        </w:trPr>
        <w:tc>
          <w:tcPr>
            <w:tcW w:w="4400" w:type="dxa"/>
            <w:vAlign w:val="bottom"/>
          </w:tcPr>
          <w:p>
            <w:pPr>
              <w:spacing w:after="0"/>
              <w:rPr>
                <w:sz w:val="20"/>
                <w:szCs w:val="20"/>
                <w:color w:val="auto"/>
              </w:rPr>
            </w:pPr>
          </w:p>
        </w:tc>
        <w:tc>
          <w:tcPr>
            <w:tcW w:w="682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(Registrant)</w:t>
            </w:r>
          </w:p>
        </w:tc>
      </w:tr>
      <w:tr>
        <w:trPr>
          <w:trHeight w:val="50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14, 2022</w:t>
            </w:r>
          </w:p>
        </w:tc>
        <w:tc>
          <w:tcPr>
            <w:tcW w:w="29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M. Gray</w:t>
            </w:r>
          </w:p>
        </w:tc>
      </w:tr>
      <w:tr>
        <w:trPr>
          <w:trHeight w:val="218"/>
        </w:trPr>
        <w:tc>
          <w:tcPr>
            <w:tcW w:w="44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David M. Gray</w:t>
            </w:r>
          </w:p>
        </w:tc>
      </w:tr>
      <w:tr>
        <w:trPr>
          <w:trHeight w:val="234"/>
        </w:trPr>
        <w:tc>
          <w:tcPr>
            <w:tcW w:w="44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0" w:type="dxa"/>
            <w:vAlign w:val="bottom"/>
            <w:gridSpan w:val="2"/>
          </w:tcPr>
          <w:p>
            <w:pPr>
              <w:jc w:val="center"/>
              <w:ind w:right="16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940" w:type="dxa"/>
            <w:vAlign w:val="bottom"/>
          </w:tcPr>
          <w:p>
            <w:pPr>
              <w:spacing w:after="0"/>
              <w:rPr>
                <w:sz w:val="13"/>
                <w:szCs w:val="13"/>
                <w:color w:val="auto"/>
              </w:rPr>
            </w:pPr>
          </w:p>
        </w:tc>
        <w:tc>
          <w:tcPr>
            <w:tcW w:w="8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160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8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 Peter A. Smith</w:t>
            </w:r>
          </w:p>
        </w:tc>
        <w:tc>
          <w:tcPr>
            <w:tcW w:w="5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8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14, 2022</w:t>
            </w:r>
          </w:p>
        </w:tc>
        <w:tc>
          <w:tcPr>
            <w:tcW w:w="0" w:type="dxa"/>
            <w:vAlign w:val="bottom"/>
          </w:tcPr>
          <w:p>
            <w:pPr>
              <w:spacing w:after="0"/>
              <w:rPr>
                <w:sz w:val="1"/>
                <w:szCs w:val="1"/>
                <w:color w:val="auto"/>
              </w:rPr>
            </w:pPr>
          </w:p>
        </w:tc>
      </w:tr>
      <w:tr>
        <w:trPr>
          <w:trHeight w:val="54"/>
        </w:trPr>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5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8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Peter A. Smith</w:t>
            </w:r>
          </w:p>
        </w:tc>
        <w:tc>
          <w:tcPr>
            <w:tcW w:w="5140" w:type="dxa"/>
            <w:vAlign w:val="bottom"/>
            <w:gridSpan w:val="3"/>
            <w:vMerge w:val="continue"/>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800" w:type="dxa"/>
            <w:vAlign w:val="bottom"/>
            <w:gridSpan w:val="4"/>
            <w:vMerge w:val="continue"/>
          </w:tcPr>
          <w:p>
            <w:pPr>
              <w:spacing w:after="0"/>
              <w:rPr>
                <w:sz w:val="5"/>
                <w:szCs w:val="5"/>
                <w:color w:val="auto"/>
              </w:rPr>
            </w:pPr>
          </w:p>
        </w:tc>
        <w:tc>
          <w:tcPr>
            <w:tcW w:w="2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3"/>
        </w:trPr>
        <w:tc>
          <w:tcPr>
            <w:tcW w:w="38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 David M. Gray</w:t>
            </w:r>
          </w:p>
        </w:tc>
        <w:tc>
          <w:tcPr>
            <w:tcW w:w="5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18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14, 2022</w:t>
            </w:r>
          </w:p>
        </w:tc>
        <w:tc>
          <w:tcPr>
            <w:tcW w:w="0" w:type="dxa"/>
            <w:vAlign w:val="bottom"/>
          </w:tcPr>
          <w:p>
            <w:pPr>
              <w:spacing w:after="0"/>
              <w:rPr>
                <w:sz w:val="1"/>
                <w:szCs w:val="1"/>
                <w:color w:val="auto"/>
              </w:rPr>
            </w:pPr>
          </w:p>
        </w:tc>
      </w:tr>
      <w:tr>
        <w:trPr>
          <w:trHeight w:val="79"/>
        </w:trPr>
        <w:tc>
          <w:tcPr>
            <w:tcW w:w="1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5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rPr>
              <w:t>David M. Gray</w:t>
            </w:r>
          </w:p>
        </w:tc>
        <w:tc>
          <w:tcPr>
            <w:tcW w:w="5140" w:type="dxa"/>
            <w:vAlign w:val="bottom"/>
            <w:gridSpan w:val="3"/>
            <w:vMerge w:val="continue"/>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800" w:type="dxa"/>
            <w:vAlign w:val="bottom"/>
            <w:gridSpan w:val="4"/>
            <w:vMerge w:val="continue"/>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0"/>
        </w:trPr>
        <w:tc>
          <w:tcPr>
            <w:tcW w:w="14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w w:val="93"/>
              </w:rPr>
              <w:t>/s/</w:t>
            </w: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8"/>
              </w:rPr>
              <w:t>John Mutch</w:t>
            </w:r>
          </w:p>
        </w:tc>
        <w:tc>
          <w:tcPr>
            <w:tcW w:w="5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18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14, 2022</w:t>
            </w:r>
          </w:p>
        </w:tc>
        <w:tc>
          <w:tcPr>
            <w:tcW w:w="0" w:type="dxa"/>
            <w:vAlign w:val="bottom"/>
          </w:tcPr>
          <w:p>
            <w:pPr>
              <w:spacing w:after="0"/>
              <w:rPr>
                <w:sz w:val="1"/>
                <w:szCs w:val="1"/>
                <w:color w:val="auto"/>
              </w:rPr>
            </w:pPr>
          </w:p>
        </w:tc>
      </w:tr>
      <w:tr>
        <w:trPr>
          <w:trHeight w:val="228"/>
        </w:trPr>
        <w:tc>
          <w:tcPr>
            <w:tcW w:w="1480" w:type="dxa"/>
            <w:vAlign w:val="bottom"/>
          </w:tcPr>
          <w:p>
            <w:pPr>
              <w:spacing w:after="0"/>
              <w:rPr>
                <w:sz w:val="19"/>
                <w:szCs w:val="19"/>
                <w:color w:val="auto"/>
              </w:rPr>
            </w:pPr>
          </w:p>
        </w:tc>
        <w:tc>
          <w:tcPr>
            <w:tcW w:w="232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color w:val="auto"/>
              </w:rPr>
              <w:t>John Mutch</w:t>
            </w: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14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/s/</w:t>
            </w:r>
          </w:p>
        </w:tc>
        <w:tc>
          <w:tcPr>
            <w:tcW w:w="2320" w:type="dxa"/>
            <w:vAlign w:val="bottom"/>
            <w:tcBorders>
              <w:bottom w:val="single" w:sz="8" w:color="auto"/>
            </w:tcBorders>
            <w:gridSpan w:val="3"/>
          </w:tcPr>
          <w:p>
            <w:pPr>
              <w:jc w:val="center"/>
              <w:ind w:right="1120"/>
              <w:spacing w:after="0"/>
              <w:rPr>
                <w:sz w:val="20"/>
                <w:szCs w:val="20"/>
                <w:color w:val="auto"/>
              </w:rPr>
            </w:pPr>
            <w:r>
              <w:rPr>
                <w:rFonts w:ascii="Times New Roman" w:cs="Times New Roman" w:eastAsia="Times New Roman" w:hAnsi="Times New Roman"/>
                <w:sz w:val="18"/>
                <w:szCs w:val="18"/>
                <w:color w:val="auto"/>
                <w:w w:val="99"/>
              </w:rPr>
              <w:t>Bryan Ingram</w:t>
            </w:r>
          </w:p>
        </w:tc>
        <w:tc>
          <w:tcPr>
            <w:tcW w:w="5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14, 2022</w:t>
            </w:r>
          </w:p>
        </w:tc>
        <w:tc>
          <w:tcPr>
            <w:tcW w:w="0" w:type="dxa"/>
            <w:vAlign w:val="bottom"/>
          </w:tcPr>
          <w:p>
            <w:pPr>
              <w:spacing w:after="0"/>
              <w:rPr>
                <w:sz w:val="1"/>
                <w:szCs w:val="1"/>
                <w:color w:val="auto"/>
              </w:rPr>
            </w:pPr>
          </w:p>
        </w:tc>
      </w:tr>
      <w:tr>
        <w:trPr>
          <w:trHeight w:val="228"/>
        </w:trPr>
        <w:tc>
          <w:tcPr>
            <w:tcW w:w="38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Bryan Ingram</w:t>
            </w: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14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/s/</w:t>
            </w:r>
          </w:p>
        </w:tc>
        <w:tc>
          <w:tcPr>
            <w:tcW w:w="2320" w:type="dxa"/>
            <w:vAlign w:val="bottom"/>
            <w:tcBorders>
              <w:bottom w:val="single" w:sz="8" w:color="auto"/>
            </w:tcBorders>
            <w:gridSpan w:val="3"/>
          </w:tcPr>
          <w:p>
            <w:pPr>
              <w:jc w:val="center"/>
              <w:ind w:right="1120"/>
              <w:spacing w:after="0"/>
              <w:rPr>
                <w:sz w:val="20"/>
                <w:szCs w:val="20"/>
                <w:color w:val="auto"/>
              </w:rPr>
            </w:pPr>
            <w:r>
              <w:rPr>
                <w:rFonts w:ascii="Times New Roman" w:cs="Times New Roman" w:eastAsia="Times New Roman" w:hAnsi="Times New Roman"/>
                <w:sz w:val="18"/>
                <w:szCs w:val="18"/>
                <w:color w:val="auto"/>
              </w:rPr>
              <w:t>Michele Klein</w:t>
            </w:r>
          </w:p>
        </w:tc>
        <w:tc>
          <w:tcPr>
            <w:tcW w:w="5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14, 2022</w:t>
            </w:r>
          </w:p>
        </w:tc>
        <w:tc>
          <w:tcPr>
            <w:tcW w:w="0" w:type="dxa"/>
            <w:vAlign w:val="bottom"/>
          </w:tcPr>
          <w:p>
            <w:pPr>
              <w:spacing w:after="0"/>
              <w:rPr>
                <w:sz w:val="1"/>
                <w:szCs w:val="1"/>
                <w:color w:val="auto"/>
              </w:rPr>
            </w:pPr>
          </w:p>
        </w:tc>
      </w:tr>
      <w:tr>
        <w:trPr>
          <w:trHeight w:val="228"/>
        </w:trPr>
        <w:tc>
          <w:tcPr>
            <w:tcW w:w="38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Michele Klein</w:t>
            </w: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14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/s/</w:t>
            </w:r>
          </w:p>
        </w:tc>
        <w:tc>
          <w:tcPr>
            <w:tcW w:w="2320" w:type="dxa"/>
            <w:vAlign w:val="bottom"/>
            <w:tcBorders>
              <w:bottom w:val="single" w:sz="8" w:color="auto"/>
            </w:tcBorders>
            <w:gridSpan w:val="3"/>
          </w:tcPr>
          <w:p>
            <w:pPr>
              <w:jc w:val="center"/>
              <w:ind w:right="1120"/>
              <w:spacing w:after="0"/>
              <w:rPr>
                <w:sz w:val="20"/>
                <w:szCs w:val="20"/>
                <w:color w:val="auto"/>
              </w:rPr>
            </w:pPr>
            <w:r>
              <w:rPr>
                <w:rFonts w:ascii="Times New Roman" w:cs="Times New Roman" w:eastAsia="Times New Roman" w:hAnsi="Times New Roman"/>
                <w:sz w:val="18"/>
                <w:szCs w:val="18"/>
                <w:color w:val="auto"/>
              </w:rPr>
              <w:t>Somesh Singh</w:t>
            </w:r>
          </w:p>
        </w:tc>
        <w:tc>
          <w:tcPr>
            <w:tcW w:w="5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14, 2022</w:t>
            </w:r>
          </w:p>
        </w:tc>
        <w:tc>
          <w:tcPr>
            <w:tcW w:w="0" w:type="dxa"/>
            <w:vAlign w:val="bottom"/>
          </w:tcPr>
          <w:p>
            <w:pPr>
              <w:spacing w:after="0"/>
              <w:rPr>
                <w:sz w:val="1"/>
                <w:szCs w:val="1"/>
                <w:color w:val="auto"/>
              </w:rPr>
            </w:pPr>
          </w:p>
        </w:tc>
      </w:tr>
      <w:tr>
        <w:trPr>
          <w:trHeight w:val="228"/>
        </w:trPr>
        <w:tc>
          <w:tcPr>
            <w:tcW w:w="38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Somesh Singh</w:t>
            </w: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148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w:t>
            </w:r>
          </w:p>
        </w:tc>
        <w:tc>
          <w:tcPr>
            <w:tcW w:w="2320" w:type="dxa"/>
            <w:vAlign w:val="bottom"/>
            <w:tcBorders>
              <w:bottom w:val="single" w:sz="8" w:color="auto"/>
            </w:tcBorders>
            <w:gridSpan w:val="3"/>
          </w:tcPr>
          <w:p>
            <w:pPr>
              <w:jc w:val="center"/>
              <w:ind w:right="1120"/>
              <w:spacing w:after="0"/>
              <w:rPr>
                <w:sz w:val="20"/>
                <w:szCs w:val="20"/>
                <w:color w:val="auto"/>
              </w:rPr>
            </w:pPr>
            <w:r>
              <w:rPr>
                <w:rFonts w:ascii="Times New Roman" w:cs="Times New Roman" w:eastAsia="Times New Roman" w:hAnsi="Times New Roman"/>
                <w:sz w:val="18"/>
                <w:szCs w:val="18"/>
                <w:color w:val="auto"/>
              </w:rPr>
              <w:t>James C. Stoffel</w:t>
            </w:r>
          </w:p>
        </w:tc>
        <w:tc>
          <w:tcPr>
            <w:tcW w:w="5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14, 2022</w:t>
            </w:r>
          </w:p>
        </w:tc>
        <w:tc>
          <w:tcPr>
            <w:tcW w:w="0" w:type="dxa"/>
            <w:vAlign w:val="bottom"/>
          </w:tcPr>
          <w:p>
            <w:pPr>
              <w:spacing w:after="0"/>
              <w:rPr>
                <w:sz w:val="1"/>
                <w:szCs w:val="1"/>
                <w:color w:val="auto"/>
              </w:rPr>
            </w:pPr>
          </w:p>
        </w:tc>
      </w:tr>
      <w:tr>
        <w:trPr>
          <w:trHeight w:val="228"/>
        </w:trPr>
        <w:tc>
          <w:tcPr>
            <w:tcW w:w="38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James C. Stoffel</w:t>
            </w: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14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w w:val="93"/>
              </w:rPr>
              <w:t>/s/</w:t>
            </w: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9"/>
              </w:rPr>
              <w:t>Bruce Taten</w:t>
            </w:r>
          </w:p>
        </w:tc>
        <w:tc>
          <w:tcPr>
            <w:tcW w:w="5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14, 2022</w:t>
            </w:r>
          </w:p>
        </w:tc>
        <w:tc>
          <w:tcPr>
            <w:tcW w:w="0" w:type="dxa"/>
            <w:vAlign w:val="bottom"/>
          </w:tcPr>
          <w:p>
            <w:pPr>
              <w:spacing w:after="0"/>
              <w:rPr>
                <w:sz w:val="1"/>
                <w:szCs w:val="1"/>
                <w:color w:val="auto"/>
              </w:rPr>
            </w:pPr>
          </w:p>
        </w:tc>
      </w:tr>
      <w:tr>
        <w:trPr>
          <w:trHeight w:val="228"/>
        </w:trPr>
        <w:tc>
          <w:tcPr>
            <w:tcW w:w="38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Bruce Taten</w:t>
            </w:r>
          </w:p>
        </w:tc>
        <w:tc>
          <w:tcPr>
            <w:tcW w:w="2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July 1, 2022, July 2, 2021 and July 3,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(Credit from)</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1"/>
                <w:szCs w:val="11"/>
                <w:color w:val="auto"/>
              </w:rPr>
            </w:pPr>
          </w:p>
        </w:tc>
        <w:tc>
          <w:tcPr>
            <w:tcW w:w="136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260" w:type="dxa"/>
            <w:vAlign w:val="bottom"/>
          </w:tcPr>
          <w:p>
            <w:pPr>
              <w:spacing w:after="0"/>
              <w:rPr>
                <w:sz w:val="11"/>
                <w:szCs w:val="11"/>
                <w:color w:val="auto"/>
              </w:rPr>
            </w:pPr>
          </w:p>
        </w:tc>
        <w:tc>
          <w:tcPr>
            <w:tcW w:w="124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center"/>
              <w:ind w:right="199"/>
              <w:spacing w:after="0" w:line="137" w:lineRule="exact"/>
              <w:rPr>
                <w:sz w:val="20"/>
                <w:szCs w:val="20"/>
                <w:color w:val="auto"/>
              </w:rPr>
            </w:pPr>
            <w:r>
              <w:rPr>
                <w:rFonts w:ascii="Times New Roman" w:cs="Times New Roman" w:eastAsia="Times New Roman" w:hAnsi="Times New Roman"/>
                <w:sz w:val="14"/>
                <w:szCs w:val="14"/>
                <w:b w:val="1"/>
                <w:bCs w:val="1"/>
                <w:color w:val="auto"/>
              </w:rPr>
              <w:t>at End</w:t>
            </w:r>
          </w:p>
        </w:tc>
        <w:tc>
          <w:tcPr>
            <w:tcW w:w="0" w:type="dxa"/>
            <w:vAlign w:val="bottom"/>
          </w:tcPr>
          <w:p>
            <w:pPr>
              <w:spacing w:after="0"/>
              <w:rPr>
                <w:sz w:val="1"/>
                <w:szCs w:val="1"/>
                <w:color w:val="auto"/>
              </w:rPr>
            </w:pPr>
          </w:p>
        </w:tc>
      </w:tr>
      <w:tr>
        <w:trPr>
          <w:trHeight w:val="190"/>
        </w:trPr>
        <w:tc>
          <w:tcPr>
            <w:tcW w:w="46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23"/>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Allowances for collection losses:</w:t>
            </w: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July 1, 2022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July 2, 2021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July 3, 2020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99"/>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71" w:lineRule="exact"/>
        <w:rPr>
          <w:sz w:val="20"/>
          <w:szCs w:val="20"/>
          <w:color w:val="auto"/>
        </w:rPr>
      </w:pPr>
    </w:p>
    <w:p>
      <w:pPr>
        <w:ind w:left="500" w:hanging="411"/>
        <w:spacing w:after="0" w:line="282" w:lineRule="auto"/>
        <w:tabs>
          <w:tab w:leader="none" w:pos="35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Consisted of changes to allowance for collection losses of $0 for foreign currency translation gain and $9 thousand for uncollectible accounts charged off, net of recoveries on accounts previously charged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exhibits are filed or furnished herewith or are incorporated herein by reference to exhibits previously filed with the SEC:</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 #</w:t>
            </w:r>
          </w:p>
        </w:tc>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6720" w:type="dxa"/>
            <w:vAlign w:val="bottom"/>
            <w:gridSpan w:val="8"/>
          </w:tcPr>
          <w:p>
            <w:pPr>
              <w:ind w:left="1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3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9680" w:type="dxa"/>
            <w:vAlign w:val="bottom"/>
            <w:gridSpan w:val="10"/>
            <w:shd w:val="clear" w:color="auto" w:fill="CCEEFF"/>
          </w:tcPr>
          <w:p>
            <w:pPr>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Amended and Restated Certificate of Incorporation of Aviat Networks, Inc., as amended (incorporated by reference to Exhibit 3.1 to</w:t>
              </w:r>
            </w:hyperlink>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9680" w:type="dxa"/>
            <w:vAlign w:val="bottom"/>
            <w:tcBorders>
              <w:top w:val="single" w:sz="8" w:color="CCEEFF"/>
            </w:tcBorders>
            <w:gridSpan w:val="10"/>
            <w:shd w:val="clear" w:color="auto" w:fill="CCEEFF"/>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the Quarterly Report on Form 10-Q filed with the SEC on February 10, 2017, File No. 001-33278)</w:t>
              </w:r>
            </w:hyperlink>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80" w:type="dxa"/>
            <w:vAlign w:val="bottom"/>
            <w:gridSpan w:val="10"/>
          </w:tcPr>
          <w:p>
            <w:pPr>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Amended and Restated Bylaws of Aviat Networks, Inc. (incorporated by reference to Exhibit 3.1 to the Current Report on Form 8-K</w:t>
              </w:r>
            </w:hyperlink>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80" w:type="dxa"/>
            <w:vAlign w:val="bottom"/>
            <w:gridSpan w:val="10"/>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filed with the SEC on August 23, 2022, File No. 001-33278)</w:t>
              </w:r>
            </w:hyperlink>
          </w:p>
        </w:tc>
      </w:tr>
      <w:tr>
        <w:trPr>
          <w:trHeight w:val="189"/>
        </w:trPr>
        <w:tc>
          <w:tcPr>
            <w:tcW w:w="3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9680" w:type="dxa"/>
            <w:vAlign w:val="bottom"/>
            <w:gridSpan w:val="10"/>
            <w:shd w:val="clear" w:color="auto" w:fill="CCEEFF"/>
          </w:tcPr>
          <w:p>
            <w:pPr>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Certificate of Designation of Rights, Preferences and Privileges of Series A Participating Preferred Stock (incorporated by reference</w:t>
              </w:r>
            </w:hyperlink>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9660" w:type="dxa"/>
            <w:vAlign w:val="bottom"/>
            <w:tcBorders>
              <w:top w:val="single" w:sz="8" w:color="0000FF"/>
            </w:tcBorders>
            <w:gridSpan w:val="9"/>
            <w:shd w:val="clear" w:color="auto" w:fill="CCEEFF"/>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to Exhibit 3.2 to the Current Report on Form 8-K filed with the SEC on September 7, 2016. File No. 001-33278)</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940" w:type="dxa"/>
            <w:vAlign w:val="bottom"/>
            <w:tcBorders>
              <w:top w:val="single" w:sz="8" w:color="0000FF"/>
            </w:tcBorders>
            <w:shd w:val="clear" w:color="auto" w:fill="CCEEFF"/>
          </w:tcPr>
          <w:p>
            <w:pPr>
              <w:spacing w:after="0"/>
              <w:rPr>
                <w:sz w:val="2"/>
                <w:szCs w:val="2"/>
                <w:color w:val="auto"/>
              </w:rPr>
            </w:pPr>
          </w:p>
        </w:tc>
        <w:tc>
          <w:tcPr>
            <w:tcW w:w="3500" w:type="dxa"/>
            <w:vAlign w:val="bottom"/>
            <w:tcBorders>
              <w:top w:val="single" w:sz="8" w:color="0000FF"/>
            </w:tcBorders>
            <w:shd w:val="clear" w:color="auto" w:fill="CCEEFF"/>
          </w:tcPr>
          <w:p>
            <w:pPr>
              <w:spacing w:after="0"/>
              <w:rPr>
                <w:sz w:val="2"/>
                <w:szCs w:val="2"/>
                <w:color w:val="auto"/>
              </w:rPr>
            </w:pPr>
          </w:p>
        </w:tc>
        <w:tc>
          <w:tcPr>
            <w:tcW w:w="1640" w:type="dxa"/>
            <w:vAlign w:val="bottom"/>
            <w:tcBorders>
              <w:top w:val="single" w:sz="8" w:color="0000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80" w:type="dxa"/>
            <w:vAlign w:val="bottom"/>
            <w:gridSpan w:val="10"/>
          </w:tcPr>
          <w:p>
            <w:pPr>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Specimen common stock certificate, adopted as of January 29, 2010 (incorporated by reference to Exhibit 4.1.1 to the Annual Report</w:t>
              </w:r>
            </w:hyperlink>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80" w:type="dxa"/>
            <w:vAlign w:val="bottom"/>
            <w:gridSpan w:val="10"/>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on Form 10-K for fiscal year end July 2, 2010 filed with the SEC on September 9, 2010, File No. 001-33278)</w:t>
              </w:r>
            </w:hyperlink>
          </w:p>
        </w:tc>
      </w:tr>
      <w:tr>
        <w:trPr>
          <w:trHeight w:val="196"/>
        </w:trPr>
        <w:tc>
          <w:tcPr>
            <w:tcW w:w="340" w:type="dxa"/>
            <w:vAlign w:val="bottom"/>
            <w:gridSpan w:val="3"/>
            <w:shd w:val="clear" w:color="auto" w:fill="CCEEFF"/>
          </w:tcPr>
          <w:p>
            <w:pPr>
              <w:ind w:left="20"/>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680" w:type="dxa"/>
            <w:vAlign w:val="bottom"/>
            <w:gridSpan w:val="10"/>
            <w:shd w:val="clear" w:color="auto" w:fill="CCEEFF"/>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Amended and Restated Tax Benefit Preservation Plan, dated as of August 27, 2020, by and between Aviat Networks, Inc. and</w:t>
              </w:r>
            </w:hyperlink>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9560" w:type="dxa"/>
            <w:vAlign w:val="bottom"/>
            <w:tcBorders>
              <w:top w:val="single" w:sz="8" w:color="0000FF"/>
              <w:bottom w:val="single" w:sz="8" w:color="0000FF"/>
            </w:tcBorders>
            <w:gridSpan w:val="4"/>
            <w:shd w:val="clear" w:color="auto" w:fill="CCEEFF"/>
          </w:tcPr>
          <w:p>
            <w:pPr>
              <w:spacing w:after="0" w:line="189"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Computershare Inc., as Rights Agent (incorporated by reference to Exhibit 4.1 to the Current Report on Form 8-K filed with the SEC</w:t>
              </w:r>
            </w:hyperlink>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83"/>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9640" w:type="dxa"/>
            <w:vAlign w:val="bottom"/>
            <w:gridSpan w:val="8"/>
            <w:shd w:val="clear" w:color="auto" w:fill="CCEEFF"/>
          </w:tcPr>
          <w:p>
            <w:pPr>
              <w:spacing w:after="0" w:line="182"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on August 31, 2020, File No. 011-33278)</w:t>
              </w:r>
            </w:hyperlink>
          </w:p>
        </w:tc>
        <w:tc>
          <w:tcPr>
            <w:tcW w:w="40" w:type="dxa"/>
            <w:vAlign w:val="bottom"/>
            <w:gridSpan w:val="2"/>
            <w:shd w:val="clear" w:color="auto" w:fill="CCEEFF"/>
          </w:tcPr>
          <w:p>
            <w:pPr>
              <w:spacing w:after="0"/>
              <w:rPr>
                <w:sz w:val="15"/>
                <w:szCs w:val="15"/>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940" w:type="dxa"/>
            <w:vAlign w:val="bottom"/>
            <w:tcBorders>
              <w:top w:val="single" w:sz="8" w:color="0000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420" w:type="dxa"/>
            <w:vAlign w:val="bottom"/>
            <w:gridSpan w:val="4"/>
          </w:tcPr>
          <w:p>
            <w:pPr>
              <w:ind w:left="20"/>
              <w:spacing w:after="0" w:line="169" w:lineRule="exact"/>
              <w:rPr>
                <w:sz w:val="20"/>
                <w:szCs w:val="20"/>
                <w:color w:val="auto"/>
              </w:rPr>
            </w:pPr>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8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Description of Registered Securities</w:t>
            </w:r>
          </w:p>
        </w:tc>
      </w:tr>
      <w:tr>
        <w:trPr>
          <w:trHeight w:val="48"/>
        </w:trPr>
        <w:tc>
          <w:tcPr>
            <w:tcW w:w="2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35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420" w:type="dxa"/>
            <w:vAlign w:val="bottom"/>
            <w:gridSpan w:val="4"/>
            <w:shd w:val="clear" w:color="auto" w:fill="CCEEFF"/>
          </w:tcPr>
          <w:p>
            <w:pPr>
              <w:ind w:left="20"/>
              <w:spacing w:after="0" w:line="18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9680" w:type="dxa"/>
            <w:vAlign w:val="bottom"/>
            <w:gridSpan w:val="10"/>
            <w:shd w:val="clear" w:color="auto" w:fill="CCEEFF"/>
          </w:tcPr>
          <w:p>
            <w:pPr>
              <w:spacing w:after="0" w:line="18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Intellectual Property Agreement between Harris Stratex Networks, Inc. and Harris Corporation dated January 26, 2007 (incorporated</w:t>
              </w:r>
            </w:hyperlink>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9680" w:type="dxa"/>
            <w:vAlign w:val="bottom"/>
            <w:tcBorders>
              <w:top w:val="single" w:sz="8" w:color="CCEEFF"/>
            </w:tcBorders>
            <w:gridSpan w:val="10"/>
            <w:shd w:val="clear" w:color="auto" w:fill="CCEEFF"/>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by reference to Exhibit 10.4 to the Current Report on Form 8-K filed with the SEC on February 1, 2007, File No. 001-33278)</w:t>
              </w:r>
            </w:hyperlink>
          </w:p>
        </w:tc>
      </w:tr>
      <w:tr>
        <w:trPr>
          <w:trHeight w:val="189"/>
        </w:trPr>
        <w:tc>
          <w:tcPr>
            <w:tcW w:w="42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80" w:type="dxa"/>
            <w:vAlign w:val="bottom"/>
            <w:gridSpan w:val="10"/>
          </w:tcPr>
          <w:p>
            <w:pPr>
              <w:spacing w:after="0" w:line="18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Tax Sharing Agreement between Harris Stratex Networks, Inc. and Harris Corporation dated January 26, 2007 (incorporated by</w:t>
              </w:r>
            </w:hyperlink>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80" w:type="dxa"/>
            <w:vAlign w:val="bottom"/>
            <w:gridSpan w:val="10"/>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reference to Exhibit 10.11 to the Current Report on Form 8-K filed with the SEC on February 1, 2007, File No. 001-33278)</w:t>
              </w:r>
            </w:hyperlink>
          </w:p>
        </w:tc>
      </w:tr>
      <w:tr>
        <w:trPr>
          <w:trHeight w:val="189"/>
        </w:trPr>
        <w:tc>
          <w:tcPr>
            <w:tcW w:w="480" w:type="dxa"/>
            <w:vAlign w:val="bottom"/>
            <w:gridSpan w:val="6"/>
            <w:shd w:val="clear" w:color="auto" w:fill="CCEEFF"/>
          </w:tcPr>
          <w:p>
            <w:pPr>
              <w:ind w:left="20"/>
              <w:spacing w:after="0" w:line="18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1160" w:type="dxa"/>
            <w:vAlign w:val="bottom"/>
            <w:shd w:val="clear" w:color="auto" w:fill="CCEEFF"/>
          </w:tcPr>
          <w:p>
            <w:pPr>
              <w:spacing w:after="0"/>
              <w:rPr>
                <w:sz w:val="16"/>
                <w:szCs w:val="16"/>
                <w:color w:val="auto"/>
              </w:rPr>
            </w:pPr>
          </w:p>
        </w:tc>
        <w:tc>
          <w:tcPr>
            <w:tcW w:w="9680" w:type="dxa"/>
            <w:vAlign w:val="bottom"/>
            <w:gridSpan w:val="10"/>
            <w:shd w:val="clear" w:color="auto" w:fill="CCEEFF"/>
          </w:tcPr>
          <w:p>
            <w:pPr>
              <w:spacing w:after="0" w:line="18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Standard Form of Executive Employment Agreement between Harris Stratex Networks, Inc. and certain executives (incorporated by</w:t>
              </w:r>
            </w:hyperlink>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9680" w:type="dxa"/>
            <w:vAlign w:val="bottom"/>
            <w:tcBorders>
              <w:top w:val="single" w:sz="8" w:color="CCEEFF"/>
            </w:tcBorders>
            <w:gridSpan w:val="10"/>
            <w:shd w:val="clear" w:color="auto" w:fill="CCEEFF"/>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reference to Exhibit 10.16 to the Current Report on Form 8-K filed with the SEC on February 1, 2007, File No. 001-33278)</w:t>
              </w:r>
            </w:hyperlink>
          </w:p>
        </w:tc>
      </w:tr>
      <w:tr>
        <w:trPr>
          <w:trHeight w:val="189"/>
        </w:trPr>
        <w:tc>
          <w:tcPr>
            <w:tcW w:w="480" w:type="dxa"/>
            <w:vAlign w:val="bottom"/>
            <w:gridSpan w:val="6"/>
          </w:tcPr>
          <w:p>
            <w:pPr>
              <w:ind w:left="20"/>
              <w:spacing w:after="0" w:line="18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1160" w:type="dxa"/>
            <w:vAlign w:val="bottom"/>
          </w:tcPr>
          <w:p>
            <w:pPr>
              <w:spacing w:after="0"/>
              <w:rPr>
                <w:sz w:val="16"/>
                <w:szCs w:val="16"/>
                <w:color w:val="auto"/>
              </w:rPr>
            </w:pPr>
          </w:p>
        </w:tc>
        <w:tc>
          <w:tcPr>
            <w:tcW w:w="9680" w:type="dxa"/>
            <w:vAlign w:val="bottom"/>
            <w:gridSpan w:val="10"/>
          </w:tcPr>
          <w:p>
            <w:pPr>
              <w:spacing w:after="0" w:line="18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Aviat Networks, Inc. 2007 Stock Equity Plan (as Amended and Restated Effective November 13, 2015) (incorporated by reference</w:t>
              </w:r>
            </w:hyperlink>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80" w:type="dxa"/>
            <w:vAlign w:val="bottom"/>
            <w:gridSpan w:val="10"/>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to Appendix A to Schedule 14A filed with the SEC on October 1, 2015, File No. 001-33278)</w:t>
              </w:r>
            </w:hyperlink>
          </w:p>
        </w:tc>
      </w:tr>
      <w:tr>
        <w:trPr>
          <w:trHeight w:val="189"/>
        </w:trPr>
        <w:tc>
          <w:tcPr>
            <w:tcW w:w="420" w:type="dxa"/>
            <w:vAlign w:val="bottom"/>
            <w:gridSpan w:val="4"/>
            <w:shd w:val="clear" w:color="auto" w:fill="CCEEFF"/>
          </w:tcPr>
          <w:p>
            <w:pPr>
              <w:ind w:left="20"/>
              <w:spacing w:after="0" w:line="18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9680" w:type="dxa"/>
            <w:vAlign w:val="bottom"/>
            <w:gridSpan w:val="10"/>
            <w:shd w:val="clear" w:color="auto" w:fill="CCEEFF"/>
          </w:tcPr>
          <w:p>
            <w:pPr>
              <w:spacing w:after="0" w:line="18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Third Amended and Restated Loan and Security Agreement, dated as of June 29, 2018, by and among Aviat Networks, Inc., Aviat</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9680" w:type="dxa"/>
            <w:vAlign w:val="bottom"/>
            <w:tcBorders>
              <w:top w:val="single" w:sz="8" w:color="CCEE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U.S., Inc., Aviat Networks (S) Pte. Ltd. and Silicon Valley bank (incorporated by reference to Exhibit 10.1 to the Current Report on</w:t>
              </w:r>
            </w:hyperlink>
          </w:p>
        </w:tc>
      </w:tr>
      <w:tr>
        <w:trPr>
          <w:trHeight w:val="243"/>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9680" w:type="dxa"/>
            <w:vAlign w:val="bottom"/>
            <w:gridSpan w:val="10"/>
            <w:shd w:val="clear" w:color="auto" w:fill="CCEEFF"/>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8-K filed with the SEC on June 29, 2018, File No. 001-33278)</w:t>
              </w:r>
            </w:hyperlink>
          </w:p>
        </w:tc>
      </w:tr>
      <w:tr>
        <w:trPr>
          <w:trHeight w:val="189"/>
        </w:trPr>
        <w:tc>
          <w:tcPr>
            <w:tcW w:w="1640" w:type="dxa"/>
            <w:vAlign w:val="bottom"/>
            <w:gridSpan w:val="7"/>
          </w:tcPr>
          <w:p>
            <w:pPr>
              <w:ind w:left="20"/>
              <w:spacing w:after="0" w:line="18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5.1</w:t>
              </w:r>
            </w:hyperlink>
          </w:p>
        </w:tc>
        <w:tc>
          <w:tcPr>
            <w:tcW w:w="9680" w:type="dxa"/>
            <w:vAlign w:val="bottom"/>
            <w:gridSpan w:val="10"/>
          </w:tcPr>
          <w:p>
            <w:pPr>
              <w:spacing w:after="0" w:line="18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Amendment #1 to Third Amended and Restated Loan and Security Agreement, dated as of September 28, 2018, by and among Aviat</w:t>
              </w:r>
            </w:hyperlink>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160" w:type="dxa"/>
            <w:vAlign w:val="bottom"/>
          </w:tcPr>
          <w:p>
            <w:pPr>
              <w:spacing w:after="0"/>
              <w:rPr>
                <w:sz w:val="12"/>
                <w:szCs w:val="12"/>
                <w:color w:val="auto"/>
              </w:rPr>
            </w:pPr>
          </w:p>
        </w:tc>
        <w:tc>
          <w:tcPr>
            <w:tcW w:w="9680" w:type="dxa"/>
            <w:vAlign w:val="bottom"/>
            <w:gridSpan w:val="10"/>
          </w:tcPr>
          <w:p>
            <w:pPr>
              <w:spacing w:after="0" w:line="142"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Networks, Inc., Aviat U.S., Inc., Aviat Networks (S) Pte. Ltd. and Silicon Valley Bank (incorporated by reference to Exhibit 10.1 to</w:t>
              </w:r>
            </w:hyperlink>
          </w:p>
        </w:tc>
      </w:t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80" w:type="dxa"/>
            <w:vAlign w:val="bottom"/>
            <w:gridSpan w:val="10"/>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the Current Report on Form 8-K filed with the SEC on October 4, 2018, File No. 001-33278)</w:t>
              </w:r>
            </w:hyperlink>
          </w:p>
        </w:tc>
      </w:tr>
      <w:tr>
        <w:trPr>
          <w:trHeight w:val="193"/>
        </w:trPr>
        <w:tc>
          <w:tcPr>
            <w:tcW w:w="1640" w:type="dxa"/>
            <w:vAlign w:val="bottom"/>
            <w:gridSpan w:val="7"/>
            <w:shd w:val="clear" w:color="auto" w:fill="CCEEFF"/>
          </w:tcPr>
          <w:p>
            <w:pPr>
              <w:ind w:left="20"/>
              <w:spacing w:after="0" w:line="194"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5.2</w:t>
              </w:r>
            </w:hyperlink>
          </w:p>
        </w:tc>
        <w:tc>
          <w:tcPr>
            <w:tcW w:w="9680" w:type="dxa"/>
            <w:vAlign w:val="bottom"/>
            <w:gridSpan w:val="10"/>
            <w:shd w:val="clear" w:color="auto" w:fill="CCEEFF"/>
          </w:tcPr>
          <w:p>
            <w:pPr>
              <w:spacing w:after="0" w:line="194"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Amendment #2 to Third Amended and Restated Loan and Security Agreement, dated as of June 10, 2019, by and among Aviat</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9680" w:type="dxa"/>
            <w:vAlign w:val="bottom"/>
            <w:tcBorders>
              <w:top w:val="single" w:sz="8" w:color="CCEEFF"/>
            </w:tcBorders>
            <w:gridSpan w:val="10"/>
            <w:shd w:val="clear" w:color="auto" w:fill="CCEEFF"/>
          </w:tcPr>
          <w:p>
            <w:pPr>
              <w:spacing w:after="0" w:line="142"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Networks, Inc., Aviat U.S., Inc., Aviat Networks (S) Pte. Ltd. and Silicon Valley Bank (incorporated by reference to Exhibit 10.1 to</w:t>
              </w:r>
            </w:hyperlink>
          </w:p>
        </w:tc>
      </w:tr>
      <w:tr>
        <w:trPr>
          <w:trHeight w:val="243"/>
        </w:trPr>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9680" w:type="dxa"/>
            <w:vAlign w:val="bottom"/>
            <w:gridSpan w:val="10"/>
            <w:shd w:val="clear" w:color="auto" w:fill="CCEEFF"/>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the Current Report on Form 8-K filed with the SEC on June 12, 2019, File No. 001-33278)</w:t>
              </w:r>
            </w:hyperlink>
          </w:p>
        </w:tc>
      </w:tr>
      <w:tr>
        <w:trPr>
          <w:trHeight w:val="196"/>
        </w:trPr>
        <w:tc>
          <w:tcPr>
            <w:tcW w:w="1640" w:type="dxa"/>
            <w:vAlign w:val="bottom"/>
            <w:gridSpan w:val="7"/>
          </w:tcPr>
          <w:p>
            <w:pPr>
              <w:ind w:left="20"/>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5.3</w:t>
              </w:r>
            </w:hyperlink>
          </w:p>
        </w:tc>
        <w:tc>
          <w:tcPr>
            <w:tcW w:w="9680" w:type="dxa"/>
            <w:vAlign w:val="bottom"/>
            <w:gridSpan w:val="10"/>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Third Amendment to Third Amended and Restated Loan and Security Agreement, dated as of May 4, 2020, by and among Aviat</w:t>
              </w:r>
            </w:hyperlink>
          </w:p>
        </w:tc>
      </w:tr>
      <w:tr>
        <w:trPr>
          <w:trHeight w:val="189"/>
        </w:trPr>
        <w:tc>
          <w:tcPr>
            <w:tcW w:w="2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Borders>
              <w:bottom w:val="single" w:sz="8" w:color="0000FF"/>
            </w:tcBorders>
          </w:tcPr>
          <w:p>
            <w:pPr>
              <w:spacing w:after="0"/>
              <w:rPr>
                <w:sz w:val="16"/>
                <w:szCs w:val="16"/>
                <w:color w:val="auto"/>
              </w:rPr>
            </w:pPr>
          </w:p>
        </w:tc>
        <w:tc>
          <w:tcPr>
            <w:tcW w:w="9580" w:type="dxa"/>
            <w:vAlign w:val="bottom"/>
            <w:tcBorders>
              <w:top w:val="single" w:sz="8" w:color="0000FF"/>
              <w:bottom w:val="single" w:sz="8" w:color="0000FF"/>
            </w:tcBorders>
            <w:gridSpan w:val="5"/>
          </w:tcPr>
          <w:p>
            <w:pPr>
              <w:spacing w:after="0" w:line="18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Networks, Inc., Aviat U.S., Inc., Aviat Networks (S) Pte. Ltd. and Silicon Valley Bank (incorporated by reference to Exhibit 10.1 to</w:t>
              </w:r>
            </w:hyperlink>
          </w:p>
        </w:tc>
        <w:tc>
          <w:tcPr>
            <w:tcW w:w="20" w:type="dxa"/>
            <w:vAlign w:val="bottom"/>
            <w:tcBorders>
              <w:bottom w:val="single" w:sz="8" w:color="0000FF"/>
            </w:tcBorders>
          </w:tcPr>
          <w:p>
            <w:pPr>
              <w:spacing w:after="0"/>
              <w:rPr>
                <w:sz w:val="16"/>
                <w:szCs w:val="16"/>
                <w:color w:val="auto"/>
              </w:rPr>
            </w:pPr>
          </w:p>
        </w:tc>
        <w:tc>
          <w:tcPr>
            <w:tcW w:w="60" w:type="dxa"/>
            <w:vAlign w:val="bottom"/>
            <w:gridSpan w:val="3"/>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20" w:type="dxa"/>
            <w:vAlign w:val="bottom"/>
            <w:gridSpan w:val="7"/>
          </w:tcPr>
          <w:p>
            <w:pPr>
              <w:spacing w:after="0" w:line="182"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the Current Report on Form 8-K filed with the SEC on May 5, 2020, File No. 001-33278)</w:t>
              </w:r>
            </w:hyperlink>
          </w:p>
        </w:tc>
        <w:tc>
          <w:tcPr>
            <w:tcW w:w="60" w:type="dxa"/>
            <w:vAlign w:val="bottom"/>
            <w:gridSpan w:val="3"/>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940" w:type="dxa"/>
            <w:vAlign w:val="bottom"/>
            <w:tcBorders>
              <w:top w:val="single" w:sz="8" w:color="0000FF"/>
            </w:tcBorders>
          </w:tcPr>
          <w:p>
            <w:pPr>
              <w:spacing w:after="0"/>
              <w:rPr>
                <w:sz w:val="4"/>
                <w:szCs w:val="4"/>
                <w:color w:val="auto"/>
              </w:rPr>
            </w:pPr>
          </w:p>
        </w:tc>
        <w:tc>
          <w:tcPr>
            <w:tcW w:w="3500" w:type="dxa"/>
            <w:vAlign w:val="bottom"/>
            <w:tcBorders>
              <w:top w:val="single" w:sz="8" w:color="0000FF"/>
            </w:tcBorders>
          </w:tcPr>
          <w:p>
            <w:pPr>
              <w:spacing w:after="0"/>
              <w:rPr>
                <w:sz w:val="4"/>
                <w:szCs w:val="4"/>
                <w:color w:val="auto"/>
              </w:rPr>
            </w:pPr>
          </w:p>
        </w:tc>
        <w:tc>
          <w:tcPr>
            <w:tcW w:w="16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640" w:type="dxa"/>
            <w:vAlign w:val="bottom"/>
            <w:gridSpan w:val="7"/>
            <w:shd w:val="clear" w:color="auto" w:fill="CCEEFF"/>
          </w:tcPr>
          <w:p>
            <w:pPr>
              <w:ind w:left="20"/>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5.4</w:t>
              </w:r>
            </w:hyperlink>
          </w:p>
        </w:tc>
        <w:tc>
          <w:tcPr>
            <w:tcW w:w="9680" w:type="dxa"/>
            <w:vAlign w:val="bottom"/>
            <w:gridSpan w:val="10"/>
            <w:shd w:val="clear" w:color="auto" w:fill="CCEEFF"/>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Fourth Amendment to Third Amended and Restated Loan and Security Agreement, dated as of May 17, 2021, by and among Aviat</w:t>
              </w:r>
            </w:hyperlink>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9680" w:type="dxa"/>
            <w:vAlign w:val="bottom"/>
            <w:tcBorders>
              <w:top w:val="single" w:sz="8" w:color="CCEEFF"/>
            </w:tcBorders>
            <w:gridSpan w:val="10"/>
            <w:shd w:val="clear" w:color="auto" w:fill="CCEEFF"/>
          </w:tcPr>
          <w:p>
            <w:pPr>
              <w:spacing w:after="0" w:line="205"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Networks, Inc., Aviat U.S., Inc., Aviat Networks (S) Pte. Ltd. and Silicon Valley Bank (incorporated by reference to Exhibit 10.2 to</w:t>
              </w:r>
            </w:hyperlink>
          </w:p>
        </w:tc>
      </w:tr>
      <w:tr>
        <w:trPr>
          <w:trHeight w:val="234"/>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9680" w:type="dxa"/>
            <w:vAlign w:val="bottom"/>
            <w:gridSpan w:val="10"/>
            <w:shd w:val="clear" w:color="auto" w:fill="CCEEFF"/>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the Current Report on Form 8-K filed with the SEC on May 5, 2020, File No. 001-33278)</w:t>
              </w:r>
            </w:hyperlink>
          </w:p>
        </w:tc>
      </w:tr>
      <w:tr>
        <w:trPr>
          <w:trHeight w:val="27"/>
        </w:trPr>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925"/>
        </w:trPr>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Ex. #</w:t>
            </w:r>
          </w:p>
        </w:tc>
        <w:tc>
          <w:tcPr>
            <w:tcW w:w="860" w:type="dxa"/>
            <w:vAlign w:val="bottom"/>
            <w:tcBorders>
              <w:top w:val="single" w:sz="8" w:color="0000FF"/>
            </w:tcBorders>
            <w:gridSpan w:val="7"/>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48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72"/>
        </w:trPr>
        <w:tc>
          <w:tcPr>
            <w:tcW w:w="420" w:type="dxa"/>
            <w:vAlign w:val="bottom"/>
            <w:gridSpan w:val="4"/>
          </w:tcPr>
          <w:p>
            <w:pPr>
              <w:ind w:left="20"/>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80" w:type="dxa"/>
            <w:vAlign w:val="bottom"/>
            <w:gridSpan w:val="5"/>
          </w:tcPr>
          <w:p>
            <w:pPr>
              <w:ind w:left="180"/>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Letter Agreement, dated as of January 11, 2015, among Aviat Networks, Inc., Steel Partners Holdings L.P., Lone Star Value</w:t>
              </w:r>
            </w:hyperlink>
          </w:p>
        </w:tc>
      </w:tr>
      <w:tr>
        <w:trPr>
          <w:trHeight w:val="142"/>
        </w:trPr>
        <w:tc>
          <w:tcPr>
            <w:tcW w:w="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780" w:type="dxa"/>
            <w:vAlign w:val="bottom"/>
            <w:gridSpan w:val="5"/>
          </w:tcPr>
          <w:p>
            <w:pPr>
              <w:ind w:left="180"/>
              <w:spacing w:after="0" w:line="142"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Management, LLC and certain other parties (incorporated by reference to Exhibit 10.1 to the Current Report on Form 8-K filed with</w:t>
              </w:r>
            </w:hyperlink>
          </w:p>
        </w:tc>
      </w:tr>
      <w:tr>
        <w:trPr>
          <w:trHeight w:val="239"/>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80" w:type="dxa"/>
            <w:vAlign w:val="bottom"/>
            <w:gridSpan w:val="5"/>
          </w:tcPr>
          <w:p>
            <w:pPr>
              <w:ind w:left="180"/>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the SEC on January 12, 2015, File No. 001-33278)</w:t>
              </w:r>
            </w:hyperlink>
          </w:p>
        </w:tc>
      </w:tr>
      <w:tr>
        <w:trPr>
          <w:trHeight w:val="193"/>
        </w:trPr>
        <w:tc>
          <w:tcPr>
            <w:tcW w:w="520" w:type="dxa"/>
            <w:vAlign w:val="bottom"/>
            <w:gridSpan w:val="6"/>
            <w:shd w:val="clear" w:color="auto" w:fill="CCEEFF"/>
          </w:tcPr>
          <w:p>
            <w:pPr>
              <w:ind w:left="20"/>
              <w:spacing w:after="0" w:line="194"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780" w:type="dxa"/>
            <w:vAlign w:val="bottom"/>
            <w:gridSpan w:val="5"/>
            <w:shd w:val="clear" w:color="auto" w:fill="CCEEFF"/>
          </w:tcPr>
          <w:p>
            <w:pPr>
              <w:ind w:left="180"/>
              <w:spacing w:after="0" w:line="194"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Employment Agreement, dated January 20, 2016, between Aviat Networks, Inc. and Eric Chang (incorporated by reference to</w:t>
              </w:r>
            </w:hyperlink>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780" w:type="dxa"/>
            <w:vAlign w:val="bottom"/>
            <w:tcBorders>
              <w:top w:val="single" w:sz="8" w:color="CCEEFF"/>
            </w:tcBorders>
            <w:gridSpan w:val="5"/>
            <w:shd w:val="clear" w:color="auto" w:fill="CCEEFF"/>
          </w:tcPr>
          <w:p>
            <w:pPr>
              <w:ind w:left="180"/>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Exhibit 10.1 to the Current Report on Form 8-K filed with the SEC on January 21, 2016, File No. 001-33278)</w:t>
              </w:r>
            </w:hyperlink>
          </w:p>
        </w:tc>
      </w:tr>
      <w:tr>
        <w:trPr>
          <w:trHeight w:val="189"/>
        </w:trPr>
        <w:tc>
          <w:tcPr>
            <w:tcW w:w="620" w:type="dxa"/>
            <w:vAlign w:val="bottom"/>
            <w:gridSpan w:val="9"/>
          </w:tcPr>
          <w:p>
            <w:pPr>
              <w:ind w:left="20"/>
              <w:spacing w:after="0" w:line="18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7.1+</w:t>
              </w:r>
            </w:hyperlink>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780" w:type="dxa"/>
            <w:vAlign w:val="bottom"/>
            <w:gridSpan w:val="5"/>
          </w:tcPr>
          <w:p>
            <w:pPr>
              <w:ind w:left="180"/>
              <w:spacing w:after="0" w:line="18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Amendment to Employment Agreement, dated June 20, 2018, between Aviat Networks, Inc. and Eric Chang (incorporated by</w:t>
              </w:r>
            </w:hyperlink>
          </w:p>
        </w:tc>
      </w:tr>
      <w:tr>
        <w:trPr>
          <w:trHeight w:val="214"/>
        </w:trPr>
        <w:tc>
          <w:tcPr>
            <w:tcW w:w="20" w:type="dxa"/>
            <w:vAlign w:val="bottom"/>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gridSpan w:val="5"/>
          </w:tcPr>
          <w:p>
            <w:pPr>
              <w:ind w:left="180"/>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reference to Exhibit 10.2 to the Current Report on Form 8-K filed with the SEC on June 25, 2018, File No. 001-33278)</w:t>
              </w:r>
            </w:hyperlink>
          </w:p>
        </w:tc>
      </w:tr>
      <w:tr>
        <w:trPr>
          <w:trHeight w:val="238"/>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89"/>
        </w:trPr>
        <w:tc>
          <w:tcPr>
            <w:tcW w:w="620" w:type="dxa"/>
            <w:vAlign w:val="bottom"/>
            <w:gridSpan w:val="9"/>
            <w:shd w:val="clear" w:color="auto" w:fill="CCEEFF"/>
          </w:tcPr>
          <w:p>
            <w:pPr>
              <w:ind w:left="20"/>
              <w:spacing w:after="0" w:line="18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7.2+</w:t>
              </w:r>
            </w:hyperlink>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780" w:type="dxa"/>
            <w:vAlign w:val="bottom"/>
            <w:gridSpan w:val="5"/>
            <w:shd w:val="clear" w:color="auto" w:fill="CCEEFF"/>
          </w:tcPr>
          <w:p>
            <w:pPr>
              <w:ind w:left="180"/>
              <w:spacing w:after="0" w:line="18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Amendment to Employment Agreement, dated April 3, 2020, between Aviat Networks, Inc. and Eric Chang (incorporated by</w:t>
              </w:r>
            </w:hyperlink>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780" w:type="dxa"/>
            <w:vAlign w:val="bottom"/>
            <w:tcBorders>
              <w:top w:val="single" w:sz="8" w:color="CCEEFF"/>
            </w:tcBorders>
            <w:gridSpan w:val="5"/>
            <w:shd w:val="clear" w:color="auto" w:fill="CCEEFF"/>
          </w:tcPr>
          <w:p>
            <w:pPr>
              <w:ind w:left="180"/>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reference to Exhibit 10.1 to the Current Report on Form 8-K filed with the SEC on April 3, 2020, File No. 001-33278)</w:t>
              </w:r>
            </w:hyperlink>
          </w:p>
        </w:tc>
      </w:tr>
      <w:tr>
        <w:trPr>
          <w:trHeight w:val="189"/>
        </w:trPr>
        <w:tc>
          <w:tcPr>
            <w:tcW w:w="42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780" w:type="dxa"/>
            <w:vAlign w:val="bottom"/>
            <w:gridSpan w:val="5"/>
          </w:tcPr>
          <w:p>
            <w:pPr>
              <w:ind w:left="180"/>
              <w:spacing w:after="0" w:line="18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Lease Agreement, dated June 8, 2016, between Aviat Networks, Inc., through its wholly owned subsidiary Aviat U.S., Inc., and The</w:t>
              </w:r>
            </w:hyperlink>
          </w:p>
        </w:tc>
      </w:tr>
      <w:tr>
        <w:trPr>
          <w:trHeight w:val="142"/>
        </w:trPr>
        <w:tc>
          <w:tcPr>
            <w:tcW w:w="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780" w:type="dxa"/>
            <w:vAlign w:val="bottom"/>
            <w:gridSpan w:val="5"/>
          </w:tcPr>
          <w:p>
            <w:pPr>
              <w:ind w:left="180"/>
              <w:spacing w:after="0" w:line="14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Irvine Company LLC (incorporated by reference to Exhibit 10.34 to the Annual Report on Form 10-K for fiscal year end July 1,</w:t>
              </w:r>
            </w:hyperlink>
          </w:p>
        </w:tc>
      </w:tr>
      <w:tr>
        <w:trPr>
          <w:trHeight w:val="239"/>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80" w:type="dxa"/>
            <w:vAlign w:val="bottom"/>
            <w:gridSpan w:val="5"/>
          </w:tcPr>
          <w:p>
            <w:pPr>
              <w:ind w:left="180"/>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2016 filed with the SEC on September 9, 2016, File No. 001-33278)</w:t>
              </w:r>
            </w:hyperlink>
          </w:p>
        </w:tc>
      </w:tr>
      <w:tr>
        <w:trPr>
          <w:trHeight w:val="198"/>
        </w:trPr>
        <w:tc>
          <w:tcPr>
            <w:tcW w:w="520" w:type="dxa"/>
            <w:vAlign w:val="bottom"/>
            <w:tcBorders>
              <w:bottom w:val="single" w:sz="8" w:color="CCEEFF"/>
            </w:tcBorders>
            <w:gridSpan w:val="6"/>
            <w:shd w:val="clear" w:color="auto" w:fill="CCEEFF"/>
          </w:tcPr>
          <w:p>
            <w:pPr>
              <w:ind w:left="20"/>
              <w:spacing w:after="0" w:line="16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780" w:type="dxa"/>
            <w:vAlign w:val="bottom"/>
            <w:tcBorders>
              <w:bottom w:val="single" w:sz="8" w:color="CCEEFF"/>
            </w:tcBorders>
            <w:gridSpan w:val="5"/>
            <w:shd w:val="clear" w:color="auto" w:fill="CCEEFF"/>
          </w:tcPr>
          <w:p>
            <w:pPr>
              <w:ind w:left="180"/>
              <w:spacing w:after="0" w:line="16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Employment Agreement, dated January 2, 2020, between Aviat Networks, Inc. and Peter Smith (incorporated by reference to Exhibit</w:t>
              </w:r>
            </w:hyperlink>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9780" w:type="dxa"/>
            <w:vAlign w:val="bottom"/>
            <w:tcBorders>
              <w:top w:val="single" w:sz="8" w:color="CCEEFF"/>
            </w:tcBorders>
            <w:gridSpan w:val="5"/>
            <w:shd w:val="clear" w:color="auto" w:fill="CCEEFF"/>
          </w:tcPr>
          <w:p>
            <w:pPr>
              <w:ind w:left="180"/>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10.1 to the Current Report on Form 8-K filed with the SEC on January 2, 2020, File No. 001-33278)</w:t>
              </w:r>
            </w:hyperlink>
          </w:p>
        </w:tc>
      </w:tr>
      <w:tr>
        <w:trPr>
          <w:trHeight w:val="189"/>
        </w:trPr>
        <w:tc>
          <w:tcPr>
            <w:tcW w:w="620" w:type="dxa"/>
            <w:vAlign w:val="bottom"/>
            <w:gridSpan w:val="9"/>
          </w:tcPr>
          <w:p>
            <w:pPr>
              <w:ind w:left="20"/>
              <w:spacing w:after="0" w:line="18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9.1+</w:t>
              </w:r>
            </w:hyperlink>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780" w:type="dxa"/>
            <w:vAlign w:val="bottom"/>
            <w:gridSpan w:val="5"/>
          </w:tcPr>
          <w:p>
            <w:pPr>
              <w:ind w:left="180"/>
              <w:spacing w:after="0" w:line="18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First Amendment to the Employment Agreement between Aviat Networks, Inc. and Peter Smith, dated May 17, 2021 (incorporated</w:t>
              </w:r>
            </w:hyperlink>
          </w:p>
        </w:tc>
      </w:tr>
      <w:tr>
        <w:trPr>
          <w:trHeight w:val="209"/>
        </w:trPr>
        <w:tc>
          <w:tcPr>
            <w:tcW w:w="20" w:type="dxa"/>
            <w:vAlign w:val="bottom"/>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gridSpan w:val="5"/>
          </w:tcPr>
          <w:p>
            <w:pPr>
              <w:ind w:left="180"/>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by reference to Exhibit 10.1 to the Current Report on Form 8-K filed with the SEC on May 18, 2021, File No. 001-33278)</w:t>
              </w:r>
            </w:hyperlink>
          </w:p>
        </w:tc>
      </w:tr>
      <w:tr>
        <w:trPr>
          <w:trHeight w:val="189"/>
        </w:trPr>
        <w:tc>
          <w:tcPr>
            <w:tcW w:w="620" w:type="dxa"/>
            <w:vAlign w:val="bottom"/>
            <w:gridSpan w:val="9"/>
            <w:shd w:val="clear" w:color="auto" w:fill="CCEEFF"/>
          </w:tcPr>
          <w:p>
            <w:pPr>
              <w:ind w:left="20"/>
              <w:spacing w:after="0" w:line="18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9.2+</w:t>
              </w:r>
            </w:hyperlink>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780" w:type="dxa"/>
            <w:vAlign w:val="bottom"/>
            <w:gridSpan w:val="5"/>
            <w:shd w:val="clear" w:color="auto" w:fill="CCEEFF"/>
          </w:tcPr>
          <w:p>
            <w:pPr>
              <w:ind w:left="180"/>
              <w:spacing w:after="0" w:line="18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Second Amendment to Employment Agreement, dated July 4, 2021, between the Company and Pete Smith (incorporated by</w:t>
              </w:r>
            </w:hyperlink>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9780" w:type="dxa"/>
            <w:vAlign w:val="bottom"/>
            <w:tcBorders>
              <w:top w:val="single" w:sz="8" w:color="CCEEFF"/>
              <w:bottom w:val="single" w:sz="8" w:color="CCEEFF"/>
            </w:tcBorders>
            <w:gridSpan w:val="5"/>
            <w:shd w:val="clear" w:color="auto" w:fill="CCEEFF"/>
          </w:tcPr>
          <w:p>
            <w:pPr>
              <w:ind w:left="180"/>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reference to Exhibit 10.1 to the Current Report on Form 8-K filed with the SEC on July 7, 2021, File No. 001-33278)</w:t>
              </w:r>
            </w:hyperlink>
          </w:p>
        </w:tc>
      </w:tr>
      <w:tr>
        <w:trPr>
          <w:trHeight w:val="189"/>
        </w:trPr>
        <w:tc>
          <w:tcPr>
            <w:tcW w:w="580" w:type="dxa"/>
            <w:vAlign w:val="bottom"/>
            <w:gridSpan w:val="8"/>
          </w:tcPr>
          <w:p>
            <w:pPr>
              <w:ind w:left="20"/>
              <w:spacing w:after="0" w:line="16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10+</w:t>
              </w:r>
            </w:hyperlink>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780" w:type="dxa"/>
            <w:vAlign w:val="bottom"/>
            <w:gridSpan w:val="5"/>
          </w:tcPr>
          <w:p>
            <w:pPr>
              <w:ind w:left="180"/>
              <w:spacing w:after="0" w:line="16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Aviat Networks, Inc. Amended and Restated 2018 Incentive Plan (incorporated by reference to Appendix 1 to the Registrant’s Proxy</w:t>
              </w:r>
            </w:hyperlink>
          </w:p>
        </w:tc>
      </w:tr>
      <w:tr>
        <w:trPr>
          <w:trHeight w:val="237"/>
        </w:trPr>
        <w:tc>
          <w:tcPr>
            <w:tcW w:w="20" w:type="dxa"/>
            <w:vAlign w:val="bottom"/>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80" w:type="dxa"/>
            <w:vAlign w:val="bottom"/>
            <w:gridSpan w:val="5"/>
          </w:tcPr>
          <w:p>
            <w:pPr>
              <w:ind w:left="180"/>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Statement on Schedule 14A filed with the SEC on September 27, 2021, File No. 001-33278)</w:t>
              </w:r>
            </w:hyperlink>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9"/>
        </w:trPr>
        <w:tc>
          <w:tcPr>
            <w:tcW w:w="540" w:type="dxa"/>
            <w:vAlign w:val="bottom"/>
            <w:gridSpan w:val="7"/>
            <w:shd w:val="clear" w:color="auto" w:fill="CCEEFF"/>
          </w:tcPr>
          <w:p>
            <w:pPr>
              <w:ind w:left="20"/>
              <w:spacing w:after="0" w:line="169" w:lineRule="exact"/>
              <w:rPr>
                <w:rFonts w:ascii="Times New Roman" w:cs="Times New Roman" w:eastAsia="Times New Roman" w:hAnsi="Times New Roman"/>
                <w:sz w:val="18"/>
                <w:szCs w:val="18"/>
                <w:color w:val="0000FF"/>
                <w:w w:val="98"/>
              </w:rPr>
            </w:pPr>
            <w:hyperlink r:id="rId14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780" w:type="dxa"/>
            <w:vAlign w:val="bottom"/>
            <w:gridSpan w:val="5"/>
            <w:shd w:val="clear" w:color="auto" w:fill="CCEEFF"/>
          </w:tcPr>
          <w:p>
            <w:pPr>
              <w:ind w:left="180"/>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Employment Agreement, dated September 21, 2021 between the Company and David Gray (incorporated by reference to Exhibit</w:t>
              </w:r>
            </w:hyperlink>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9780" w:type="dxa"/>
            <w:vAlign w:val="bottom"/>
            <w:tcBorders>
              <w:top w:val="single" w:sz="8" w:color="CCEEFF"/>
              <w:bottom w:val="single" w:sz="8" w:color="CCEEFF"/>
            </w:tcBorders>
            <w:gridSpan w:val="5"/>
            <w:shd w:val="clear" w:color="auto" w:fill="CCEEFF"/>
          </w:tcPr>
          <w:p>
            <w:pPr>
              <w:ind w:left="180"/>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10.1 to the Current Report on Form 8-K filed with the SEC on October 18, 2021, File No. 001-33278)</w:t>
              </w:r>
            </w:hyperlink>
          </w:p>
        </w:tc>
      </w:tr>
      <w:tr>
        <w:trPr>
          <w:trHeight w:val="189"/>
        </w:trPr>
        <w:tc>
          <w:tcPr>
            <w:tcW w:w="760" w:type="dxa"/>
            <w:vAlign w:val="bottom"/>
            <w:gridSpan w:val="10"/>
          </w:tcPr>
          <w:p>
            <w:pPr>
              <w:ind w:left="20"/>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780" w:type="dxa"/>
            <w:vAlign w:val="bottom"/>
            <w:gridSpan w:val="5"/>
          </w:tcPr>
          <w:p>
            <w:pPr>
              <w:ind w:left="180"/>
              <w:spacing w:after="0" w:line="189" w:lineRule="exact"/>
              <w:rPr>
                <w:sz w:val="20"/>
                <w:szCs w:val="20"/>
                <w:color w:val="auto"/>
              </w:rPr>
            </w:pPr>
            <w:r>
              <w:rPr>
                <w:rFonts w:ascii="Times New Roman" w:cs="Times New Roman" w:eastAsia="Times New Roman" w:hAnsi="Times New Roman"/>
                <w:sz w:val="18"/>
                <w:szCs w:val="18"/>
                <w:color w:val="0000FF"/>
              </w:rPr>
              <w:t>Employment Agreement, dated July 1, 2012 between the Company and Bryan C. Tucker</w:t>
            </w:r>
          </w:p>
        </w:tc>
      </w:tr>
      <w:tr>
        <w:trPr>
          <w:trHeight w:val="48"/>
        </w:trPr>
        <w:tc>
          <w:tcPr>
            <w:tcW w:w="2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120" w:type="dxa"/>
            <w:vAlign w:val="bottom"/>
            <w:tcBorders>
              <w:top w:val="single" w:sz="8" w:color="0000FF"/>
            </w:tcBorders>
          </w:tcPr>
          <w:p>
            <w:pPr>
              <w:spacing w:after="0"/>
              <w:rPr>
                <w:sz w:val="4"/>
                <w:szCs w:val="4"/>
                <w:color w:val="auto"/>
              </w:rPr>
            </w:pPr>
          </w:p>
        </w:tc>
        <w:tc>
          <w:tcPr>
            <w:tcW w:w="3260" w:type="dxa"/>
            <w:vAlign w:val="bottom"/>
            <w:tcBorders>
              <w:top w:val="single" w:sz="8" w:color="0000FF"/>
            </w:tcBorders>
          </w:tcPr>
          <w:p>
            <w:pPr>
              <w:spacing w:after="0"/>
              <w:rPr>
                <w:sz w:val="4"/>
                <w:szCs w:val="4"/>
                <w:color w:val="auto"/>
              </w:rPr>
            </w:pPr>
          </w:p>
        </w:tc>
        <w:tc>
          <w:tcPr>
            <w:tcW w:w="21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189"/>
        </w:trPr>
        <w:tc>
          <w:tcPr>
            <w:tcW w:w="20" w:type="dxa"/>
            <w:vAlign w:val="bottom"/>
            <w:shd w:val="clear" w:color="auto" w:fill="CCEEFF"/>
          </w:tcPr>
          <w:p>
            <w:pPr>
              <w:spacing w:after="0"/>
              <w:rPr>
                <w:sz w:val="16"/>
                <w:szCs w:val="16"/>
                <w:color w:val="auto"/>
              </w:rPr>
            </w:pPr>
          </w:p>
        </w:tc>
        <w:tc>
          <w:tcPr>
            <w:tcW w:w="74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12.1+*</w:t>
            </w: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780" w:type="dxa"/>
            <w:vAlign w:val="bottom"/>
            <w:gridSpan w:val="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Letter Agreement amending Employment Agreement dated June 27, 2019, between the Company and Bryan C. Tucker</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0000FF"/>
            </w:tcBorders>
            <w:shd w:val="clear" w:color="auto" w:fill="CCEEFF"/>
          </w:tcPr>
          <w:p>
            <w:pPr>
              <w:spacing w:after="0" w:line="20" w:lineRule="exact"/>
              <w:rPr>
                <w:sz w:val="1"/>
                <w:szCs w:val="1"/>
                <w:color w:val="auto"/>
              </w:rPr>
            </w:pPr>
          </w:p>
        </w:tc>
        <w:tc>
          <w:tcPr>
            <w:tcW w:w="3260" w:type="dxa"/>
            <w:vAlign w:val="bottom"/>
            <w:tcBorders>
              <w:top w:val="single" w:sz="8" w:color="0000FF"/>
            </w:tcBorders>
            <w:shd w:val="clear" w:color="auto" w:fill="CCEEFF"/>
          </w:tcPr>
          <w:p>
            <w:pPr>
              <w:spacing w:after="0" w:line="20" w:lineRule="exact"/>
              <w:rPr>
                <w:sz w:val="1"/>
                <w:szCs w:val="1"/>
                <w:color w:val="auto"/>
              </w:rPr>
            </w:pPr>
          </w:p>
        </w:tc>
        <w:tc>
          <w:tcPr>
            <w:tcW w:w="218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780" w:type="dxa"/>
            <w:vAlign w:val="bottom"/>
            <w:gridSpan w:val="5"/>
          </w:tcPr>
          <w:p>
            <w:pPr>
              <w:ind w:left="180"/>
              <w:spacing w:after="0" w:line="189" w:lineRule="exact"/>
              <w:rPr>
                <w:sz w:val="20"/>
                <w:szCs w:val="20"/>
                <w:color w:val="auto"/>
              </w:rPr>
            </w:pPr>
            <w:r>
              <w:rPr>
                <w:rFonts w:ascii="Times New Roman" w:cs="Times New Roman" w:eastAsia="Times New Roman" w:hAnsi="Times New Roman"/>
                <w:sz w:val="18"/>
                <w:szCs w:val="18"/>
                <w:color w:val="0000FF"/>
              </w:rPr>
              <w:t>List of Subsidiaries of Aviat Networks, Inc.</w:t>
            </w: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Borders>
              <w:top w:val="single" w:sz="8" w:color="0000FF"/>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780" w:type="dxa"/>
            <w:vAlign w:val="bottom"/>
            <w:tcBorders>
              <w:bottom w:val="single" w:sz="8" w:color="CCEEFF"/>
            </w:tcBorders>
            <w:gridSpan w:val="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Consent of BDO USA, LLP</w:t>
            </w:r>
          </w:p>
        </w:tc>
      </w:tr>
      <w:tr>
        <w:trPr>
          <w:trHeight w:val="189"/>
        </w:trPr>
        <w:tc>
          <w:tcPr>
            <w:tcW w:w="44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780" w:type="dxa"/>
            <w:vAlign w:val="bottom"/>
            <w:gridSpan w:val="5"/>
          </w:tcPr>
          <w:p>
            <w:pPr>
              <w:ind w:left="180"/>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President and Chief Executive Officer</w:t>
            </w: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780" w:type="dxa"/>
            <w:vAlign w:val="bottom"/>
            <w:tcBorders>
              <w:bottom w:val="single" w:sz="8" w:color="CCEEFF"/>
            </w:tcBorders>
            <w:gridSpan w:val="5"/>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r>
      <w:tr>
        <w:trPr>
          <w:trHeight w:val="189"/>
        </w:trPr>
        <w:tc>
          <w:tcPr>
            <w:tcW w:w="52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32.</w:t>
            </w:r>
            <w:r>
              <w:rPr>
                <w:rFonts w:ascii="Times New Roman" w:cs="Times New Roman" w:eastAsia="Times New Roman" w:hAnsi="Times New Roman"/>
                <w:sz w:val="18"/>
                <w:szCs w:val="18"/>
                <w:u w:val="single" w:color="auto"/>
                <w:color w:val="0000FF"/>
                <w:w w:val="96"/>
              </w:rPr>
              <w:t>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780" w:type="dxa"/>
            <w:vAlign w:val="bottom"/>
            <w:gridSpan w:val="5"/>
          </w:tcPr>
          <w:p>
            <w:pPr>
              <w:ind w:left="180"/>
              <w:spacing w:after="0" w:line="189" w:lineRule="exact"/>
              <w:rPr>
                <w:sz w:val="20"/>
                <w:szCs w:val="20"/>
                <w:color w:val="auto"/>
              </w:rPr>
            </w:pPr>
            <w:r>
              <w:rPr>
                <w:rFonts w:ascii="Times New Roman" w:cs="Times New Roman" w:eastAsia="Times New Roman" w:hAnsi="Times New Roman"/>
                <w:sz w:val="18"/>
                <w:szCs w:val="18"/>
                <w:color w:val="0000FF"/>
              </w:rPr>
              <w:t>Section 1350 Certification of Chief Executive Officer and Chief Financial Officer</w:t>
            </w: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4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97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30"/>
        </w:trPr>
        <w:tc>
          <w:tcPr>
            <w:tcW w:w="20" w:type="dxa"/>
            <w:vAlign w:val="bottom"/>
          </w:tcPr>
          <w:p>
            <w:pPr>
              <w:spacing w:after="0"/>
              <w:rPr>
                <w:sz w:val="19"/>
                <w:szCs w:val="19"/>
                <w:color w:val="auto"/>
              </w:rPr>
            </w:pPr>
          </w:p>
        </w:tc>
        <w:tc>
          <w:tcPr>
            <w:tcW w:w="14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20" w:type="dxa"/>
            <w:vAlign w:val="bottom"/>
            <w:shd w:val="clear" w:color="auto" w:fill="CCEEFF"/>
          </w:tcPr>
          <w:p>
            <w:pPr>
              <w:spacing w:after="0"/>
              <w:rPr>
                <w:sz w:val="19"/>
                <w:szCs w:val="19"/>
                <w:color w:val="auto"/>
              </w:rPr>
            </w:pPr>
          </w:p>
        </w:tc>
        <w:tc>
          <w:tcPr>
            <w:tcW w:w="14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29"/>
        </w:trPr>
        <w:tc>
          <w:tcPr>
            <w:tcW w:w="20" w:type="dxa"/>
            <w:vAlign w:val="bottom"/>
          </w:tcPr>
          <w:p>
            <w:pPr>
              <w:spacing w:after="0"/>
              <w:rPr>
                <w:sz w:val="19"/>
                <w:szCs w:val="19"/>
                <w:color w:val="auto"/>
              </w:rPr>
            </w:pPr>
          </w:p>
        </w:tc>
        <w:tc>
          <w:tcPr>
            <w:tcW w:w="14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0"/>
        </w:trPr>
        <w:tc>
          <w:tcPr>
            <w:tcW w:w="20" w:type="dxa"/>
            <w:vAlign w:val="bottom"/>
            <w:shd w:val="clear" w:color="auto" w:fill="CCEEFF"/>
          </w:tcPr>
          <w:p>
            <w:pPr>
              <w:spacing w:after="0"/>
              <w:rPr>
                <w:sz w:val="19"/>
                <w:szCs w:val="19"/>
                <w:color w:val="auto"/>
              </w:rPr>
            </w:pPr>
          </w:p>
        </w:tc>
        <w:tc>
          <w:tcPr>
            <w:tcW w:w="144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20" w:type="dxa"/>
            <w:vAlign w:val="bottom"/>
          </w:tcPr>
          <w:p>
            <w:pPr>
              <w:spacing w:after="0"/>
              <w:rPr>
                <w:sz w:val="20"/>
                <w:szCs w:val="20"/>
                <w:color w:val="auto"/>
              </w:rPr>
            </w:pPr>
          </w:p>
        </w:tc>
        <w:tc>
          <w:tcPr>
            <w:tcW w:w="14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80" w:hanging="454"/>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compensatory contract, arrangement or plan required to be filed as an exhibit pursuant to Item 15(b) of this report.</w:t>
      </w:r>
    </w:p>
    <w:p>
      <w:pPr>
        <w:spacing w:after="0" w:line="27"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139"/>
          </w:cols>
          <w:pgMar w:left="320" w:top="391" w:right="1440"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REGISTERED SECURITIES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22"/>
          <w:szCs w:val="22"/>
          <w:color w:val="auto"/>
        </w:rPr>
        <w:t>Aviat Networks, Inc. (the “Company,” “we,” or “our”) is incorporated in the State of Delaware. We have two classes of registered securities, common stock and preferred share purchase rights (“Rights”).</w:t>
      </w:r>
    </w:p>
    <w:p>
      <w:pPr>
        <w:spacing w:after="0" w:line="195"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22"/>
          <w:szCs w:val="22"/>
          <w:color w:val="auto"/>
        </w:rPr>
        <w:t>The rights of our security holders are generally covered by Delaware law and our certificate of incorporation (“Certificate”) and by-laws (“Bylaws”) (each as amended or restated and in effect as of the date hereof). The terms of our securities are therefore subject to Delaware law, including the Delaware General Corporation Law (the “DGCL”), and the common and constitutional law of Delaware. Additionally, the terms of the Rights are described in that certain Tax Benefit Preservation Plan, dated as of March 3, 2020 (as amended and restated on August 27, 2020, the “Plan”), between the Company and Computershare Inc., as rights agent. We submitted the Plan to a stockholder vote and our stockholders approved the Plan at the 2020 Annual Meeting of Stockholders.</w:t>
      </w:r>
    </w:p>
    <w:p>
      <w:pPr>
        <w:spacing w:after="0" w:line="207"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22"/>
          <w:szCs w:val="22"/>
          <w:color w:val="auto"/>
        </w:rPr>
        <w:t>This description is a summary and does not purport to be complete. Our Certificate, Bylaws and the Plan are incorporated by reference or filed as an exhibit to the Annual Report on Form 10-K of which this exhibit is a part, and amendments or restatements of each will be filed with the Securities and Exchange Commission (the “SEC”) in future periodic or current reports in accordance with the rules of the SEC. We encourage you to read our Certificate and Bylaws, the Plan, and the applicable provisions of the DGCL for additional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Authorized Capital Stock</w:t>
      </w:r>
    </w:p>
    <w:p>
      <w:pPr>
        <w:spacing w:after="0" w:line="32" w:lineRule="exact"/>
        <w:rPr>
          <w:sz w:val="20"/>
          <w:szCs w:val="20"/>
          <w:color w:val="auto"/>
        </w:rPr>
      </w:pPr>
    </w:p>
    <w:p>
      <w:pPr>
        <w:jc w:val="both"/>
        <w:ind w:right="20" w:firstLine="445"/>
        <w:spacing w:after="0" w:line="248" w:lineRule="auto"/>
        <w:rPr>
          <w:sz w:val="20"/>
          <w:szCs w:val="20"/>
          <w:color w:val="auto"/>
        </w:rPr>
      </w:pPr>
      <w:r>
        <w:rPr>
          <w:rFonts w:ascii="Times New Roman" w:cs="Times New Roman" w:eastAsia="Times New Roman" w:hAnsi="Times New Roman"/>
          <w:sz w:val="22"/>
          <w:szCs w:val="22"/>
          <w:color w:val="auto"/>
        </w:rPr>
        <w:t>We are authorized to issue 300,000,000 shares of common stock, par value $0.01 per share and 50,000,000 shares of preferred stock, par value $0.01 per share.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Voting Rights</w:t>
      </w:r>
    </w:p>
    <w:p>
      <w:pPr>
        <w:spacing w:after="0" w:line="4"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22"/>
          <w:szCs w:val="22"/>
          <w:color w:val="auto"/>
        </w:rPr>
        <w:t>Holders of our common stock are entitled to one vote per share in the election of directors and on all other matters submitted to a vote at a meeting of shareholders. Holders of our common stock do not have cumulative voting rights, meaning that holders of a majority of the shares of common stock voting for the election of directors can elect all the directors if they choose to do so. The voting rights of holders of our Series A Participating Preferred Stock (“Series A Preferred Stock”), which are discussed in further detail below, or of any future series of preferred stock issued by the board of directors of the Company (the “Board”), may affect the voting power associated with our 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Dividend Rights</w:t>
      </w:r>
    </w:p>
    <w:p>
      <w:pPr>
        <w:spacing w:after="0" w:line="32" w:lineRule="exact"/>
        <w:rPr>
          <w:sz w:val="20"/>
          <w:szCs w:val="20"/>
          <w:color w:val="auto"/>
        </w:rPr>
      </w:pPr>
    </w:p>
    <w:p>
      <w:pPr>
        <w:jc w:val="both"/>
        <w:ind w:firstLine="445"/>
        <w:spacing w:after="0" w:line="271" w:lineRule="auto"/>
        <w:rPr>
          <w:sz w:val="20"/>
          <w:szCs w:val="20"/>
          <w:color w:val="auto"/>
        </w:rPr>
      </w:pPr>
      <w:r>
        <w:rPr>
          <w:rFonts w:ascii="Times New Roman" w:cs="Times New Roman" w:eastAsia="Times New Roman" w:hAnsi="Times New Roman"/>
          <w:sz w:val="21"/>
          <w:szCs w:val="21"/>
          <w:color w:val="auto"/>
        </w:rPr>
        <w:t>Subject to prior rights and preferences that may be applicable to any outstanding shares or series of preferred stock, holders of our common stock are entitled to dividends when, as and if declared by our Board out of funds legally available therefor.</w:t>
      </w:r>
    </w:p>
    <w:p>
      <w:pPr>
        <w:sectPr>
          <w:pgSz w:w="11900" w:h="16838" w:orient="portrait"/>
          <w:cols w:equalWidth="0" w:num="1">
            <w:col w:w="11240"/>
          </w:cols>
          <w:pgMar w:left="320" w:top="1413" w:right="339" w:bottom="1440" w:gutter="0" w:footer="0" w:header="0"/>
        </w:sectPr>
      </w:pPr>
    </w:p>
    <w:bookmarkStart w:id="95" w:name="page96"/>
    <w:bookmarkEnd w:id="95"/>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Liquidation Rights</w:t>
      </w:r>
    </w:p>
    <w:p>
      <w:pPr>
        <w:spacing w:after="0" w:line="32"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2"/>
          <w:szCs w:val="22"/>
          <w:color w:val="auto"/>
        </w:rPr>
        <w:t>If we liquidate or dissolve our business, whether voluntarily or involuntarily, the holders of common stock will share ratably in the distribution of assets available for distribution to stockholders after creditors are paid and preferred stockholders, including holders of Series A Preferred Stock, if any, receive their distributions.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Other</w:t>
      </w:r>
    </w:p>
    <w:p>
      <w:pPr>
        <w:spacing w:after="0" w:line="32"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21"/>
          <w:szCs w:val="21"/>
          <w:color w:val="auto"/>
        </w:rPr>
        <w:t>Our common stock has no preemptive or conversion rights and is not entitled to the benefits of any redemption or sinking fund provision. The outstanding shares of our common stock are fully paid and non-assessable with no restrictions on alienability.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Stock Exchange Listing</w:t>
      </w:r>
    </w:p>
    <w:p>
      <w:pPr>
        <w:spacing w:after="0" w:line="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Our common stock is traded on The Nasdaq Stock Market LLC under the symbol “AVNW.”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32"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22"/>
          <w:szCs w:val="22"/>
          <w:color w:val="auto"/>
        </w:rPr>
        <w:t>The Board generally will be authorized, without further stockholder approval, to issue from time to time up to an aggregate of 50,000,000 shares of preferred stock, in one or more series. Each series of preferred stock will have the number of shares, designations, preferences, voting powers (or special, preferential or no voting powers), relative, participating, optional or other special rights and privileges and such qualifications, limitations or restrictions as is determined by the Board, which may include, among others, the right to provide that the shares of each such series may be: (i) subject to a sinking fund provision or other conditions upon which shares shall be redeemed or purchased;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the Company; (iv) convertible into, or exchangeable for, shares of any other class or classes of stock, or of any other series of the same or any other class or classes of stock of the Company at such price or prices or at such rates of exchange and with such adjustments, if any; or (v) entitled to the benefit of such limitations, if any, on the issuance of additional shares of such series or shares of any other series of preferred stock.</w:t>
      </w:r>
    </w:p>
    <w:p>
      <w:pPr>
        <w:spacing w:after="0" w:line="212" w:lineRule="exact"/>
        <w:rPr>
          <w:sz w:val="20"/>
          <w:szCs w:val="20"/>
          <w:color w:val="auto"/>
        </w:rPr>
      </w:pPr>
    </w:p>
    <w:p>
      <w:pPr>
        <w:jc w:val="both"/>
        <w:ind w:firstLine="445"/>
        <w:spacing w:after="0" w:line="251" w:lineRule="auto"/>
        <w:rPr>
          <w:sz w:val="20"/>
          <w:szCs w:val="20"/>
          <w:color w:val="auto"/>
        </w:rPr>
      </w:pPr>
      <w:r>
        <w:rPr>
          <w:rFonts w:ascii="Times New Roman" w:cs="Times New Roman" w:eastAsia="Times New Roman" w:hAnsi="Times New Roman"/>
          <w:sz w:val="22"/>
          <w:szCs w:val="22"/>
          <w:color w:val="auto"/>
        </w:rPr>
        <w:t>The rights of the holders of common stock will generally be subordinate to the rights of holders of any preferred stock issued in the future. The issuance of preferred stock, while providing desirable flexibility in connection with possible acquisitions and other corporate purposes, could adversely affect the voting power or other rights of the holders of common stock, and could make it more difficult for a third party to acquire, or discourage a third party from attempting to acquire, a majority of our outstanding voting stock. As of the date hereof, the Board has designated one series of preferred stock, the Series A Preferred Stock. No shares of the Series A Preferred Stock are currently issued or outstanding.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Share Purchase Rights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Rights Plan</w:t>
      </w:r>
    </w:p>
    <w:p>
      <w:pPr>
        <w:sectPr>
          <w:pgSz w:w="11900" w:h="16838" w:orient="portrait"/>
          <w:cols w:equalWidth="0" w:num="1">
            <w:col w:w="11240"/>
          </w:cols>
          <w:pgMar w:left="320" w:top="1440" w:right="339" w:bottom="1440" w:gutter="0" w:footer="0" w:header="0"/>
        </w:sectPr>
      </w:pPr>
    </w:p>
    <w:bookmarkStart w:id="96" w:name="page97"/>
    <w:bookmarkEnd w:id="96"/>
    <w:p>
      <w:pPr>
        <w:jc w:val="both"/>
        <w:ind w:firstLine="445"/>
        <w:spacing w:after="0" w:line="251" w:lineRule="auto"/>
        <w:rPr>
          <w:sz w:val="20"/>
          <w:szCs w:val="20"/>
          <w:color w:val="auto"/>
        </w:rPr>
      </w:pPr>
      <w:r>
        <w:rPr>
          <w:rFonts w:ascii="Times New Roman" w:cs="Times New Roman" w:eastAsia="Times New Roman" w:hAnsi="Times New Roman"/>
          <w:sz w:val="22"/>
          <w:szCs w:val="22"/>
          <w:color w:val="auto"/>
        </w:rPr>
        <w:t>On March 3, 2020, the Board authorized and declared a dividend distribution of one Right for each outstanding share of common stock, par value $0.01 per share, of the Company to stockholders of record as of the close of business on March 13, 2020 (the “Record Date”). Each Right entitles the registered holder to purchase from the Company one one-thousandth of a share of Series A Preferred Stock, par value $0.01 per share, of the Company at an exercise price of $35.00 (the “Exercise Price”) per one one-thousandth of a share of Series A Preferred Stock, subject to adjustment. The complete terms of the Rights are set forth in the Plan.</w:t>
      </w:r>
    </w:p>
    <w:p>
      <w:pPr>
        <w:spacing w:after="0" w:line="208" w:lineRule="exact"/>
        <w:rPr>
          <w:sz w:val="20"/>
          <w:szCs w:val="20"/>
          <w:color w:val="auto"/>
        </w:rPr>
      </w:pPr>
    </w:p>
    <w:p>
      <w:pPr>
        <w:jc w:val="both"/>
        <w:ind w:firstLine="445"/>
        <w:spacing w:after="0" w:line="249" w:lineRule="auto"/>
        <w:rPr>
          <w:sz w:val="20"/>
          <w:szCs w:val="20"/>
          <w:color w:val="auto"/>
        </w:rPr>
      </w:pPr>
      <w:r>
        <w:rPr>
          <w:rFonts w:ascii="Times New Roman" w:cs="Times New Roman" w:eastAsia="Times New Roman" w:hAnsi="Times New Roman"/>
          <w:sz w:val="22"/>
          <w:szCs w:val="22"/>
          <w:color w:val="auto"/>
        </w:rPr>
        <w:t>The Plan is intended to protect the Company’s ability to use its net operating losses, any loss or deduction attributable to a “net unrealized built-in loss” and other tax attributes (collectively, “Tax Benefits”). If the Company experiences an “ownership change,” as defined in Section 382 of the Internal Revenue Code (the “Code”), its ability to use the Tax Benefits could be substantially limited, and the timing of the usage of the Tax Benefits could be substantially delayed, which could significantly impair the value of the Tax Benefits. Generally, an “ownership change” occurs if the percentage of the Company’s stock owned by one or more “five percent stockholders” increases by more than 50 percentage points over the lowest percentage of stock owned by such stockholders at any time during the prior three-year period or, if sooner, since the last “ownership change” experienced by the Company.</w:t>
      </w:r>
    </w:p>
    <w:p>
      <w:pPr>
        <w:spacing w:after="0" w:line="222"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22"/>
          <w:szCs w:val="22"/>
          <w:color w:val="auto"/>
        </w:rPr>
        <w:t>The Plan is intended to act as a deterrent to any person acquiring 4.9% or more of the outstanding shares of common stock without the approval of the Board. This would protect the Tax Benefits because changes in ownership by a person owning less than 4.9% of the shares of common stock are not included in the calculation of “ownership change” for purposes of Section 382 of the Code. We submitted the Plan to a stockholder vote and our stockholders approved the Plan at the 2020 Annual Meeting of Stockholders.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Distribution and Transfer of Rights; Rights Certificates</w:t>
      </w:r>
    </w:p>
    <w:p>
      <w:pPr>
        <w:spacing w:after="0" w:line="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The Board declared a dividend of one Right for each outstanding share of common stock as of the Record Date. Prior to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Distribution Date referred to below:</w:t>
      </w:r>
    </w:p>
    <w:p>
      <w:pPr>
        <w:spacing w:after="0" w:line="223" w:lineRule="exact"/>
        <w:rPr>
          <w:sz w:val="20"/>
          <w:szCs w:val="20"/>
          <w:color w:val="auto"/>
        </w:rPr>
      </w:pPr>
    </w:p>
    <w:p>
      <w:pPr>
        <w:jc w:val="both"/>
        <w:ind w:left="980" w:hanging="32"/>
        <w:spacing w:after="0" w:line="255" w:lineRule="auto"/>
        <w:rPr>
          <w:sz w:val="20"/>
          <w:szCs w:val="20"/>
          <w:color w:val="auto"/>
        </w:rPr>
      </w:pPr>
      <w:r>
        <w:rPr>
          <w:rFonts w:ascii="Times New Roman" w:cs="Times New Roman" w:eastAsia="Times New Roman" w:hAnsi="Times New Roman"/>
          <w:sz w:val="22"/>
          <w:szCs w:val="22"/>
          <w:color w:val="auto"/>
        </w:rPr>
        <w:t>The Rights are evidenced by and trade with the certificates for the shares of common stock (or, with respect to any uncertificated shares of common stock registered in book entry form, by notation in book entry), and no separate rights certificates will be distributed;</w:t>
      </w:r>
    </w:p>
    <w:p>
      <w:pPr>
        <w:spacing w:after="0" w:line="1" w:lineRule="exact"/>
        <w:rPr>
          <w:sz w:val="20"/>
          <w:szCs w:val="20"/>
          <w:color w:val="auto"/>
        </w:rPr>
      </w:pPr>
    </w:p>
    <w:p>
      <w:pPr>
        <w:jc w:val="both"/>
        <w:ind w:left="980" w:hanging="78"/>
        <w:spacing w:after="0" w:line="243" w:lineRule="auto"/>
        <w:rPr>
          <w:sz w:val="20"/>
          <w:szCs w:val="20"/>
          <w:color w:val="auto"/>
        </w:rPr>
      </w:pPr>
      <w:r>
        <w:rPr>
          <w:rFonts w:ascii="Times New Roman" w:cs="Times New Roman" w:eastAsia="Times New Roman" w:hAnsi="Times New Roman"/>
          <w:sz w:val="22"/>
          <w:szCs w:val="22"/>
          <w:color w:val="auto"/>
        </w:rPr>
        <w:t>New certificates issued after the Record Date for shares of common stock will contain a legend incorporating the Plan by reference (for uncertificated shares of common stock registered in book entry form, this legend will be contained in a notation in book entry); and</w:t>
      </w:r>
    </w:p>
    <w:p>
      <w:pPr>
        <w:spacing w:after="0" w:line="1" w:lineRule="exact"/>
        <w:rPr>
          <w:sz w:val="20"/>
          <w:szCs w:val="20"/>
          <w:color w:val="auto"/>
        </w:rPr>
      </w:pPr>
    </w:p>
    <w:p>
      <w:pPr>
        <w:jc w:val="both"/>
        <w:ind w:left="980" w:firstLine="65"/>
        <w:spacing w:after="0" w:line="247" w:lineRule="auto"/>
        <w:rPr>
          <w:sz w:val="20"/>
          <w:szCs w:val="20"/>
          <w:color w:val="auto"/>
        </w:rPr>
      </w:pPr>
      <w:r>
        <w:rPr>
          <w:rFonts w:ascii="Times New Roman" w:cs="Times New Roman" w:eastAsia="Times New Roman" w:hAnsi="Times New Roman"/>
          <w:sz w:val="22"/>
          <w:szCs w:val="22"/>
          <w:color w:val="auto"/>
        </w:rPr>
        <w:t>The surrender for transfer of any certificates for shares of common stock (or the surrender for transfer of any uncertificated shares of common stock registered in book entry form) will also constitute the transfer of the Rights associated with such shares of common stock.</w:t>
      </w:r>
    </w:p>
    <w:p>
      <w:pPr>
        <w:spacing w:after="0" w:line="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Rights will accompany any new shares of common stock that are issued after the Record Date.</w:t>
      </w:r>
    </w:p>
    <w:p>
      <w:pPr>
        <w:sectPr>
          <w:pgSz w:w="11900" w:h="16838" w:orient="portrait"/>
          <w:cols w:equalWidth="0" w:num="1">
            <w:col w:w="11240"/>
          </w:cols>
          <w:pgMar w:left="320" w:top="1422"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i w:val="1"/>
          <w:iCs w:val="1"/>
          <w:color w:val="auto"/>
        </w:rPr>
        <w:t>Distribution Date</w:t>
      </w:r>
    </w:p>
    <w:p>
      <w:pPr>
        <w:spacing w:after="0" w:line="32" w:lineRule="exact"/>
        <w:rPr>
          <w:sz w:val="20"/>
          <w:szCs w:val="20"/>
          <w:color w:val="auto"/>
        </w:rPr>
      </w:pPr>
    </w:p>
    <w:p>
      <w:pPr>
        <w:jc w:val="both"/>
        <w:ind w:firstLine="445"/>
        <w:spacing w:after="0" w:line="247" w:lineRule="auto"/>
        <w:rPr>
          <w:sz w:val="20"/>
          <w:szCs w:val="20"/>
          <w:color w:val="auto"/>
        </w:rPr>
      </w:pPr>
      <w:r>
        <w:rPr>
          <w:rFonts w:ascii="Times New Roman" w:cs="Times New Roman" w:eastAsia="Times New Roman" w:hAnsi="Times New Roman"/>
          <w:sz w:val="22"/>
          <w:szCs w:val="22"/>
          <w:color w:val="auto"/>
        </w:rPr>
        <w:t>Subject to certain exceptions specified in the Plan, the Rights will separate from the shares of common stock and become exercisable following (1) the 10th business day (or such later date as may be determined by the Board) after the public announcement that a person or group of affiliated or associated persons (an “Acquiring Person”) has acquired beneficial ownership of 4.9% or more of the shares of common stock or (2) the 10th business day (or such later date as may be determined by the Board) after a person or group announces a tender or exchange offer that would result in ownership by a person or group of 4.9% or more of the shares of common stock. For purposes of the Plan, beneficial ownership is defined to include the ownership of derivative securities. Any person or group of affiliated or associated persons who beneficially owns 4.9% or more of the outstanding shares of common stock as of the announcement of the Plan will not be an Acquiring Person, but only for so long as such person or group does not become the beneficial owner of any additional shares of common stock.</w:t>
      </w:r>
    </w:p>
    <w:p>
      <w:pPr>
        <w:spacing w:after="0" w:line="211"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22"/>
          <w:szCs w:val="22"/>
          <w:color w:val="auto"/>
        </w:rPr>
        <w:t>The date on which the Rights separate from the shares of common stock and become exercisable is referred to as the “Distribution Date.” After the Distribution Date, the Company will mail Rights certificates to the Company’s stockholders as of the close of business on the Distribution Date and the Rights will become transferable apart from the shares of common stock. Thereafter, such Rights certificates alone will represent the Rights.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Preferred Shares Purchasable Upon Exercise of Rights</w:t>
      </w:r>
    </w:p>
    <w:p>
      <w:pPr>
        <w:spacing w:after="0" w:line="32" w:lineRule="exact"/>
        <w:rPr>
          <w:sz w:val="20"/>
          <w:szCs w:val="20"/>
          <w:color w:val="auto"/>
        </w:rPr>
      </w:pPr>
    </w:p>
    <w:p>
      <w:pPr>
        <w:jc w:val="both"/>
        <w:ind w:firstLine="445"/>
        <w:spacing w:after="0" w:line="245" w:lineRule="auto"/>
        <w:rPr>
          <w:sz w:val="20"/>
          <w:szCs w:val="20"/>
          <w:color w:val="auto"/>
        </w:rPr>
      </w:pPr>
      <w:r>
        <w:rPr>
          <w:rFonts w:ascii="Times New Roman" w:cs="Times New Roman" w:eastAsia="Times New Roman" w:hAnsi="Times New Roman"/>
          <w:sz w:val="22"/>
          <w:szCs w:val="22"/>
          <w:color w:val="auto"/>
        </w:rPr>
        <w:t>After the Distribution Date, each Right will entitle the holder to purchase, for the Exercise Price, one one-thousandth of a share of Series A Preferred Stock having economic and other terms similar to that of one share of common stock. This portion of a share of Series A Preferred Stock is intended to give the stockholder approximately the same dividend, voting and liquidation rights as would one share of common stock, and should approximate the value of one share of common stock.</w:t>
      </w: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More specifically, each one one-thousandth of a share of Series A Preferred Stock, if issued, will:</w:t>
      </w:r>
    </w:p>
    <w:p>
      <w:pPr>
        <w:spacing w:after="0" w:line="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not be redeemable;</w:t>
      </w:r>
    </w:p>
    <w:p>
      <w:pPr>
        <w:spacing w:after="0" w:line="4" w:lineRule="exact"/>
        <w:rPr>
          <w:sz w:val="20"/>
          <w:szCs w:val="20"/>
          <w:color w:val="auto"/>
        </w:rPr>
      </w:pPr>
    </w:p>
    <w:p>
      <w:pPr>
        <w:ind w:left="980" w:hanging="94"/>
        <w:spacing w:after="0" w:line="243" w:lineRule="auto"/>
        <w:rPr>
          <w:sz w:val="20"/>
          <w:szCs w:val="20"/>
          <w:color w:val="auto"/>
        </w:rPr>
      </w:pPr>
      <w:r>
        <w:rPr>
          <w:rFonts w:ascii="Times New Roman" w:cs="Times New Roman" w:eastAsia="Times New Roman" w:hAnsi="Times New Roman"/>
          <w:sz w:val="22"/>
          <w:szCs w:val="22"/>
          <w:color w:val="auto"/>
        </w:rPr>
        <w:t>entitle holders to quarterly dividend payments of $0.01 per share, or an amount equal to the dividend paid on one share of common stock, whichever is greater;</w:t>
      </w:r>
    </w:p>
    <w:p>
      <w:pPr>
        <w:spacing w:after="0" w:line="1" w:lineRule="exact"/>
        <w:rPr>
          <w:sz w:val="20"/>
          <w:szCs w:val="20"/>
          <w:color w:val="auto"/>
        </w:rPr>
      </w:pPr>
    </w:p>
    <w:p>
      <w:pPr>
        <w:ind w:left="980" w:hanging="89"/>
        <w:spacing w:after="0" w:line="249" w:lineRule="auto"/>
        <w:rPr>
          <w:sz w:val="20"/>
          <w:szCs w:val="20"/>
          <w:color w:val="auto"/>
        </w:rPr>
      </w:pPr>
      <w:r>
        <w:rPr>
          <w:rFonts w:ascii="Times New Roman" w:cs="Times New Roman" w:eastAsia="Times New Roman" w:hAnsi="Times New Roman"/>
          <w:sz w:val="22"/>
          <w:szCs w:val="22"/>
          <w:color w:val="auto"/>
        </w:rPr>
        <w:t>entitle holders upon liquidation either to receive $1.00 per share or an amount equal to the payment made on one share of common stock, whichever is greater;</w:t>
      </w:r>
    </w:p>
    <w:p>
      <w:pPr>
        <w:spacing w:after="0" w:line="2" w:lineRule="exact"/>
        <w:rPr>
          <w:sz w:val="20"/>
          <w:szCs w:val="20"/>
          <w:color w:val="auto"/>
        </w:rPr>
      </w:pPr>
    </w:p>
    <w:p>
      <w:pPr>
        <w:ind w:left="980" w:hanging="87"/>
        <w:spacing w:after="0" w:line="243" w:lineRule="auto"/>
        <w:rPr>
          <w:sz w:val="20"/>
          <w:szCs w:val="20"/>
          <w:color w:val="auto"/>
        </w:rPr>
      </w:pPr>
      <w:r>
        <w:rPr>
          <w:rFonts w:ascii="Times New Roman" w:cs="Times New Roman" w:eastAsia="Times New Roman" w:hAnsi="Times New Roman"/>
          <w:sz w:val="22"/>
          <w:szCs w:val="22"/>
          <w:color w:val="auto"/>
        </w:rPr>
        <w:t>have the same voting power as one share of common stock (see “Voting Rights of Series A Preferred Stock” below for additional information); and</w:t>
      </w:r>
    </w:p>
    <w:p>
      <w:pPr>
        <w:spacing w:after="0" w:line="1" w:lineRule="exact"/>
        <w:rPr>
          <w:sz w:val="20"/>
          <w:szCs w:val="20"/>
          <w:color w:val="auto"/>
        </w:rPr>
      </w:pPr>
    </w:p>
    <w:p>
      <w:pPr>
        <w:ind w:left="980" w:firstLine="6"/>
        <w:spacing w:after="0" w:line="248" w:lineRule="auto"/>
        <w:rPr>
          <w:sz w:val="20"/>
          <w:szCs w:val="20"/>
          <w:color w:val="auto"/>
        </w:rPr>
      </w:pPr>
      <w:r>
        <w:rPr>
          <w:rFonts w:ascii="Times New Roman" w:cs="Times New Roman" w:eastAsia="Times New Roman" w:hAnsi="Times New Roman"/>
          <w:sz w:val="22"/>
          <w:szCs w:val="22"/>
          <w:color w:val="auto"/>
        </w:rPr>
        <w:t>entitle holders to a per share payment equal to the payment made on one share of common stock if the shares of common stock are exchanged via merger, consolidation or a similar transaction.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Voting Rights of Series A Preferred Stock</w:t>
      </w:r>
    </w:p>
    <w:p>
      <w:pPr>
        <w:spacing w:after="0" w:line="33" w:lineRule="exact"/>
        <w:rPr>
          <w:sz w:val="20"/>
          <w:szCs w:val="20"/>
          <w:color w:val="auto"/>
        </w:rPr>
      </w:pPr>
    </w:p>
    <w:p>
      <w:pPr>
        <w:jc w:val="both"/>
        <w:ind w:firstLine="445"/>
        <w:spacing w:after="0" w:line="251" w:lineRule="auto"/>
        <w:rPr>
          <w:sz w:val="20"/>
          <w:szCs w:val="20"/>
          <w:color w:val="auto"/>
        </w:rPr>
      </w:pPr>
      <w:r>
        <w:rPr>
          <w:rFonts w:ascii="Times New Roman" w:cs="Times New Roman" w:eastAsia="Times New Roman" w:hAnsi="Times New Roman"/>
          <w:sz w:val="22"/>
          <w:szCs w:val="22"/>
          <w:color w:val="auto"/>
        </w:rPr>
        <w:t>If issued, holders of our Series A Preferred Stock will be entitled to one thousand votes per share of preferred stock (subject to adjustment upon the occurrence of certain specified events, including a stock split, reverse stock split or payment of dividends in common stock) on all</w:t>
      </w:r>
    </w:p>
    <w:p>
      <w:pPr>
        <w:sectPr>
          <w:pgSz w:w="11900" w:h="16838" w:orient="portrait"/>
          <w:cols w:equalWidth="0" w:num="1">
            <w:col w:w="11240"/>
          </w:cols>
          <w:pgMar w:left="320" w:top="1418" w:right="339" w:bottom="1440" w:gutter="0" w:footer="0" w:header="0"/>
        </w:sectPr>
      </w:pPr>
    </w:p>
    <w:bookmarkStart w:id="98" w:name="page99"/>
    <w:bookmarkEnd w:id="98"/>
    <w:p>
      <w:pPr>
        <w:jc w:val="both"/>
        <w:spacing w:after="0" w:line="250" w:lineRule="auto"/>
        <w:rPr>
          <w:sz w:val="20"/>
          <w:szCs w:val="20"/>
          <w:color w:val="auto"/>
        </w:rPr>
      </w:pPr>
      <w:r>
        <w:rPr>
          <w:rFonts w:ascii="Times New Roman" w:cs="Times New Roman" w:eastAsia="Times New Roman" w:hAnsi="Times New Roman"/>
          <w:sz w:val="22"/>
          <w:szCs w:val="22"/>
          <w:color w:val="auto"/>
        </w:rPr>
        <w:t>matters submitted to a vote of the stockholders of the Company. Except as provided in the Certificate, the Bylaws, any certificate of designation of preferred stock or by law, the holders of Series A Preferred Stock and common stock will vote together as one class on all matters submitted to a vote of the stockholders of the Company. Upon the occurrence and continuance of a default with respect to the payment of dividends to the holders of Series A Preferred Stock, the holders of the Series A Preferred Stock, voting as a class, have the right to elect two directors to the Board, who shall serve for so long as such default continues. After such election and during the continued period of default, the number of directors shall not be increased or decreased except by vote of the holders of the Series A Preferred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Flip-In Trigger</w:t>
      </w:r>
    </w:p>
    <w:p>
      <w:pPr>
        <w:spacing w:after="0" w:line="33"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22"/>
          <w:szCs w:val="22"/>
          <w:color w:val="auto"/>
        </w:rPr>
        <w:t xml:space="preserve">If an Acquiring Person obtains beneficial ownership of 4.9% or more of the shares of common stock, except pursuant to an offer for all outstanding shares of common stock that the independent members of the Board determine to be fair and not inadequate and to otherwise be in the best interests of the Company and its stockholders after receiving advice from one or more investment banking firms, </w:t>
      </w:r>
      <w:r>
        <w:rPr>
          <w:rFonts w:ascii="Times New Roman" w:cs="Times New Roman" w:eastAsia="Times New Roman" w:hAnsi="Times New Roman"/>
          <w:sz w:val="22"/>
          <w:szCs w:val="22"/>
          <w:i w:val="1"/>
          <w:iCs w:val="1"/>
          <w:color w:val="auto"/>
        </w:rPr>
        <w:t>then</w:t>
      </w:r>
      <w:r>
        <w:rPr>
          <w:rFonts w:ascii="Times New Roman" w:cs="Times New Roman" w:eastAsia="Times New Roman" w:hAnsi="Times New Roman"/>
          <w:sz w:val="22"/>
          <w:szCs w:val="22"/>
          <w:color w:val="auto"/>
        </w:rPr>
        <w:t xml:space="preserve"> each Right will entitle the holder thereof to purchase, for the Exercise Price, a number of shares of common stock (or, in 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 Following the occurrence of an event set forth in preceding sentence, all Rights that are or, under certain circumstances specified in the Plan, were beneficially owned by an Acquiring Person or certain of its transferees will be null and void.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Flip-Over Trigger</w:t>
      </w:r>
    </w:p>
    <w:p>
      <w:pPr>
        <w:spacing w:after="0" w:line="32" w:lineRule="exact"/>
        <w:rPr>
          <w:sz w:val="20"/>
          <w:szCs w:val="20"/>
          <w:color w:val="auto"/>
        </w:rPr>
      </w:pPr>
    </w:p>
    <w:p>
      <w:pPr>
        <w:jc w:val="both"/>
        <w:ind w:firstLine="445"/>
        <w:spacing w:after="0" w:line="247" w:lineRule="auto"/>
        <w:rPr>
          <w:sz w:val="20"/>
          <w:szCs w:val="20"/>
          <w:color w:val="auto"/>
        </w:rPr>
      </w:pPr>
      <w:r>
        <w:rPr>
          <w:rFonts w:ascii="Times New Roman" w:cs="Times New Roman" w:eastAsia="Times New Roman" w:hAnsi="Times New Roman"/>
          <w:sz w:val="22"/>
          <w:szCs w:val="22"/>
          <w:color w:val="auto"/>
        </w:rPr>
        <w:t xml:space="preserve">If, after an Acquiring Person obtains 4.9% or more of the shares of common stock, (1) the Company merges into another entity, (2) an acquiring entity merges into the Company or (3) the Company sells or transfers more than 50% of its assets, cash flow or earning power, </w:t>
      </w:r>
      <w:r>
        <w:rPr>
          <w:rFonts w:ascii="Times New Roman" w:cs="Times New Roman" w:eastAsia="Times New Roman" w:hAnsi="Times New Roman"/>
          <w:sz w:val="22"/>
          <w:szCs w:val="22"/>
          <w:i w:val="1"/>
          <w:iCs w:val="1"/>
          <w:color w:val="auto"/>
        </w:rPr>
        <w:t>then</w:t>
      </w:r>
      <w:r>
        <w:rPr>
          <w:rFonts w:ascii="Times New Roman" w:cs="Times New Roman" w:eastAsia="Times New Roman" w:hAnsi="Times New Roman"/>
          <w:sz w:val="22"/>
          <w:szCs w:val="22"/>
          <w:color w:val="auto"/>
        </w:rPr>
        <w:t xml:space="preserve"> 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Redemption of the Rights</w:t>
      </w:r>
    </w:p>
    <w:p>
      <w:pPr>
        <w:spacing w:after="0" w:line="33" w:lineRule="exact"/>
        <w:rPr>
          <w:sz w:val="20"/>
          <w:szCs w:val="20"/>
          <w:color w:val="auto"/>
        </w:rPr>
      </w:pPr>
    </w:p>
    <w:p>
      <w:pPr>
        <w:jc w:val="both"/>
        <w:ind w:firstLine="445"/>
        <w:spacing w:after="0" w:line="246" w:lineRule="auto"/>
        <w:rPr>
          <w:sz w:val="20"/>
          <w:szCs w:val="20"/>
          <w:color w:val="auto"/>
        </w:rPr>
      </w:pPr>
      <w:r>
        <w:rPr>
          <w:rFonts w:ascii="Times New Roman" w:cs="Times New Roman" w:eastAsia="Times New Roman" w:hAnsi="Times New Roman"/>
          <w:sz w:val="22"/>
          <w:szCs w:val="22"/>
          <w:color w:val="auto"/>
        </w:rPr>
        <w:t>The Rights will be redeemable at the Company’s option for $0.01 per Right (payable in cash, shares of common stock or other consideration deemed appropriate by the Board) at any time on or prior to the 10th business day (or such later date as may be determined by the Board) after the public announcement that an Acquiring Person has acquired beneficial ownership of 4.9% or more of the shares of common stock. Immediately upon the action of the Board ordering redemption, the Rights will terminate and the only right of the holders of the Rights will be to receive the $0.01 redemption price. The redemption price will be adjusted if the Company undertakes a stock dividend or a stock split.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Exchange Provision</w:t>
      </w:r>
    </w:p>
    <w:p>
      <w:pPr>
        <w:sectPr>
          <w:pgSz w:w="11900" w:h="16838" w:orient="portrait"/>
          <w:cols w:equalWidth="0" w:num="1">
            <w:col w:w="11240"/>
          </w:cols>
          <w:pgMar w:left="320" w:top="1422" w:right="339" w:bottom="1440" w:gutter="0" w:footer="0" w:header="0"/>
        </w:sectPr>
      </w:pPr>
    </w:p>
    <w:bookmarkStart w:id="99" w:name="page100"/>
    <w:bookmarkEnd w:id="99"/>
    <w:p>
      <w:pPr>
        <w:jc w:val="both"/>
        <w:ind w:firstLine="445"/>
        <w:spacing w:after="0" w:line="251" w:lineRule="auto"/>
        <w:rPr>
          <w:sz w:val="20"/>
          <w:szCs w:val="20"/>
          <w:color w:val="auto"/>
        </w:rPr>
      </w:pPr>
      <w:r>
        <w:rPr>
          <w:rFonts w:ascii="Times New Roman" w:cs="Times New Roman" w:eastAsia="Times New Roman" w:hAnsi="Times New Roman"/>
          <w:sz w:val="22"/>
          <w:szCs w:val="22"/>
          <w:color w:val="auto"/>
        </w:rPr>
        <w:t>At any time after the date on which an Acquiring Person beneficially owns 4.9% or more of the shares of common stock and prior to the acquisition by the Acquiring Person of 50% of the shares of common stock, the Board may exchange the Rights (except for Rights that have previously been voided as set forth above), in whole or in part, for shares of common stock at an exchange ratio of one share of common stock per Right (subject to adjustment). In certain circumstances, the Company may elect to exchange the Rights for cash or other securities of the Company having a value approximately equal to one share of common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Expiration of the Rights</w:t>
      </w:r>
    </w:p>
    <w:p>
      <w:pPr>
        <w:spacing w:after="0" w:line="32" w:lineRule="exact"/>
        <w:rPr>
          <w:sz w:val="20"/>
          <w:szCs w:val="20"/>
          <w:color w:val="auto"/>
        </w:rPr>
      </w:pPr>
    </w:p>
    <w:p>
      <w:pPr>
        <w:jc w:val="both"/>
        <w:ind w:firstLine="445"/>
        <w:spacing w:after="0" w:line="247" w:lineRule="auto"/>
        <w:rPr>
          <w:sz w:val="20"/>
          <w:szCs w:val="20"/>
          <w:color w:val="auto"/>
        </w:rPr>
      </w:pPr>
      <w:r>
        <w:rPr>
          <w:rFonts w:ascii="Times New Roman" w:cs="Times New Roman" w:eastAsia="Times New Roman" w:hAnsi="Times New Roman"/>
          <w:sz w:val="22"/>
          <w:szCs w:val="22"/>
          <w:color w:val="auto"/>
        </w:rPr>
        <w:t>The Rights expire on the earliest of (1) 5:00 p.m., New York City time, on March 3, 2023 (unless such date is extended); (2) the redemption or exchange of the Rights as described above; (3) the repeal of Section 382 of the Code or any other change if the Board determines that the Plan is no longer necessary or desirable for the preservation of the Tax Benefits; (4) the time at which the Board determines that the Tax Benefits are fully utilized or no longer available pursuant to Section 382 of the Code or that an ownership change pursuant to Section 382 of the Code would not adversely impact in any material respect the time period in which the Company could use the Tax Benefits, or materially impair the amount of the Tax Benefits that could be used by the Company in any particular time period, for applicable tax purposes; or (5) a determination by the Board that the Plan is no longer in the best interests of the Company and its stockholders.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Amendment of Terms of the Plan and the Rights</w:t>
      </w:r>
    </w:p>
    <w:p>
      <w:pPr>
        <w:spacing w:after="0" w:line="32" w:lineRule="exact"/>
        <w:rPr>
          <w:sz w:val="20"/>
          <w:szCs w:val="20"/>
          <w:color w:val="auto"/>
        </w:rPr>
      </w:pPr>
    </w:p>
    <w:p>
      <w:pPr>
        <w:jc w:val="both"/>
        <w:ind w:firstLine="445"/>
        <w:spacing w:after="0" w:line="249" w:lineRule="auto"/>
        <w:rPr>
          <w:sz w:val="20"/>
          <w:szCs w:val="20"/>
          <w:color w:val="auto"/>
        </w:rPr>
      </w:pPr>
      <w:r>
        <w:rPr>
          <w:rFonts w:ascii="Times New Roman" w:cs="Times New Roman" w:eastAsia="Times New Roman" w:hAnsi="Times New Roman"/>
          <w:sz w:val="22"/>
          <w:szCs w:val="22"/>
          <w:color w:val="auto"/>
        </w:rPr>
        <w:t>The terms of the Rights and the Plan may be amended in any respect without the consent of the holders of the Rights on or prior to the Distribution Date. Thereafter, the terms of the Rights and the Plan may be amended without the consent of the holders of Rights in order to (1) cure any ambiguities, (2) shorten or lengthen any time period pursuant to the Plan or (3) make changes that do not adversely affect the interests of holders of the Rights.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Voting Rights; Other Stockholder Rights</w:t>
      </w:r>
    </w:p>
    <w:p>
      <w:pPr>
        <w:spacing w:after="0" w:line="32" w:lineRule="exact"/>
        <w:rPr>
          <w:sz w:val="20"/>
          <w:szCs w:val="20"/>
          <w:color w:val="auto"/>
        </w:rPr>
      </w:pPr>
    </w:p>
    <w:p>
      <w:pPr>
        <w:jc w:val="both"/>
        <w:ind w:right="20" w:firstLine="445"/>
        <w:spacing w:after="0" w:line="248" w:lineRule="auto"/>
        <w:rPr>
          <w:sz w:val="20"/>
          <w:szCs w:val="20"/>
          <w:color w:val="auto"/>
        </w:rPr>
      </w:pPr>
      <w:r>
        <w:rPr>
          <w:rFonts w:ascii="Times New Roman" w:cs="Times New Roman" w:eastAsia="Times New Roman" w:hAnsi="Times New Roman"/>
          <w:sz w:val="22"/>
          <w:szCs w:val="22"/>
          <w:color w:val="auto"/>
        </w:rPr>
        <w:t>The Rights will not have any voting rights. Until a Right is exercised, the holder thereof, as such, will have no separate rights as stockholder of the Company.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Anti-Dilution Provisions</w:t>
      </w:r>
    </w:p>
    <w:p>
      <w:pPr>
        <w:spacing w:after="0" w:line="33" w:lineRule="exact"/>
        <w:rPr>
          <w:sz w:val="20"/>
          <w:szCs w:val="20"/>
          <w:color w:val="auto"/>
        </w:rPr>
      </w:pPr>
    </w:p>
    <w:p>
      <w:pPr>
        <w:jc w:val="both"/>
        <w:ind w:firstLine="445"/>
        <w:spacing w:after="0" w:line="251" w:lineRule="auto"/>
        <w:rPr>
          <w:sz w:val="20"/>
          <w:szCs w:val="20"/>
          <w:color w:val="auto"/>
        </w:rPr>
      </w:pPr>
      <w:r>
        <w:rPr>
          <w:rFonts w:ascii="Times New Roman" w:cs="Times New Roman" w:eastAsia="Times New Roman" w:hAnsi="Times New Roman"/>
          <w:sz w:val="22"/>
          <w:szCs w:val="22"/>
          <w:color w:val="auto"/>
        </w:rPr>
        <w:t>The Board may adjust the Exercise Price, the number of shares of Series A Preferred Stock issuable and the number of outstanding Rights to prevent dilution that may occur from a stock dividend, a stock split or a reclassification of the shares of Series A Preferred Stock or common stock.</w:t>
      </w:r>
    </w:p>
    <w:p>
      <w:pPr>
        <w:spacing w:after="0" w:line="206" w:lineRule="exact"/>
        <w:rPr>
          <w:sz w:val="20"/>
          <w:szCs w:val="20"/>
          <w:color w:val="auto"/>
        </w:rPr>
      </w:pPr>
    </w:p>
    <w:p>
      <w:pPr>
        <w:jc w:val="both"/>
        <w:ind w:firstLine="445"/>
        <w:spacing w:after="0" w:line="271" w:lineRule="auto"/>
        <w:rPr>
          <w:sz w:val="20"/>
          <w:szCs w:val="20"/>
          <w:color w:val="auto"/>
        </w:rPr>
      </w:pPr>
      <w:r>
        <w:rPr>
          <w:rFonts w:ascii="Times New Roman" w:cs="Times New Roman" w:eastAsia="Times New Roman" w:hAnsi="Times New Roman"/>
          <w:sz w:val="22"/>
          <w:szCs w:val="22"/>
          <w:color w:val="auto"/>
        </w:rPr>
        <w:t>With certain exceptions, no adjustments to the Exercise Price will be made until the cumulative adjustments amount to at least 1% of the Exercise Price. No fractional shares of Series A Preferred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Stock will be issued and, in lieu thereof, an adjustment in cash will be made based on the current market price of such shares.</w:t>
      </w:r>
    </w:p>
    <w:p>
      <w:pPr>
        <w:sectPr>
          <w:pgSz w:w="11900" w:h="16838" w:orient="portrait"/>
          <w:cols w:equalWidth="0" w:num="1">
            <w:col w:w="11240"/>
          </w:cols>
          <w:pgMar w:left="320" w:top="1422"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b w:val="1"/>
          <w:bCs w:val="1"/>
          <w:color w:val="auto"/>
        </w:rPr>
        <w:t>Transfer Agent and Registrar</w:t>
      </w:r>
    </w:p>
    <w:p>
      <w:pPr>
        <w:spacing w:after="0" w:line="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Computershare Investor Services is the transfer agent and registrar for our common stock and the Rights.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Potential Anti-Takeover Effects</w:t>
      </w:r>
    </w:p>
    <w:p>
      <w:pPr>
        <w:spacing w:after="0" w:line="33" w:lineRule="exact"/>
        <w:rPr>
          <w:sz w:val="20"/>
          <w:szCs w:val="20"/>
          <w:color w:val="auto"/>
        </w:rPr>
      </w:pPr>
    </w:p>
    <w:p>
      <w:pPr>
        <w:ind w:firstLine="441"/>
        <w:spacing w:after="0" w:line="259" w:lineRule="auto"/>
        <w:rPr>
          <w:sz w:val="20"/>
          <w:szCs w:val="20"/>
          <w:color w:val="auto"/>
        </w:rPr>
      </w:pPr>
      <w:r>
        <w:rPr>
          <w:rFonts w:ascii="Times New Roman" w:cs="Times New Roman" w:eastAsia="Times New Roman" w:hAnsi="Times New Roman"/>
          <w:sz w:val="22"/>
          <w:szCs w:val="22"/>
          <w:color w:val="auto"/>
        </w:rPr>
        <w:t>Some provisions of our Certificate and Bylaws and of the DGCL could make the acquisition of control of our company and/or the removal of our existing management more difficult, including the following:</w:t>
      </w:r>
    </w:p>
    <w:p>
      <w:pPr>
        <w:spacing w:after="0" w:line="198" w:lineRule="exact"/>
        <w:rPr>
          <w:sz w:val="20"/>
          <w:szCs w:val="20"/>
          <w:color w:val="auto"/>
        </w:rPr>
      </w:pPr>
    </w:p>
    <w:p>
      <w:pPr>
        <w:jc w:val="both"/>
        <w:ind w:left="980" w:hanging="98"/>
        <w:spacing w:after="0" w:line="251" w:lineRule="auto"/>
        <w:rPr>
          <w:sz w:val="20"/>
          <w:szCs w:val="20"/>
          <w:color w:val="auto"/>
        </w:rPr>
      </w:pPr>
      <w:r>
        <w:rPr>
          <w:rFonts w:ascii="Times New Roman" w:cs="Times New Roman" w:eastAsia="Times New Roman" w:hAnsi="Times New Roman"/>
          <w:sz w:val="22"/>
          <w:szCs w:val="22"/>
          <w:color w:val="auto"/>
        </w:rPr>
        <w:t>Subject to certain rights provided to the holders of Series A Preferred Stock, our Board fixes the size of the Board, may create new directorships and may appoint new directors to serve in such newly-created positions until the next election of one or more directors by our shareholders.</w:t>
      </w:r>
    </w:p>
    <w:p>
      <w:pPr>
        <w:spacing w:after="0" w:line="2" w:lineRule="exact"/>
        <w:rPr>
          <w:sz w:val="20"/>
          <w:szCs w:val="20"/>
          <w:color w:val="auto"/>
        </w:rPr>
      </w:pPr>
    </w:p>
    <w:p>
      <w:pPr>
        <w:jc w:val="both"/>
        <w:ind w:left="980" w:hanging="79"/>
        <w:spacing w:after="0" w:line="246" w:lineRule="auto"/>
        <w:rPr>
          <w:sz w:val="20"/>
          <w:szCs w:val="20"/>
          <w:color w:val="auto"/>
        </w:rPr>
      </w:pPr>
      <w:r>
        <w:rPr>
          <w:rFonts w:ascii="Times New Roman" w:cs="Times New Roman" w:eastAsia="Times New Roman" w:hAnsi="Times New Roman"/>
          <w:sz w:val="22"/>
          <w:szCs w:val="22"/>
          <w:color w:val="auto"/>
        </w:rPr>
        <w:t>Our Board is expressly authorized to amend or repeal our bylaws, or adopt new bylaws, except that certain sections of the Bylaws (as specified therein) may only be amended with the approval of 2/3 of certain specified directors and/or the approval of the stockholders otherwise required by applicable law or the Bylaws for such amendment.</w:t>
      </w:r>
    </w:p>
    <w:p>
      <w:pPr>
        <w:spacing w:after="0" w:line="3" w:lineRule="exact"/>
        <w:rPr>
          <w:sz w:val="20"/>
          <w:szCs w:val="20"/>
          <w:color w:val="auto"/>
        </w:rPr>
      </w:pPr>
    </w:p>
    <w:p>
      <w:pPr>
        <w:ind w:left="980" w:hanging="103"/>
        <w:spacing w:after="0" w:line="243" w:lineRule="auto"/>
        <w:rPr>
          <w:sz w:val="20"/>
          <w:szCs w:val="20"/>
          <w:color w:val="auto"/>
        </w:rPr>
      </w:pPr>
      <w:r>
        <w:rPr>
          <w:rFonts w:ascii="Times New Roman" w:cs="Times New Roman" w:eastAsia="Times New Roman" w:hAnsi="Times New Roman"/>
          <w:sz w:val="22"/>
          <w:szCs w:val="22"/>
          <w:color w:val="auto"/>
        </w:rPr>
        <w:t>We have advance notice procedures with respect to shareholder proposals and the nomination of candidates for election as directors.</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Stockholders have no preemptive right to acquire our securities.</w:t>
      </w:r>
    </w:p>
    <w:p>
      <w:pPr>
        <w:spacing w:after="0" w:line="5" w:lineRule="exact"/>
        <w:rPr>
          <w:sz w:val="20"/>
          <w:szCs w:val="20"/>
          <w:color w:val="auto"/>
        </w:rPr>
      </w:pPr>
    </w:p>
    <w:p>
      <w:pPr>
        <w:jc w:val="both"/>
        <w:ind w:left="980" w:hanging="80"/>
        <w:spacing w:after="0" w:line="246" w:lineRule="auto"/>
        <w:rPr>
          <w:sz w:val="20"/>
          <w:szCs w:val="20"/>
          <w:color w:val="auto"/>
        </w:rPr>
      </w:pPr>
      <w:r>
        <w:rPr>
          <w:rFonts w:ascii="Times New Roman" w:cs="Times New Roman" w:eastAsia="Times New Roman" w:hAnsi="Times New Roman"/>
          <w:sz w:val="22"/>
          <w:szCs w:val="22"/>
          <w:color w:val="auto"/>
        </w:rPr>
        <w:t>Our Board has ability to authorize and issue undesignated preferred stock. This ability makes it possible for our Board to issue, without stockholder approval, preferred stock with voting or other rights or preferences that could impede the success of any attempt to change control of us as further described under “Preferred Stock” above.</w:t>
      </w:r>
    </w:p>
    <w:p>
      <w:pPr>
        <w:spacing w:after="0" w:line="3" w:lineRule="exact"/>
        <w:rPr>
          <w:sz w:val="20"/>
          <w:szCs w:val="20"/>
          <w:color w:val="auto"/>
        </w:rPr>
      </w:pPr>
    </w:p>
    <w:p>
      <w:pPr>
        <w:jc w:val="both"/>
        <w:ind w:left="980" w:hanging="33"/>
        <w:spacing w:after="0" w:line="252" w:lineRule="auto"/>
        <w:rPr>
          <w:sz w:val="20"/>
          <w:szCs w:val="20"/>
          <w:color w:val="auto"/>
        </w:rPr>
      </w:pPr>
      <w:r>
        <w:rPr>
          <w:rFonts w:ascii="Times New Roman" w:cs="Times New Roman" w:eastAsia="Times New Roman" w:hAnsi="Times New Roman"/>
          <w:sz w:val="22"/>
          <w:szCs w:val="22"/>
          <w:color w:val="auto"/>
        </w:rPr>
        <w:t>As further discussed above, our Board has issued the Rights and adopted the Plan. The Plan is intended to act as a deterrent to any person acquiring 4.9% or more of the outstanding shares of common stock without the approval of the Board in order to preserve certain Tax Benefits.</w:t>
      </w:r>
    </w:p>
    <w:p>
      <w:pPr>
        <w:spacing w:after="0" w:line="205"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22"/>
          <w:szCs w:val="22"/>
          <w:color w:val="auto"/>
        </w:rPr>
        <w:t>Additionally, we are a Delaware corporation and are subject to Section 203 of the DGCL. In general, Section 203 prevents us from engaging in a business combination with an “interested stockholder” (generally, a person owning 15% or more of our outstanding voting stock) for three years following the time that person becomes a 15% stockholder unless one of the following is satisfied:</w:t>
      </w:r>
    </w:p>
    <w:p>
      <w:pPr>
        <w:spacing w:after="0" w:line="220" w:lineRule="exact"/>
        <w:rPr>
          <w:sz w:val="20"/>
          <w:szCs w:val="20"/>
          <w:color w:val="auto"/>
        </w:rPr>
      </w:pPr>
    </w:p>
    <w:p>
      <w:pPr>
        <w:ind w:left="980" w:right="20" w:hanging="63"/>
        <w:spacing w:after="0" w:line="254" w:lineRule="auto"/>
        <w:rPr>
          <w:sz w:val="20"/>
          <w:szCs w:val="20"/>
          <w:color w:val="auto"/>
        </w:rPr>
      </w:pPr>
      <w:r>
        <w:rPr>
          <w:rFonts w:ascii="Times New Roman" w:cs="Times New Roman" w:eastAsia="Times New Roman" w:hAnsi="Times New Roman"/>
          <w:sz w:val="22"/>
          <w:szCs w:val="22"/>
          <w:color w:val="auto"/>
        </w:rPr>
        <w:t>before that person became a 15% stockholder, our Board approved the transaction in which the stockholder became a 15% stockholder or approved the business combination;</w:t>
      </w:r>
    </w:p>
    <w:p>
      <w:pPr>
        <w:spacing w:after="0" w:line="2" w:lineRule="exact"/>
        <w:rPr>
          <w:sz w:val="20"/>
          <w:szCs w:val="20"/>
          <w:color w:val="auto"/>
        </w:rPr>
      </w:pPr>
    </w:p>
    <w:p>
      <w:pPr>
        <w:jc w:val="both"/>
        <w:ind w:left="980" w:hanging="5"/>
        <w:spacing w:after="0" w:line="245" w:lineRule="auto"/>
        <w:rPr>
          <w:sz w:val="20"/>
          <w:szCs w:val="20"/>
          <w:color w:val="auto"/>
        </w:rPr>
      </w:pPr>
      <w:r>
        <w:rPr>
          <w:rFonts w:ascii="Times New Roman" w:cs="Times New Roman" w:eastAsia="Times New Roman" w:hAnsi="Times New Roman"/>
          <w:sz w:val="22"/>
          <w:szCs w:val="22"/>
          <w:color w:val="auto"/>
        </w:rPr>
        <w:t>upon completion of the transaction that resulted in the stockholder’s becoming a 15% stockholder, the stockholder owned at least 85% of our voting stock outstanding at the time the transaction began (excluding stock held by directors who are also officers and by employee stock plans that do not provide employees with the right to determine confidentially whether shares held subject to the plan will be tendered in a tender or exchange offer); and</w:t>
      </w:r>
    </w:p>
    <w:p>
      <w:pPr>
        <w:sectPr>
          <w:pgSz w:w="11900" w:h="16838" w:orient="portrait"/>
          <w:cols w:equalWidth="0" w:num="1">
            <w:col w:w="11240"/>
          </w:cols>
          <w:pgMar w:left="320" w:top="1418" w:right="339" w:bottom="1440" w:gutter="0" w:footer="0" w:header="0"/>
        </w:sectPr>
      </w:pPr>
    </w:p>
    <w:bookmarkStart w:id="101" w:name="page102"/>
    <w:bookmarkEnd w:id="101"/>
    <w:p>
      <w:pPr>
        <w:jc w:val="both"/>
        <w:ind w:left="980" w:hanging="9"/>
        <w:spacing w:after="0" w:line="257" w:lineRule="auto"/>
        <w:rPr>
          <w:sz w:val="20"/>
          <w:szCs w:val="20"/>
          <w:color w:val="auto"/>
        </w:rPr>
      </w:pPr>
      <w:r>
        <w:rPr>
          <w:rFonts w:ascii="Times New Roman" w:cs="Times New Roman" w:eastAsia="Times New Roman" w:hAnsi="Times New Roman"/>
          <w:sz w:val="22"/>
          <w:szCs w:val="22"/>
          <w:color w:val="auto"/>
        </w:rPr>
        <w:t>after the transaction in which that person became a 15% stockholder, the business combination is approved by our Board and authorized at a stockholders’ meeting by at least two-thirds of the outstanding voting stock not owned by the 15% stockholder.</w:t>
      </w:r>
    </w:p>
    <w:p>
      <w:pPr>
        <w:spacing w:after="0" w:line="213"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22"/>
          <w:szCs w:val="22"/>
          <w:color w:val="auto"/>
        </w:rPr>
        <w:t>Under Section 203, these restrictions also do not apply to certain business combinations proposed by a 15% stockholder following the disclosure of an extraordinary transaction with a person who was not a 15% stockholder during the previous three years or who became a 15% stockholder with the approval of a majority of our directors. This exception applies only if the extraordinary transaction is approved or not opposed by a majority of our directors who were directors before any person became a 15% stockholder in the previous three years, or the successors of these directors.</w:t>
      </w:r>
    </w:p>
    <w:p>
      <w:pPr>
        <w:spacing w:after="0" w:line="221"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22"/>
          <w:szCs w:val="22"/>
          <w:color w:val="auto"/>
        </w:rPr>
        <w:t>These provisions are expected to discourage coercive takeover practices and inadequate takeover bids. They are also designed, in part, to encourage persons seeking to acquire control of the Company to first negotiate with our Board. We believe that the benefits of increased protection give us the potential ability to negotiate with the proponent of an unfriendly or unsolicited proposal to acquire or restructure us and that these benefits outweigh the disadvantages of discouraging the proposals. Negotiating with the proponent could result in an improvement of the terms of the proposal.</w:t>
      </w:r>
    </w:p>
    <w:p>
      <w:pPr>
        <w:sectPr>
          <w:pgSz w:w="11900" w:h="16838" w:orient="portrait"/>
          <w:cols w:equalWidth="0" w:num="1">
            <w:col w:w="11240"/>
          </w:cols>
          <w:pgMar w:left="320" w:top="1422" w:right="339" w:bottom="1440" w:gutter="0" w:footer="0" w:header="0"/>
        </w:sectPr>
      </w:pPr>
    </w:p>
    <w:bookmarkStart w:id="102" w:name="page103"/>
    <w:bookmarkEnd w:id="102"/>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Bryan C .Tucker</w:t>
      </w:r>
    </w:p>
    <w:p>
      <w:pPr>
        <w:spacing w:after="0" w:line="204" w:lineRule="auto"/>
        <w:rPr>
          <w:sz w:val="20"/>
          <w:szCs w:val="20"/>
          <w:color w:val="auto"/>
        </w:rPr>
      </w:pPr>
      <w:r>
        <w:rPr>
          <w:rFonts w:ascii="Times New Roman" w:cs="Times New Roman" w:eastAsia="Times New Roman" w:hAnsi="Times New Roman"/>
          <w:sz w:val="22"/>
          <w:szCs w:val="22"/>
          <w:color w:val="auto"/>
        </w:rPr>
        <w:t>8625 Classic Lane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Antonio, TX 78255</w:t>
      </w:r>
    </w:p>
    <w:p>
      <w:pPr>
        <w:spacing w:after="0" w:line="17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Bryan:</w:t>
      </w:r>
    </w:p>
    <w:p>
      <w:pPr>
        <w:spacing w:after="0" w:line="206" w:lineRule="exact"/>
        <w:rPr>
          <w:sz w:val="20"/>
          <w:szCs w:val="20"/>
          <w:color w:val="auto"/>
        </w:rPr>
      </w:pPr>
    </w:p>
    <w:p>
      <w:pPr>
        <w:jc w:val="both"/>
        <w:ind w:right="100" w:firstLine="648"/>
        <w:spacing w:after="0" w:line="225" w:lineRule="auto"/>
        <w:rPr>
          <w:sz w:val="20"/>
          <w:szCs w:val="20"/>
          <w:color w:val="auto"/>
        </w:rPr>
      </w:pPr>
      <w:r>
        <w:rPr>
          <w:rFonts w:ascii="Times New Roman" w:cs="Times New Roman" w:eastAsia="Times New Roman" w:hAnsi="Times New Roman"/>
          <w:sz w:val="22"/>
          <w:szCs w:val="22"/>
          <w:color w:val="auto"/>
        </w:rPr>
        <w:t>This letter agreement sets forth the terms of your employment with Aviat Networks, Inc. (the “Company”) as well as our understanding with respect to any termination of that employment relationship. This Agreement will become effective with your promotion to Vice President, Global Operations, July 1, 2012(“Effective Date”).</w:t>
      </w:r>
    </w:p>
    <w:p>
      <w:pPr>
        <w:spacing w:after="0" w:line="153" w:lineRule="exact"/>
        <w:rPr>
          <w:sz w:val="20"/>
          <w:szCs w:val="20"/>
          <w:color w:val="auto"/>
        </w:rPr>
      </w:pPr>
    </w:p>
    <w:p>
      <w:pPr>
        <w:ind w:firstLine="656"/>
        <w:spacing w:after="0" w:line="215" w:lineRule="auto"/>
        <w:tabs>
          <w:tab w:leader="none" w:pos="102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On the Effective Date, you will remain employed by the Company as its Vice-President, Global Operations, reporting to the President and Chief Executive Officer. This position will be based at our facility location in San Antonio, Texas. You accept employment with the Company on the terms and conditions set forth in this Agreement, and you agree during your employment not to engage in any business, other employment or other activities which would conflict with your obligation to the Company, or create an actual or the appearance of a conflict of interest with the Company’s interest or your employment relationship with the Company.</w:t>
      </w:r>
    </w:p>
    <w:p>
      <w:pPr>
        <w:spacing w:after="0" w:line="152" w:lineRule="exact"/>
        <w:rPr>
          <w:rFonts w:ascii="Times New Roman" w:cs="Times New Roman" w:eastAsia="Times New Roman" w:hAnsi="Times New Roman"/>
          <w:sz w:val="22"/>
          <w:szCs w:val="22"/>
          <w:color w:val="auto"/>
        </w:rPr>
      </w:pPr>
    </w:p>
    <w:p>
      <w:pPr>
        <w:ind w:right="220" w:firstLine="656"/>
        <w:spacing w:after="0" w:line="225" w:lineRule="auto"/>
        <w:tabs>
          <w:tab w:leader="none" w:pos="102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Employment</w:t>
      </w:r>
      <w:r>
        <w:rPr>
          <w:rFonts w:ascii="Times New Roman" w:cs="Times New Roman" w:eastAsia="Times New Roman" w:hAnsi="Times New Roman"/>
          <w:sz w:val="22"/>
          <w:szCs w:val="22"/>
          <w:color w:val="auto"/>
        </w:rPr>
        <w:t>. Your employment with the Company is at will, which means that your employment is for no specified term, and may be terminated by you or the Company at any time, with or without cause or notice, subject to the provisions of Paragraphs 4 and 5 below.</w:t>
      </w:r>
    </w:p>
    <w:p>
      <w:pPr>
        <w:spacing w:after="0" w:line="152"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You will be compensated by the Company for your services as follows:</w:t>
      </w:r>
    </w:p>
    <w:p>
      <w:pPr>
        <w:spacing w:after="0" w:line="179" w:lineRule="exact"/>
        <w:rPr>
          <w:rFonts w:ascii="Times New Roman" w:cs="Times New Roman" w:eastAsia="Times New Roman" w:hAnsi="Times New Roman"/>
          <w:sz w:val="22"/>
          <w:szCs w:val="22"/>
          <w:color w:val="auto"/>
        </w:rPr>
      </w:pPr>
    </w:p>
    <w:p>
      <w:pPr>
        <w:ind w:right="220" w:firstLine="1304"/>
        <w:spacing w:after="0" w:line="225" w:lineRule="auto"/>
        <w:tabs>
          <w:tab w:leader="none" w:pos="1752"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Salary</w:t>
      </w:r>
      <w:r>
        <w:rPr>
          <w:rFonts w:ascii="Times New Roman" w:cs="Times New Roman" w:eastAsia="Times New Roman" w:hAnsi="Times New Roman"/>
          <w:sz w:val="21"/>
          <w:szCs w:val="21"/>
          <w:color w:val="auto"/>
        </w:rPr>
        <w:t>: On the Effective Date, you will be paid a monthly base salary of $</w:t>
      </w:r>
      <w:r>
        <w:rPr>
          <w:rFonts w:ascii="Georgia" w:cs="Georgia" w:eastAsia="Georgia" w:hAnsi="Georgia"/>
          <w:sz w:val="15"/>
          <w:szCs w:val="15"/>
          <w:color w:val="auto"/>
        </w:rPr>
        <w:t>18,500</w:t>
      </w:r>
      <w:r>
        <w:rPr>
          <w:rFonts w:ascii="Times New Roman" w:cs="Times New Roman" w:eastAsia="Times New Roman" w:hAnsi="Times New Roman"/>
          <w:sz w:val="21"/>
          <w:szCs w:val="21"/>
          <w:color w:val="auto"/>
        </w:rPr>
        <w:t>, ($222,000 per year) less applicable withholding, in accordance with the Company’s normal payroll procedures and applicable law. In conjunction with your annual performance review, which will occur at or about the start of each fiscal year, your base salary will be reviewed by your supervisor, and may be subject to adjustment in Fiscal Year 2013 based upon various factors including, but not limited to, your performance and the Company’s profitability. Your base salary will not be reduced except as part of a salary reduction program that similarly affects all members of the executive staff reporting to the Chief Executive Officer of the Company.</w:t>
      </w:r>
    </w:p>
    <w:p>
      <w:pPr>
        <w:spacing w:after="0" w:line="153" w:lineRule="exact"/>
        <w:rPr>
          <w:rFonts w:ascii="Times New Roman" w:cs="Times New Roman" w:eastAsia="Times New Roman" w:hAnsi="Times New Roman"/>
          <w:sz w:val="21"/>
          <w:szCs w:val="21"/>
          <w:color w:val="auto"/>
        </w:rPr>
      </w:pPr>
    </w:p>
    <w:p>
      <w:pPr>
        <w:ind w:right="40" w:firstLine="1304"/>
        <w:spacing w:after="0" w:line="212" w:lineRule="auto"/>
        <w:tabs>
          <w:tab w:leader="none" w:pos="176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Short- Term Incentive Plan</w:t>
      </w:r>
      <w:r>
        <w:rPr>
          <w:rFonts w:ascii="Times New Roman" w:cs="Times New Roman" w:eastAsia="Times New Roman" w:hAnsi="Times New Roman"/>
          <w:sz w:val="22"/>
          <w:szCs w:val="22"/>
          <w:color w:val="auto"/>
        </w:rPr>
        <w:t>: Effective upon your promotion, your targeted incentive bonus will increase to 40% of your annual base salary. Your annual incentive payment will be pro-rated effective from your promotion date reflecting the percentage increase to your incentive target if applicable. Any payment under the Annual Incentive Plan will be made (if minimum targets are met) in the calendar year in which the relevant fiscal year ends. In addition subject to the Boards approval of such a plan for company employee’s each year, continuing in Fiscal Year 2013, you will be eligible to participate in the Company’s Annual Incentive Plan based upon that years plan parameters. For fiscal year 2013 the AIP plan parameters are based upon the Grant of Performance Restricted Shares. Your applicable Grant consists of 25,000 Performance Restricted Shares with the Performance requirement(s) as discussed with your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00"/>
          </w:cols>
          <w:pgMar w:left="320" w:top="1440" w:right="3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color w:val="auto"/>
        </w:rPr>
        <w:t>Bryan C. Tucker</w:t>
      </w:r>
    </w:p>
    <w:p>
      <w:pPr>
        <w:spacing w:after="0"/>
        <w:rPr>
          <w:sz w:val="20"/>
          <w:szCs w:val="20"/>
          <w:color w:val="auto"/>
        </w:rPr>
      </w:pPr>
      <w:r>
        <w:rPr>
          <w:rFonts w:ascii="Times New Roman" w:cs="Times New Roman" w:eastAsia="Times New Roman" w:hAnsi="Times New Roman"/>
          <w:sz w:val="22"/>
          <w:szCs w:val="22"/>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20" w:firstLine="1304"/>
        <w:spacing w:after="0" w:line="225" w:lineRule="auto"/>
        <w:tabs>
          <w:tab w:leader="none" w:pos="1752"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Long-Term Incentive Program:</w:t>
      </w:r>
      <w:r>
        <w:rPr>
          <w:rFonts w:ascii="Times New Roman" w:cs="Times New Roman" w:eastAsia="Times New Roman" w:hAnsi="Times New Roman"/>
          <w:sz w:val="22"/>
          <w:szCs w:val="22"/>
          <w:color w:val="auto"/>
        </w:rPr>
        <w:t xml:space="preserve"> Subject to Board approval each year, you will be eligible to participate in a Long-Term Incentive Program. You will be eligible to continue your participation in the Aviat Networks LTIP plan, for FY13 subject to Board approval, with a Grant of 25,000 Stock Options.</w:t>
      </w:r>
    </w:p>
    <w:p>
      <w:pPr>
        <w:spacing w:after="0" w:line="152" w:lineRule="exact"/>
        <w:rPr>
          <w:rFonts w:ascii="Times New Roman" w:cs="Times New Roman" w:eastAsia="Times New Roman" w:hAnsi="Times New Roman"/>
          <w:sz w:val="22"/>
          <w:szCs w:val="22"/>
          <w:color w:val="auto"/>
        </w:rPr>
      </w:pPr>
    </w:p>
    <w:p>
      <w:pPr>
        <w:jc w:val="both"/>
        <w:ind w:right="20" w:firstLine="1304"/>
        <w:spacing w:after="0" w:line="220" w:lineRule="auto"/>
        <w:tabs>
          <w:tab w:leader="none" w:pos="176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You will have the right, on the same basis as other employees of the Company, to participate in and to receive benefits under any Company group medical, dental, life, disability or other group insurance plans, as well as under the Company’s business expense reimbursement, educational assistance, holiday, and other benefit plans and policies. You will also be eligible to participate in the Company’s 401(k) plan.</w:t>
      </w:r>
    </w:p>
    <w:p>
      <w:pPr>
        <w:spacing w:after="0" w:line="152" w:lineRule="exact"/>
        <w:rPr>
          <w:rFonts w:ascii="Times New Roman" w:cs="Times New Roman" w:eastAsia="Times New Roman" w:hAnsi="Times New Roman"/>
          <w:sz w:val="22"/>
          <w:szCs w:val="22"/>
          <w:color w:val="auto"/>
        </w:rPr>
      </w:pPr>
    </w:p>
    <w:p>
      <w:pPr>
        <w:ind w:right="80" w:firstLine="1304"/>
        <w:spacing w:after="0" w:line="236" w:lineRule="auto"/>
        <w:tabs>
          <w:tab w:leader="none" w:pos="1752"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Vacation will continue to accrue based upon 3 weeks per year. Maximum accrued vacation will be in accordance with the Company’s vacation policy.</w:t>
      </w:r>
    </w:p>
    <w:p>
      <w:pPr>
        <w:spacing w:after="0" w:line="150" w:lineRule="exact"/>
        <w:rPr>
          <w:rFonts w:ascii="Times New Roman" w:cs="Times New Roman" w:eastAsia="Times New Roman" w:hAnsi="Times New Roman"/>
          <w:sz w:val="22"/>
          <w:szCs w:val="22"/>
          <w:color w:val="auto"/>
        </w:rPr>
      </w:pPr>
    </w:p>
    <w:p>
      <w:pPr>
        <w:ind w:firstLine="1304"/>
        <w:spacing w:after="0" w:line="217" w:lineRule="auto"/>
        <w:tabs>
          <w:tab w:leader="none" w:pos="1728"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Earned Compensation: For purposes of those Paragraphs of this agreement pertaining to termination of the employment relationship, whether involuntary or voluntary, unless otherwise expressly provided here in, no part of the (i) the Annual Incentive Plan for the year in which the termination occurs, (ii) no part of any performance shares for a multiyear period or periods in which the termination occurs and (iii) no part of any equity awards that are not vested as of the termination date will be deemed earned as of the date of termination.</w:t>
      </w:r>
    </w:p>
    <w:p>
      <w:pPr>
        <w:spacing w:after="0" w:line="152" w:lineRule="exact"/>
        <w:rPr>
          <w:rFonts w:ascii="Times New Roman" w:cs="Times New Roman" w:eastAsia="Times New Roman" w:hAnsi="Times New Roman"/>
          <w:sz w:val="22"/>
          <w:szCs w:val="22"/>
          <w:color w:val="auto"/>
        </w:rPr>
      </w:pPr>
    </w:p>
    <w:p>
      <w:pPr>
        <w:ind w:right="20" w:firstLine="656"/>
        <w:spacing w:after="0" w:line="210" w:lineRule="auto"/>
        <w:tabs>
          <w:tab w:leader="none" w:pos="102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Termination or Death.</w:t>
      </w:r>
      <w:r>
        <w:rPr>
          <w:rFonts w:ascii="Times New Roman" w:cs="Times New Roman" w:eastAsia="Times New Roman" w:hAnsi="Times New Roman"/>
          <w:sz w:val="22"/>
          <w:szCs w:val="22"/>
          <w:color w:val="auto"/>
        </w:rPr>
        <w:t>. In the event that you voluntarily resign from your employment with the Company (other than for Good Reason or Good Reason Following a Change of Control as defined in Paragraphs 5(d) and 6(b)), or in the event that your employment terminates as a result of your death, you will be entitled to no compensation or benefits from the Company other than those earned under Paragraph 3 through the date of termination. However if your employment terminates as a result of your death, the Company will pay your estate the prorated portion of any short-term incentive bonus that you would have earned during the incentive bonus period in which your employment terminates (the pro-ration) shall be equal to the percentage of that bonus period that you were actually employed by the Company); such prorated bonus will be paid at the time that such incentives bonuses are paid to other Company employees. You agree that if you voluntarily terminate your employment with the Company for any reason, you will provide the Company with at least 10 business days’ written notice of your resignation. The Company shall have the option, in its sole discretion, to make your resignation effective at any time prior to the end of such notice period, provided the Company pays you an amount equal to the base salary and benefits you would have earned through the end of the notice period.</w:t>
      </w:r>
    </w:p>
    <w:p>
      <w:pPr>
        <w:spacing w:after="0" w:line="151"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w:t>
      </w:r>
      <w:r>
        <w:rPr>
          <w:rFonts w:ascii="Times New Roman" w:cs="Times New Roman" w:eastAsia="Times New Roman" w:hAnsi="Times New Roman"/>
          <w:sz w:val="22"/>
          <w:szCs w:val="22"/>
          <w:color w:val="auto"/>
        </w:rPr>
        <w:t>. Your employment may be terminated under the circumstances set forth below.</w:t>
      </w:r>
    </w:p>
    <w:p>
      <w:pPr>
        <w:spacing w:after="0" w:line="179" w:lineRule="exact"/>
        <w:rPr>
          <w:rFonts w:ascii="Times New Roman" w:cs="Times New Roman" w:eastAsia="Times New Roman" w:hAnsi="Times New Roman"/>
          <w:sz w:val="22"/>
          <w:szCs w:val="22"/>
          <w:color w:val="auto"/>
        </w:rPr>
      </w:pPr>
    </w:p>
    <w:p>
      <w:pPr>
        <w:ind w:right="60" w:firstLine="1304"/>
        <w:spacing w:after="0" w:line="211" w:lineRule="auto"/>
        <w:tabs>
          <w:tab w:leader="none" w:pos="1752"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Disability</w:t>
      </w:r>
      <w:r>
        <w:rPr>
          <w:rFonts w:ascii="Times New Roman" w:cs="Times New Roman" w:eastAsia="Times New Roman" w:hAnsi="Times New Roman"/>
          <w:sz w:val="22"/>
          <w:szCs w:val="22"/>
          <w:color w:val="auto"/>
        </w:rPr>
        <w:t>. If, by reason of any physical or mental incapacity, you have been or will be prevented from performing your then-current duties under this Agreement with reasonable accommodation, then, to the extent permitted by law, the Company may terminate your employment without any advance notice. Upon such termination, if you sign a general release of known and unknown claims in a form satisfactory to the Company, which becomes valid and irrevocable within 60 days of your termination, and you fully comply with your obligation under Paragraph 7, 8 and 10, the Company will provide you with the severance payments and benefits described in Paragraph 5(c). Nothing in this paragraph shall affect your rights under any applicable Company disability plan; provided, however, that your severance payments will be offset by any disability income payments received by you so that the total monthly severance and disability income payments during your severance period shall not exceed your then-current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00"/>
          </w:cols>
          <w:pgMar w:left="320" w:top="86"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color w:val="auto"/>
        </w:rPr>
        <w:t>Bryan C. Tucker</w:t>
      </w:r>
    </w:p>
    <w:p>
      <w:pPr>
        <w:spacing w:after="0"/>
        <w:rPr>
          <w:sz w:val="20"/>
          <w:szCs w:val="20"/>
          <w:color w:val="auto"/>
        </w:rPr>
      </w:pPr>
      <w:r>
        <w:rPr>
          <w:rFonts w:ascii="Times New Roman" w:cs="Times New Roman" w:eastAsia="Times New Roman" w:hAnsi="Times New Roman"/>
          <w:sz w:val="22"/>
          <w:szCs w:val="22"/>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20" w:firstLine="1304"/>
        <w:spacing w:after="0" w:line="210" w:lineRule="auto"/>
        <w:tabs>
          <w:tab w:leader="none" w:pos="17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for Cause; The Company may terminate your employment at any time for cause (as described below) without providing any notice, (except to the extent expressly provided below). If your employment is terminated by the Company for cause, you shall be entitled to no compensation or benefits for the Company other than those earned under Paragraph 3 through the date of your termination. For purposes of this Agreement, a termination for “cause” occurs if you are terminated for any of the following reasons: (i) theft, dishonesty, misconduct or falsification of any employment or Company records; (ii) improper disclosure of the Company’s confidential or proprietary information; (iii) any action by you which has a material detrimental effect on the Company’s reputation or business; (iv) your refusal or inability to perform any assigned duties (other than as a result of a disability) after written notice from the Company to you of, and a 30-day opportunity to cure, such refusal or inability; (v) your material breach of this Agreement or of the employee proprietary information/confidentiality/ assignment of inventions agreement not otherwise described in this paragraph, after written notice from the Company to you of, and a 30-day opportunity to cure , such breach; or (vi) your conviction (including any plea of guilty or no contest) for any criminal act that impairs your ability to perform your duties under this Agreement.</w:t>
      </w:r>
    </w:p>
    <w:p>
      <w:pPr>
        <w:spacing w:after="0" w:line="151" w:lineRule="exact"/>
        <w:rPr>
          <w:rFonts w:ascii="Times New Roman" w:cs="Times New Roman" w:eastAsia="Times New Roman" w:hAnsi="Times New Roman"/>
          <w:sz w:val="22"/>
          <w:szCs w:val="22"/>
          <w:color w:val="auto"/>
        </w:rPr>
      </w:pPr>
    </w:p>
    <w:p>
      <w:pPr>
        <w:ind w:firstLine="1304"/>
        <w:spacing w:after="0" w:line="215" w:lineRule="auto"/>
        <w:tabs>
          <w:tab w:leader="none" w:pos="175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The Company may terminate your employment without cause at any time with or without advanced notice. If your employment is terminated by the Company without cause, and you sign a general release of known and unknown claims in a form satisfactory to the Company within the applicable review period, which there upon is (or, if any revocation period is required by law, following expiration of such period becomes) valid and irrevocable within sixty (60) days of your termination of employment, , and you fully comply with your obligations under Paragraphs 7, 8, and 10, you will receive the following severance benefits:</w:t>
      </w:r>
    </w:p>
    <w:p>
      <w:pPr>
        <w:spacing w:after="0" w:line="152" w:lineRule="exact"/>
        <w:rPr>
          <w:rFonts w:ascii="Times New Roman" w:cs="Times New Roman" w:eastAsia="Times New Roman" w:hAnsi="Times New Roman"/>
          <w:sz w:val="22"/>
          <w:szCs w:val="22"/>
          <w:color w:val="auto"/>
        </w:rPr>
      </w:pPr>
    </w:p>
    <w:p>
      <w:pPr>
        <w:ind w:right="40" w:firstLine="1952"/>
        <w:spacing w:after="0" w:line="215" w:lineRule="auto"/>
        <w:tabs>
          <w:tab w:leader="none" w:pos="236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at your final base salary rate for a period of twelve (12) months following your termination; such payments will be subject to applicable withholding and made in accordance with the Company’s normal payroll practices; provided, however, that any such payments that would have been paid in accordance with the Company’s normal [payroll practices before your release becomes valid and irrevocable will accumulate and be paid only if and when both (x) your release becomes valid and irrevocable and (y) such validity and irrevocability in no event occurs more than 60 days after your termination;</w:t>
      </w:r>
    </w:p>
    <w:p>
      <w:pPr>
        <w:spacing w:after="0" w:line="152" w:lineRule="exact"/>
        <w:rPr>
          <w:sz w:val="20"/>
          <w:szCs w:val="20"/>
          <w:color w:val="auto"/>
        </w:rPr>
      </w:pPr>
    </w:p>
    <w:p>
      <w:pPr>
        <w:ind w:left="1300" w:firstLine="4"/>
        <w:spacing w:after="0" w:line="226" w:lineRule="auto"/>
        <w:tabs>
          <w:tab w:leader="none" w:pos="1618"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the premiums necessary to continue your group health insurance under COBRA provided you have timely elected COBRA coverage) until the earlier of (x) twelve (12) months following your termination date; or</w:t>
      </w:r>
    </w:p>
    <w:p>
      <w:pPr>
        <w:spacing w:after="0" w:line="1" w:lineRule="exact"/>
        <w:rPr>
          <w:rFonts w:ascii="Times New Roman" w:cs="Times New Roman" w:eastAsia="Times New Roman" w:hAnsi="Times New Roman"/>
          <w:sz w:val="21"/>
          <w:szCs w:val="21"/>
          <w:color w:val="auto"/>
        </w:rPr>
      </w:pPr>
    </w:p>
    <w:p>
      <w:pPr>
        <w:ind w:left="1300" w:right="260" w:firstLine="4"/>
        <w:spacing w:after="0" w:line="225" w:lineRule="auto"/>
        <w:tabs>
          <w:tab w:leader="none" w:pos="160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you first became eligible to participate in another employer’s group health insurance plan; or (z) the date on which you are no longer eligible for COBRA coverage;</w:t>
      </w:r>
    </w:p>
    <w:p>
      <w:pPr>
        <w:spacing w:after="0" w:line="150" w:lineRule="exact"/>
        <w:rPr>
          <w:sz w:val="20"/>
          <w:szCs w:val="20"/>
          <w:color w:val="auto"/>
        </w:rPr>
      </w:pPr>
    </w:p>
    <w:p>
      <w:pPr>
        <w:ind w:left="1300" w:right="60" w:firstLine="4"/>
        <w:spacing w:after="0" w:line="217" w:lineRule="auto"/>
        <w:tabs>
          <w:tab w:leader="none" w:pos="167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you the prorated portion of any incentive bonus that you would have earned, if any, during the incentive bonus period in which your employment terminates (the pro-ration shall be equal to the percentage of that bonus period that you are actually employed by the Company), and such prorated bonus will be paid to you at the time that such incentive bonuses are paid to other Company employees, or at any earlier time required by applicable law;</w:t>
      </w:r>
    </w:p>
    <w:p>
      <w:pPr>
        <w:spacing w:after="0" w:line="152" w:lineRule="exact"/>
        <w:rPr>
          <w:rFonts w:ascii="Times New Roman" w:cs="Times New Roman" w:eastAsia="Times New Roman" w:hAnsi="Times New Roman"/>
          <w:sz w:val="22"/>
          <w:szCs w:val="22"/>
          <w:color w:val="auto"/>
        </w:rPr>
      </w:pPr>
    </w:p>
    <w:p>
      <w:pPr>
        <w:ind w:left="1300" w:right="100" w:firstLine="4"/>
        <w:spacing w:after="0" w:line="220" w:lineRule="auto"/>
        <w:tabs>
          <w:tab w:leader="none" w:pos="166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stock options or equity- related awards granted to you by the Company, you will cease vesting upon your termination date; however, , you will be entitled to purchase any vested shares of stock that are subject to those options until the earlier of (x) twelve (12) months following your termination date, or (y) the date on which the applicable option(s) expire(s); except as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86"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color w:val="auto"/>
        </w:rPr>
        <w:t>Bryan C. Tucker</w:t>
      </w:r>
    </w:p>
    <w:p>
      <w:pPr>
        <w:spacing w:after="0"/>
        <w:rPr>
          <w:sz w:val="20"/>
          <w:szCs w:val="20"/>
          <w:color w:val="auto"/>
        </w:rPr>
      </w:pPr>
      <w:r>
        <w:rPr>
          <w:rFonts w:ascii="Times New Roman" w:cs="Times New Roman" w:eastAsia="Times New Roman" w:hAnsi="Times New Roman"/>
          <w:sz w:val="22"/>
          <w:szCs w:val="22"/>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right="200"/>
        <w:spacing w:after="0" w:line="236" w:lineRule="auto"/>
        <w:rPr>
          <w:sz w:val="20"/>
          <w:szCs w:val="20"/>
          <w:color w:val="auto"/>
        </w:rPr>
      </w:pPr>
      <w:r>
        <w:rPr>
          <w:rFonts w:ascii="Times New Roman" w:cs="Times New Roman" w:eastAsia="Times New Roman" w:hAnsi="Times New Roman"/>
          <w:sz w:val="22"/>
          <w:szCs w:val="22"/>
          <w:color w:val="auto"/>
        </w:rPr>
        <w:t>in this subparagraph, your Company stock options and other equity- related awards will continue to be subject to and governed by the Plan and the applicable stock option agreements between you and the Company; and</w:t>
      </w:r>
    </w:p>
    <w:p>
      <w:pPr>
        <w:spacing w:after="0" w:line="1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(v) reasonable outplacement assistance selected and paid for by the Company.</w:t>
      </w:r>
    </w:p>
    <w:p>
      <w:pPr>
        <w:spacing w:after="0" w:line="179" w:lineRule="exact"/>
        <w:rPr>
          <w:sz w:val="20"/>
          <w:szCs w:val="20"/>
          <w:color w:val="auto"/>
        </w:rPr>
      </w:pPr>
    </w:p>
    <w:p>
      <w:pPr>
        <w:ind w:right="140" w:firstLine="1304"/>
        <w:spacing w:after="0" w:line="212" w:lineRule="auto"/>
        <w:tabs>
          <w:tab w:leader="none" w:pos="176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for Good Reason</w:t>
      </w:r>
      <w:r>
        <w:rPr>
          <w:rFonts w:ascii="Times New Roman" w:cs="Times New Roman" w:eastAsia="Times New Roman" w:hAnsi="Times New Roman"/>
          <w:sz w:val="22"/>
          <w:szCs w:val="22"/>
          <w:color w:val="auto"/>
        </w:rPr>
        <w:t>: If you resign from your employment with the Company for Good Reason (as defined in this paragraph), and such resignation does not qualify as a resignation for Good Reason Following a Change of Control as defined in Paragraph 6b and you sign a general release of known and unknown claims in a form satisfactory to the Company within the applicable review period which there upon is (or, if any revocation period is required by law, following expiration of such period becomes) valid and irrevocable within sixty (60) days of your termination, and you fully comply with your obligations under Paragraphs 7, 8, and 10, you shall receive the severance benefits described in Paragraph 5(c). For purposes of this Paragraph, “Good Reason” means any of the following conditions, which condition(s) remain in effect 60 days after written notice from you to the Chief Executive Officer of said condition(s):</w:t>
      </w:r>
    </w:p>
    <w:p>
      <w:pPr>
        <w:spacing w:after="0" w:line="156" w:lineRule="exact"/>
        <w:rPr>
          <w:rFonts w:ascii="Times New Roman" w:cs="Times New Roman" w:eastAsia="Times New Roman" w:hAnsi="Times New Roman"/>
          <w:sz w:val="22"/>
          <w:szCs w:val="22"/>
          <w:color w:val="auto"/>
        </w:rPr>
      </w:pPr>
    </w:p>
    <w:p>
      <w:pPr>
        <w:ind w:right="240" w:firstLine="1952"/>
        <w:spacing w:after="0" w:line="236" w:lineRule="auto"/>
        <w:tabs>
          <w:tab w:leader="none" w:pos="236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your base salary of 20% or more, other than a reduction that is similarly applicable to all members of the Company’s executive staff; or</w:t>
      </w:r>
    </w:p>
    <w:p>
      <w:pPr>
        <w:spacing w:after="0" w:line="150" w:lineRule="exact"/>
        <w:rPr>
          <w:rFonts w:ascii="Times New Roman" w:cs="Times New Roman" w:eastAsia="Times New Roman" w:hAnsi="Times New Roman"/>
          <w:sz w:val="22"/>
          <w:szCs w:val="22"/>
          <w:color w:val="auto"/>
        </w:rPr>
      </w:pPr>
    </w:p>
    <w:p>
      <w:pPr>
        <w:ind w:right="220" w:firstLine="1952"/>
        <w:spacing w:after="0" w:line="236" w:lineRule="auto"/>
        <w:tabs>
          <w:tab w:leader="none" w:pos="242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your employee benefits, other than a reduction that is similarly applicable to all of the members of the Company’s executive staff; or</w:t>
      </w:r>
    </w:p>
    <w:p>
      <w:pPr>
        <w:spacing w:after="0" w:line="150"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by the Company of any material provision of this Agreement; or</w:t>
      </w:r>
    </w:p>
    <w:p>
      <w:pPr>
        <w:spacing w:after="0" w:line="179" w:lineRule="exact"/>
        <w:rPr>
          <w:rFonts w:ascii="Times New Roman" w:cs="Times New Roman" w:eastAsia="Times New Roman" w:hAnsi="Times New Roman"/>
          <w:sz w:val="22"/>
          <w:szCs w:val="22"/>
          <w:color w:val="auto"/>
        </w:rPr>
      </w:pPr>
    </w:p>
    <w:p>
      <w:pPr>
        <w:ind w:right="700" w:firstLine="1952"/>
        <w:spacing w:after="0" w:line="236" w:lineRule="auto"/>
        <w:tabs>
          <w:tab w:leader="none" w:pos="2472"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relocation of the Company’s workplace to a location that is more than 75 miles from your Company workplace of San Antonio, Texas.</w:t>
      </w:r>
    </w:p>
    <w:p>
      <w:pPr>
        <w:spacing w:after="0" w:line="150"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22"/>
          <w:szCs w:val="22"/>
          <w:color w:val="auto"/>
        </w:rPr>
        <w:t>The foregoing condition(s) shall not constitute “Good Reason” if you do not provide the Chief Executive Officer with the written notice described above within 45 days after you first become aware of the condition(s).</w:t>
      </w:r>
    </w:p>
    <w:p>
      <w:pPr>
        <w:spacing w:after="0" w:line="150" w:lineRule="exact"/>
        <w:rPr>
          <w:sz w:val="20"/>
          <w:szCs w:val="20"/>
          <w:color w:val="auto"/>
        </w:rPr>
      </w:pPr>
    </w:p>
    <w:p>
      <w:pPr>
        <w:ind w:firstLine="1304"/>
        <w:spacing w:after="0" w:line="209" w:lineRule="auto"/>
        <w:tabs>
          <w:tab w:leader="none" w:pos="175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or Resignation For Good Reason Following a Change of Control</w:t>
      </w:r>
      <w:r>
        <w:rPr>
          <w:rFonts w:ascii="Times New Roman" w:cs="Times New Roman" w:eastAsia="Times New Roman" w:hAnsi="Times New Roman"/>
          <w:sz w:val="22"/>
          <w:szCs w:val="22"/>
          <w:color w:val="auto"/>
        </w:rPr>
        <w:t>: If, within 18 months following any Change of Control (as defined below), your employment is terminated by the Company without cause, or if you resign from your employment with the Company for Good Reason Following a Change of Control (as defined below), you sign a general release of known and unknown claims in a form satisfactory to the Company within the applicable review period which there upon is (or, if any revocation period is required by law , following expiration of such period becomes) valid and irrevocable within sixty (60) days of your termination, and you fully comply with your obligations under Paragraphs 7, 8, and 10, you shall receive the severance benefits described in Paragraph 5(c); provided, that the time periods set forth in subparagraphs 5(c)(i), ( ii), and (iv) shall each be increased by an additional twelve months. In addition, if such termination occurs, you shall receive a payment (in lieu of any payment under subparagraph 5(c)(iii)) equal to the greater of (i) the average of the annual incentive bonus payments received by you, if any, for the previous three years, or (ii) your target incentive bonus for the year in which your employment terminates. Such payment will be made to you within 15 days following the date on which the general release of claims described above becomes irrevocable. The Company will also accelerate the vesting of all unvested time-vesting equity awards granted to you by the Company, and all other then-unvested equity-related awards that vest based solely on continued employment by the Company or its affiliates (unless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86"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color w:val="auto"/>
        </w:rPr>
        <w:t>Bryan C. Tucker</w:t>
      </w:r>
    </w:p>
    <w:p>
      <w:pPr>
        <w:spacing w:after="0"/>
        <w:rPr>
          <w:sz w:val="20"/>
          <w:szCs w:val="20"/>
          <w:color w:val="auto"/>
        </w:rPr>
      </w:pPr>
      <w:r>
        <w:rPr>
          <w:rFonts w:ascii="Times New Roman" w:cs="Times New Roman" w:eastAsia="Times New Roman" w:hAnsi="Times New Roman"/>
          <w:sz w:val="22"/>
          <w:szCs w:val="22"/>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such other equity-related awards expressly provide that there is not to be any such acceleration)..</w:t>
      </w:r>
    </w:p>
    <w:p>
      <w:pPr>
        <w:spacing w:after="0" w:line="179" w:lineRule="exact"/>
        <w:rPr>
          <w:sz w:val="20"/>
          <w:szCs w:val="20"/>
          <w:color w:val="auto"/>
        </w:rPr>
      </w:pPr>
    </w:p>
    <w:p>
      <w:pPr>
        <w:ind w:left="1040" w:hanging="384"/>
        <w:spacing w:after="0"/>
        <w:tabs>
          <w:tab w:leader="none" w:pos="104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Control/Good Reason</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2"/>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a “Change of Control” of the Company shall mean the occurrence of any of</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following:</w:t>
      </w:r>
    </w:p>
    <w:p>
      <w:pPr>
        <w:spacing w:after="0" w:line="155" w:lineRule="exact"/>
        <w:rPr>
          <w:rFonts w:ascii="Times New Roman" w:cs="Times New Roman" w:eastAsia="Times New Roman" w:hAnsi="Times New Roman"/>
          <w:sz w:val="21"/>
          <w:szCs w:val="21"/>
          <w:color w:val="auto"/>
        </w:rPr>
      </w:pPr>
    </w:p>
    <w:p>
      <w:pPr>
        <w:ind w:right="40" w:firstLine="1952"/>
        <w:spacing w:after="0" w:line="221" w:lineRule="auto"/>
        <w:tabs>
          <w:tab w:leader="none" w:pos="2364" w:val="left"/>
        </w:tabs>
        <w:numPr>
          <w:ilvl w:val="3"/>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191919"/>
        </w:rPr>
        <w:t>a</w:t>
      </w:r>
      <w:r>
        <w:rPr>
          <w:rFonts w:ascii="Times New Roman" w:cs="Times New Roman" w:eastAsia="Times New Roman" w:hAnsi="Times New Roman"/>
          <w:sz w:val="21"/>
          <w:szCs w:val="21"/>
          <w:color w:val="000000"/>
        </w:rPr>
        <w:t>ny merger, consolidation, share exchange or Acquisition, unless immediately following such merger,</w:t>
      </w:r>
      <w:r>
        <w:rPr>
          <w:rFonts w:ascii="Times New Roman" w:cs="Times New Roman" w:eastAsia="Times New Roman" w:hAnsi="Times New Roman"/>
          <w:sz w:val="21"/>
          <w:szCs w:val="21"/>
          <w:color w:val="191919"/>
        </w:rPr>
        <w:t xml:space="preserve"> </w:t>
      </w:r>
      <w:r>
        <w:rPr>
          <w:rFonts w:ascii="Times New Roman" w:cs="Times New Roman" w:eastAsia="Times New Roman" w:hAnsi="Times New Roman"/>
          <w:sz w:val="21"/>
          <w:szCs w:val="21"/>
          <w:color w:val="000000"/>
        </w:rPr>
        <w:t>consolidation, share exchange or Acquisition, at least 50% of the total voting power (in respect of the election of directors, or similar officials in the case of an entity other than a corporation) of (A) the entity resulting from such merger, consolidation or share exchange, or the entity which has acquired all or substantially all of the assets of the Company (in the case of an asset sale that satisfies the criteria of an Acquisition) (in either case, the “Surviving Entity”), or (B) if applicable, the ultimate parent entity that directly or indirectly has beneficial ownership (within the meaning of Rule 13d-3 promulgated under the Exchange Act) of 50% or more of the total voting power (in respect of the election of directors, or similar officials in the case of an entity other than a corporation) of the Surviving Entity (the “Parent Entity”) is represented by Company securities that were outstanding immediately prior to such merger, consolidation, share exchange or Acquisition (or, if applicable, is represented by shares into which such Company securities were converted pursuant to such merger, consolidation, share exchange or Acquisition), or</w:t>
      </w:r>
    </w:p>
    <w:p>
      <w:pPr>
        <w:spacing w:after="0" w:line="152" w:lineRule="exact"/>
        <w:rPr>
          <w:rFonts w:ascii="Times New Roman" w:cs="Times New Roman" w:eastAsia="Times New Roman" w:hAnsi="Times New Roman"/>
          <w:sz w:val="21"/>
          <w:szCs w:val="21"/>
          <w:color w:val="auto"/>
        </w:rPr>
      </w:pPr>
    </w:p>
    <w:p>
      <w:pPr>
        <w:ind w:firstLine="1952"/>
        <w:spacing w:after="0" w:line="213" w:lineRule="auto"/>
        <w:tabs>
          <w:tab w:leader="none" w:pos="2424" w:val="left"/>
        </w:tabs>
        <w:numPr>
          <w:ilvl w:val="3"/>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person or group of persons (within the meaning of Section 13(d)(3) of the Securities Exchange Act of 1934, as amended and in effect from time to time) directly or indirectly acquires beneficial ownership (determined pursuant to Securities and Exchange Commission Rule 13d-3 promulgated under the said Exchange Act) other than through a merger, consolidation, share exchange, or Acquisition of securities possessing more than </w:t>
      </w:r>
      <w:r>
        <w:rPr>
          <w:rFonts w:ascii="Times New Roman" w:cs="Times New Roman" w:eastAsia="Times New Roman" w:hAnsi="Times New Roman"/>
          <w:sz w:val="22"/>
          <w:szCs w:val="22"/>
          <w:u w:val="single" w:color="auto"/>
          <w:color w:val="auto"/>
        </w:rPr>
        <w:t>30</w:t>
      </w:r>
      <w:r>
        <w:rPr>
          <w:rFonts w:ascii="Times New Roman" w:cs="Times New Roman" w:eastAsia="Times New Roman" w:hAnsi="Times New Roman"/>
          <w:sz w:val="22"/>
          <w:szCs w:val="22"/>
          <w:color w:val="auto"/>
        </w:rPr>
        <w:t>% of the total combined voting power of the Company's outstanding securities other than (A) an employee benefit plan of the Company or any of its Affiliates, (B) a trustee or other fiduciary holding securities under an employee benefit plan of the Company or any of its Affiliates, or (C) an underwriter temporarily holding securities pursuant to an offering of such securities or</w:t>
      </w:r>
    </w:p>
    <w:p>
      <w:pPr>
        <w:spacing w:after="0" w:line="156" w:lineRule="exact"/>
        <w:rPr>
          <w:rFonts w:ascii="Times New Roman" w:cs="Times New Roman" w:eastAsia="Times New Roman" w:hAnsi="Times New Roman"/>
          <w:sz w:val="22"/>
          <w:szCs w:val="22"/>
          <w:color w:val="auto"/>
        </w:rPr>
      </w:pPr>
    </w:p>
    <w:p>
      <w:pPr>
        <w:ind w:right="20" w:firstLine="1952"/>
        <w:spacing w:after="0" w:line="220" w:lineRule="auto"/>
        <w:tabs>
          <w:tab w:leader="none" w:pos="2484" w:val="left"/>
        </w:tabs>
        <w:numPr>
          <w:ilvl w:val="3"/>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over a period of 36 consecutive months or less, there is a change in the composition of the Board such that a majority of the Board members (rounded up to the next whole number, if a fraction) ceases, by reason of one or more proxy contests for the election of Board members, to be composed of individuals each of whom meet one of the following criteria: (A) have been a Board member continuously since the adoption of this Plan or the beginning of such 36 month period, or</w:t>
      </w:r>
    </w:p>
    <w:p>
      <w:pPr>
        <w:spacing w:after="0" w:line="2" w:lineRule="exact"/>
        <w:rPr>
          <w:rFonts w:ascii="Times New Roman" w:cs="Times New Roman" w:eastAsia="Times New Roman" w:hAnsi="Times New Roman"/>
          <w:sz w:val="21"/>
          <w:szCs w:val="21"/>
          <w:color w:val="auto"/>
        </w:rPr>
      </w:pPr>
    </w:p>
    <w:p>
      <w:pPr>
        <w:ind w:right="280" w:firstLine="8"/>
        <w:spacing w:after="0" w:line="225" w:lineRule="auto"/>
        <w:tabs>
          <w:tab w:leader="none" w:pos="34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been elected or nominated during such 36 month period by at least a majority of the Board members that satisfied the criteria of this subsection (iii) when they were elected or nominated, or</w:t>
      </w:r>
    </w:p>
    <w:p>
      <w:pPr>
        <w:spacing w:after="0" w:line="149" w:lineRule="exact"/>
        <w:rPr>
          <w:rFonts w:ascii="Times New Roman" w:cs="Times New Roman" w:eastAsia="Times New Roman" w:hAnsi="Times New Roman"/>
          <w:sz w:val="22"/>
          <w:szCs w:val="22"/>
          <w:color w:val="auto"/>
        </w:rPr>
      </w:pPr>
    </w:p>
    <w:p>
      <w:pPr>
        <w:ind w:left="2540" w:hanging="588"/>
        <w:spacing w:after="0"/>
        <w:tabs>
          <w:tab w:leader="none" w:pos="2540" w:val="left"/>
        </w:tabs>
        <w:numPr>
          <w:ilvl w:val="3"/>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majority of the Board determine</w:t>
      </w: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 xml:space="preserve"> that a Change of Control has occurred, or</w:t>
      </w:r>
    </w:p>
    <w:p>
      <w:pPr>
        <w:spacing w:after="0" w:line="17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3"/>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complete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4596130</wp:posOffset>
            </wp:positionH>
            <wp:positionV relativeFrom="paragraph">
              <wp:posOffset>-1574165</wp:posOffset>
            </wp:positionV>
            <wp:extent cx="342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774065</wp:posOffset>
            </wp:positionH>
            <wp:positionV relativeFrom="paragraph">
              <wp:posOffset>-699770</wp:posOffset>
            </wp:positionV>
            <wp:extent cx="342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-699770</wp:posOffset>
            </wp:positionV>
            <wp:extent cx="342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9"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22"/>
          <w:szCs w:val="22"/>
          <w:color w:val="auto"/>
        </w:rPr>
        <w:t xml:space="preserve">For the purposes of this Agreement, the term “Affiliate" means any corporation, partnership, limited liability company, business trust, or other entity controlling, controlled by or under common control with the Company, and “Acquisition” means a merger or consolidation of the Company into another person (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which merger or consolidation the Company does not survive) or the sale, transfer, or other disposition of all or substantially all of the Company’s assets to one or more persons in a single transaction or series of related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86"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2"/>
          <w:szCs w:val="22"/>
          <w:color w:val="auto"/>
        </w:rPr>
        <w:t>Bryan C. Tucker</w:t>
      </w:r>
    </w:p>
    <w:p>
      <w:pPr>
        <w:spacing w:after="0"/>
        <w:rPr>
          <w:sz w:val="20"/>
          <w:szCs w:val="20"/>
          <w:color w:val="auto"/>
        </w:rPr>
      </w:pPr>
      <w:r>
        <w:rPr>
          <w:rFonts w:ascii="Times New Roman" w:cs="Times New Roman" w:eastAsia="Times New Roman" w:hAnsi="Times New Roman"/>
          <w:sz w:val="22"/>
          <w:szCs w:val="22"/>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firstLine="1304"/>
        <w:spacing w:after="0" w:line="225" w:lineRule="auto"/>
        <w:tabs>
          <w:tab w:leader="none" w:pos="176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“Good Reason Following a Change of Control” means any of the following conditions, which condition(s) remain in effect 60 days after written notice from you to the Chief Executive Officer of said condition(s):</w:t>
      </w:r>
    </w:p>
    <w:p>
      <w:pPr>
        <w:spacing w:after="0" w:line="152" w:lineRule="exact"/>
        <w:rPr>
          <w:rFonts w:ascii="Times New Roman" w:cs="Times New Roman" w:eastAsia="Times New Roman" w:hAnsi="Times New Roman"/>
          <w:sz w:val="22"/>
          <w:szCs w:val="22"/>
          <w:color w:val="auto"/>
        </w:rPr>
      </w:pPr>
    </w:p>
    <w:p>
      <w:pPr>
        <w:ind w:right="840" w:firstLine="1952"/>
        <w:spacing w:after="0" w:line="236" w:lineRule="auto"/>
        <w:tabs>
          <w:tab w:leader="none" w:pos="2364"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and adverse change in your position, duties or responsibilities for the Company, as measured against your position, duties or responsibilities immediately prior to the Change of Control; or</w:t>
      </w:r>
    </w:p>
    <w:p>
      <w:pPr>
        <w:spacing w:after="0" w:line="148"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2"/>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your base salary as measured against your base salary immediately prior to the Change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 Control; or</w:t>
      </w:r>
    </w:p>
    <w:p>
      <w:pPr>
        <w:spacing w:after="0" w:line="155" w:lineRule="exact"/>
        <w:rPr>
          <w:rFonts w:ascii="Times New Roman" w:cs="Times New Roman" w:eastAsia="Times New Roman" w:hAnsi="Times New Roman"/>
          <w:sz w:val="21"/>
          <w:szCs w:val="21"/>
          <w:color w:val="auto"/>
        </w:rPr>
      </w:pPr>
    </w:p>
    <w:p>
      <w:pPr>
        <w:ind w:firstLine="1952"/>
        <w:spacing w:after="0" w:line="236" w:lineRule="auto"/>
        <w:tabs>
          <w:tab w:leader="none" w:pos="2484"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your employee benefits, other than a reduction that is similarly applicable to a majority of the members of the Company’s executive staff; or</w:t>
      </w:r>
    </w:p>
    <w:p>
      <w:pPr>
        <w:spacing w:after="0" w:line="150"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relocation by more than 75 miles of your Company workplace of San Antonio, Texas.</w:t>
      </w:r>
    </w:p>
    <w:p>
      <w:pPr>
        <w:spacing w:after="0" w:line="179" w:lineRule="exact"/>
        <w:rPr>
          <w:rFonts w:ascii="Times New Roman" w:cs="Times New Roman" w:eastAsia="Times New Roman" w:hAnsi="Times New Roman"/>
          <w:sz w:val="22"/>
          <w:szCs w:val="22"/>
          <w:color w:val="auto"/>
        </w:rPr>
      </w:pPr>
    </w:p>
    <w:p>
      <w:pPr>
        <w:ind w:right="400" w:firstLine="656"/>
        <w:spacing w:after="0" w:line="236" w:lineRule="auto"/>
        <w:tabs>
          <w:tab w:leader="none" w:pos="102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and Proprietary Information</w:t>
      </w:r>
      <w:r>
        <w:rPr>
          <w:rFonts w:ascii="Times New Roman" w:cs="Times New Roman" w:eastAsia="Times New Roman" w:hAnsi="Times New Roman"/>
          <w:sz w:val="22"/>
          <w:szCs w:val="22"/>
          <w:color w:val="auto"/>
        </w:rPr>
        <w:t>: As a condition of your employment, you agree to sign and abide by the Company’s standard form of employee proprietary information/confidentiality/assignment of inventions agreement.</w:t>
      </w:r>
    </w:p>
    <w:p>
      <w:pPr>
        <w:spacing w:after="0" w:line="150"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Obligations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80" w:firstLine="1304"/>
        <w:spacing w:after="0" w:line="220" w:lineRule="auto"/>
        <w:tabs>
          <w:tab w:leader="none" w:pos="174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agree that all property, including, without limitation, all equipment, proprietary information, documents, books, records, reports, notes, contracts, lists, (and r computer files and data), and copies thereof, created on any medium and furnished to, obtained by, or prepared by you in the course of or incident to your employment, belongs to the Company and shall be returned to the Company promptly upon any termination of your employment.</w:t>
      </w:r>
    </w:p>
    <w:p>
      <w:pPr>
        <w:spacing w:after="0" w:line="152" w:lineRule="exact"/>
        <w:rPr>
          <w:rFonts w:ascii="Times New Roman" w:cs="Times New Roman" w:eastAsia="Times New Roman" w:hAnsi="Times New Roman"/>
          <w:sz w:val="22"/>
          <w:szCs w:val="22"/>
          <w:color w:val="auto"/>
        </w:rPr>
      </w:pPr>
    </w:p>
    <w:p>
      <w:pPr>
        <w:ind w:right="260" w:firstLine="1304"/>
        <w:spacing w:after="0" w:line="225" w:lineRule="auto"/>
        <w:tabs>
          <w:tab w:leader="none" w:pos="176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your termination for any reason, and as a condition of your receipt of any severance benefits hereunder, you will promptly resign in writing from all offices and directorships then held with the Company or any affiliate of the Company.</w:t>
      </w:r>
    </w:p>
    <w:p>
      <w:pPr>
        <w:spacing w:after="0" w:line="152" w:lineRule="exact"/>
        <w:rPr>
          <w:rFonts w:ascii="Times New Roman" w:cs="Times New Roman" w:eastAsia="Times New Roman" w:hAnsi="Times New Roman"/>
          <w:sz w:val="22"/>
          <w:szCs w:val="22"/>
          <w:color w:val="auto"/>
        </w:rPr>
      </w:pPr>
    </w:p>
    <w:p>
      <w:pPr>
        <w:ind w:right="20" w:firstLine="1304"/>
        <w:spacing w:after="0" w:line="220" w:lineRule="auto"/>
        <w:tabs>
          <w:tab w:leader="none" w:pos="1752"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termination of your employment with the Company for any reason, you shall fully cooperate with the Company in all matters relating to the winding up of pending work on behalf of the Company and the orderly transfer of work to other employees of the Company. You shall also cooperate in the defense of any action brought by any third party against the Company.</w:t>
      </w:r>
    </w:p>
    <w:p>
      <w:pPr>
        <w:spacing w:after="0" w:line="152"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Payments and Benefits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80" w:firstLine="1296"/>
        <w:spacing w:after="0" w:line="225" w:lineRule="auto"/>
        <w:rPr>
          <w:sz w:val="20"/>
          <w:szCs w:val="20"/>
          <w:color w:val="auto"/>
        </w:rPr>
      </w:pPr>
      <w:r>
        <w:rPr>
          <w:rFonts w:ascii="Times New Roman" w:cs="Times New Roman" w:eastAsia="Times New Roman" w:hAnsi="Times New Roman"/>
          <w:sz w:val="22"/>
          <w:szCs w:val="22"/>
          <w:color w:val="auto"/>
        </w:rPr>
        <w:t>To the extent that any of the payments and benefits provided for in this Agreement or otherwise payable to you (the “Payments”) constitute “parachute payments” within the meaning of Section 280G of the Internal Revenue Code of 1986, as amended (the “Code”), the amount of such Payments shall be either:</w:t>
      </w:r>
    </w:p>
    <w:p>
      <w:pPr>
        <w:spacing w:after="0" w:line="152" w:lineRule="exact"/>
        <w:rPr>
          <w:sz w:val="20"/>
          <w:szCs w:val="20"/>
          <w:color w:val="auto"/>
        </w:rPr>
      </w:pPr>
    </w:p>
    <w:p>
      <w:pPr>
        <w:ind w:left="1760" w:hanging="456"/>
        <w:spacing w:after="0"/>
        <w:tabs>
          <w:tab w:leader="none" w:pos="17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amount of the Payments, or</w:t>
      </w:r>
    </w:p>
    <w:p>
      <w:pPr>
        <w:spacing w:after="0" w:line="179" w:lineRule="exact"/>
        <w:rPr>
          <w:rFonts w:ascii="Times New Roman" w:cs="Times New Roman" w:eastAsia="Times New Roman" w:hAnsi="Times New Roman"/>
          <w:sz w:val="22"/>
          <w:szCs w:val="22"/>
          <w:color w:val="auto"/>
        </w:rPr>
      </w:pPr>
    </w:p>
    <w:p>
      <w:pPr>
        <w:ind w:right="100" w:firstLine="1304"/>
        <w:spacing w:after="0" w:line="225" w:lineRule="auto"/>
        <w:tabs>
          <w:tab w:leader="none" w:pos="176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reduced amount that would result in no portion of the Payments being subject to the excise tax imposed pursuant to Section 4999 of the Code (the “Excise Tax”), whichever of the foregoing amounts, taking into account the applicable federal, state and local income taxes and the Excise Tax, results in the receipt by you, on an after-tax basis,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86"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Bryan C. Tucker</w:t>
      </w:r>
    </w:p>
    <w:p>
      <w:pPr>
        <w:spacing w:after="0"/>
        <w:rPr>
          <w:sz w:val="20"/>
          <w:szCs w:val="20"/>
          <w:color w:val="auto"/>
        </w:rPr>
      </w:pPr>
      <w:r>
        <w:rPr>
          <w:rFonts w:ascii="Times New Roman" w:cs="Times New Roman" w:eastAsia="Times New Roman" w:hAnsi="Times New Roman"/>
          <w:sz w:val="22"/>
          <w:szCs w:val="22"/>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20"/>
        <w:spacing w:after="0" w:line="236" w:lineRule="auto"/>
        <w:rPr>
          <w:sz w:val="20"/>
          <w:szCs w:val="20"/>
          <w:color w:val="auto"/>
        </w:rPr>
      </w:pPr>
      <w:r>
        <w:rPr>
          <w:rFonts w:ascii="Times New Roman" w:cs="Times New Roman" w:eastAsia="Times New Roman" w:hAnsi="Times New Roman"/>
          <w:sz w:val="22"/>
          <w:szCs w:val="22"/>
          <w:color w:val="auto"/>
        </w:rPr>
        <w:t>greatest amount of benefit. In the event that any Excise Tax is imposed on the Payments, you will be fully responsible for the payment of any and all Excise Tax, and the Company will not be obligated to pay all or any portion of any Excise Tax.</w:t>
      </w:r>
    </w:p>
    <w:p>
      <w:pPr>
        <w:spacing w:after="0" w:line="150" w:lineRule="exact"/>
        <w:rPr>
          <w:sz w:val="20"/>
          <w:szCs w:val="20"/>
          <w:color w:val="auto"/>
        </w:rPr>
      </w:pPr>
    </w:p>
    <w:p>
      <w:pPr>
        <w:ind w:right="20" w:firstLine="656"/>
        <w:spacing w:after="0" w:line="210" w:lineRule="auto"/>
        <w:tabs>
          <w:tab w:leader="none" w:pos="113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Activities</w:t>
      </w:r>
      <w:r>
        <w:rPr>
          <w:rFonts w:ascii="Times New Roman" w:cs="Times New Roman" w:eastAsia="Times New Roman" w:hAnsi="Times New Roman"/>
          <w:sz w:val="22"/>
          <w:szCs w:val="22"/>
          <w:color w:val="auto"/>
        </w:rPr>
        <w:t>. In order to protect the Company’s valuable proprietary information, you agree that during your employment you will not as a compensated or uncompensated officer, director, consultant, advisor, partner, joint venture, investor, independent contractor, employee or otherwise, provide any labor, services, advice, or assistance to any entity or its successor involved in the design, manufacture, distribution, (directly or indirectly), or integration of any digital microwave products used in terrestrial microwave point-to-point telecommunications network anywhere in the world. You acknowledge and agree that the restrictions contained in the preceding sentence are reasonable and necessary. You also agree that for a period of twelve (12) months after your employment terminates, you will not solicit any employee of Company directly or indirectly to leave employment with the Company for any purpose, including but not limited to for purposes of providing labor, services, advice or assistance to any entity or individual. In the event of your breach of this Paragraph, the Company shall not be obligated to provide you with any further severance payments or benefits subsequent to such breach, in addition to other remedies available under applicable laws.</w:t>
      </w:r>
    </w:p>
    <w:p>
      <w:pPr>
        <w:spacing w:after="0" w:line="157" w:lineRule="exact"/>
        <w:rPr>
          <w:rFonts w:ascii="Times New Roman" w:cs="Times New Roman" w:eastAsia="Times New Roman" w:hAnsi="Times New Roman"/>
          <w:sz w:val="22"/>
          <w:szCs w:val="22"/>
          <w:color w:val="auto"/>
        </w:rPr>
      </w:pPr>
    </w:p>
    <w:p>
      <w:pPr>
        <w:ind w:firstLine="656"/>
        <w:spacing w:after="0" w:line="213" w:lineRule="auto"/>
        <w:tabs>
          <w:tab w:leader="none" w:pos="112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The parties agree that any suit, action, or proceeding arising out of or relating to this Agreement, the parties’ employment relationship, or the termination of that relationship for any reason, shall be brought in the appropriate state or federal court arising in Santa Clara, California, and you agree to submit to the personal jurisdiction of such court. The parties irrevocably waive, to the fullest extent permitted by law, any objection they may have to the laying of venue for any such suit, action or proceeding brought in such court. If any one or more provisions of this Paragraph 11 shall for any reason be held invalid or unenforceable, it is the specific intent of the parties that such provisions shall be modified to the minimum extent necessary to make it or its application valid and enforceable.</w:t>
      </w:r>
    </w:p>
    <w:p>
      <w:pPr>
        <w:spacing w:after="0" w:line="156" w:lineRule="exact"/>
        <w:rPr>
          <w:rFonts w:ascii="Times New Roman" w:cs="Times New Roman" w:eastAsia="Times New Roman" w:hAnsi="Times New Roman"/>
          <w:sz w:val="22"/>
          <w:szCs w:val="22"/>
          <w:color w:val="auto"/>
        </w:rPr>
      </w:pPr>
    </w:p>
    <w:p>
      <w:pPr>
        <w:jc w:val="both"/>
        <w:ind w:right="180" w:firstLine="656"/>
        <w:spacing w:after="0" w:line="220" w:lineRule="auto"/>
        <w:tabs>
          <w:tab w:leader="none" w:pos="113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Section 409A.</w:t>
      </w:r>
      <w:r>
        <w:rPr>
          <w:rFonts w:ascii="Times New Roman" w:cs="Times New Roman" w:eastAsia="Times New Roman" w:hAnsi="Times New Roman"/>
          <w:sz w:val="22"/>
          <w:szCs w:val="22"/>
          <w:color w:val="auto"/>
        </w:rPr>
        <w:t xml:space="preserve"> This Agreement is intended to comply with, or otherwise be exempt from Section 409A of the Code and the rules and regulations promulgated thereunder (collectively,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However, the Company has not made and is making no representation to you relating to the tax treatment of any payment pursuant to this Agreement under Section 409A and the corresponding provisions of any applicable State income tax laws.</w:t>
      </w:r>
    </w:p>
    <w:p>
      <w:pPr>
        <w:spacing w:after="0" w:line="152" w:lineRule="exact"/>
        <w:rPr>
          <w:sz w:val="20"/>
          <w:szCs w:val="20"/>
          <w:color w:val="auto"/>
        </w:rPr>
      </w:pPr>
    </w:p>
    <w:p>
      <w:pPr>
        <w:ind w:right="100" w:firstLine="648"/>
        <w:spacing w:after="0" w:line="210" w:lineRule="auto"/>
        <w:rPr>
          <w:sz w:val="20"/>
          <w:szCs w:val="20"/>
          <w:color w:val="auto"/>
        </w:rPr>
      </w:pPr>
      <w:r>
        <w:rPr>
          <w:rFonts w:ascii="Times New Roman" w:cs="Times New Roman" w:eastAsia="Times New Roman" w:hAnsi="Times New Roman"/>
          <w:sz w:val="22"/>
          <w:szCs w:val="22"/>
          <w:color w:val="auto"/>
        </w:rPr>
        <w:t>Notwithstanding anything to the contrary in this Agreement, any payments or benefits due hereunder upon a termination of employment which are a “deferral of compensation” within the meaning of Section 409A shall only be payable or provided to you upon a “separation from service” as defined for purposes of Section 409A. In addition, if you are a “specified employee” as determined pursuant to Section 409A as of the date of your separation from service, as so defined, and if any payments or entitlements provided for in this Agreement constitute a “deferral of compensation” within the meaning of Section 409A and cannot be paid or provided in the manner provided herein without subjecting you to additional tax, interest or penalties under Section 409A, then any such payment or entitlement which is otherwise payable during the first d six months following your separation from service shall be paid or provided to you in a lump sum on the earlier of (i) the first business day of the d seventh calendar month immediately following the effective date of your separation from service or (ii) the date of your death. To the extent required to satisfy the provisions of the foregoing sentence with respect to any benefit to be provided in-kind, the Company shall bill you, and you shall promptly pay, the value for tax purposes of any such benefit and the Company shall therefore promptly refund the amount so paid by you as soon as allowed by the foregoing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86"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Bryan C. Tucker</w:t>
      </w:r>
    </w:p>
    <w:p>
      <w:pPr>
        <w:spacing w:after="0"/>
        <w:rPr>
          <w:sz w:val="20"/>
          <w:szCs w:val="20"/>
          <w:color w:val="auto"/>
        </w:rPr>
      </w:pPr>
      <w:r>
        <w:rPr>
          <w:rFonts w:ascii="Times New Roman" w:cs="Times New Roman" w:eastAsia="Times New Roman" w:hAnsi="Times New Roman"/>
          <w:sz w:val="22"/>
          <w:szCs w:val="22"/>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648"/>
        <w:spacing w:after="0" w:line="211" w:lineRule="auto"/>
        <w:rPr>
          <w:sz w:val="20"/>
          <w:szCs w:val="20"/>
          <w:color w:val="auto"/>
        </w:rPr>
      </w:pPr>
      <w:r>
        <w:rPr>
          <w:rFonts w:ascii="Times New Roman" w:cs="Times New Roman" w:eastAsia="Times New Roman" w:hAnsi="Times New Roman"/>
          <w:sz w:val="22"/>
          <w:szCs w:val="22"/>
          <w:color w:val="auto"/>
        </w:rPr>
        <w:t>For purposes of Section 409A, the right to a series of installment payments under this Agreement shall be treated as a right to a series of separate payments. With respect to any reimbursement of your expenses, or any provision of in-kind benefits to you, as specified under this Agreement, such reimbursement of expenses or provision of in-kind benefits shall be subject to the following conditions: (1) the expenses eligible for reimbursement or the amount of in-kind benefits provided in one taxable year shall not affect the expenses eligible for reimbursement or the amount of in-kind benefits provided in any other taxable year, except for any medical reimbursement arrangement providing for the reimbursement of expenses referred to in Section 105(b) of the Code; (2) the reimbursement of an eligible expense shall be made no later than the end of the year after the year in which such expense was incurred; and (3) the right to reimbursement or in-kind benefits shall not be subject to liquidation or exchange for another benefit.</w:t>
      </w:r>
    </w:p>
    <w:p>
      <w:pPr>
        <w:spacing w:after="0" w:line="158" w:lineRule="exact"/>
        <w:rPr>
          <w:sz w:val="20"/>
          <w:szCs w:val="20"/>
          <w:color w:val="auto"/>
        </w:rPr>
      </w:pPr>
    </w:p>
    <w:p>
      <w:pPr>
        <w:jc w:val="both"/>
        <w:ind w:right="120" w:firstLine="656"/>
        <w:spacing w:after="0" w:line="225" w:lineRule="auto"/>
        <w:tabs>
          <w:tab w:leader="none" w:pos="1134"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deemed invalid, illegal or unenforceable, such provision shall be modified so as to make it valid, legal and enforceable, and the validity, legality and enforceability of the remaining provisions of this Agreement shall not in any way be affected.</w:t>
      </w:r>
    </w:p>
    <w:p>
      <w:pPr>
        <w:spacing w:after="0" w:line="152" w:lineRule="exact"/>
        <w:rPr>
          <w:rFonts w:ascii="Times New Roman" w:cs="Times New Roman" w:eastAsia="Times New Roman" w:hAnsi="Times New Roman"/>
          <w:sz w:val="22"/>
          <w:szCs w:val="22"/>
          <w:color w:val="auto"/>
        </w:rPr>
      </w:pPr>
    </w:p>
    <w:p>
      <w:pPr>
        <w:ind w:right="100" w:firstLine="656"/>
        <w:spacing w:after="0" w:line="219" w:lineRule="auto"/>
        <w:tabs>
          <w:tab w:leader="none" w:pos="1134"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Confirmation of Rights which are not Dependent Upon Signing a Release</w:t>
      </w:r>
      <w:r>
        <w:rPr>
          <w:rFonts w:ascii="Times New Roman" w:cs="Times New Roman" w:eastAsia="Times New Roman" w:hAnsi="Times New Roman"/>
          <w:sz w:val="21"/>
          <w:szCs w:val="21"/>
          <w:color w:val="auto"/>
        </w:rPr>
        <w:t>. Whether or not you sign a release as provide in certain provisions of this Agreement, (a) you will be paid all wages due, including any unused accrued vacation, as of your last day of work, (b) your health care coverage as a primary insured under the Company’s health plan will continue through the end of the month in which your last day of work falls, (c) thereafter, you will be eligible for continuation of health insurance at your own expense if you timely elect coverage under the Consolidation Omnibus Budget Reconciliation Act (“COBRA”), and</w:t>
      </w:r>
    </w:p>
    <w:p>
      <w:pPr>
        <w:spacing w:after="0" w:line="2"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receive information regarding your right to continue health insurance under COBRA.</w:t>
      </w:r>
    </w:p>
    <w:p>
      <w:pPr>
        <w:spacing w:after="0" w:line="155" w:lineRule="exact"/>
        <w:rPr>
          <w:rFonts w:ascii="Times New Roman" w:cs="Times New Roman" w:eastAsia="Times New Roman" w:hAnsi="Times New Roman"/>
          <w:sz w:val="22"/>
          <w:szCs w:val="22"/>
          <w:color w:val="auto"/>
        </w:rPr>
      </w:pPr>
    </w:p>
    <w:p>
      <w:pPr>
        <w:ind w:right="60" w:firstLine="656"/>
        <w:spacing w:after="0" w:line="236" w:lineRule="auto"/>
        <w:tabs>
          <w:tab w:leader="none" w:pos="113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Withholding.</w:t>
      </w:r>
      <w:r>
        <w:rPr>
          <w:rFonts w:ascii="Times New Roman" w:cs="Times New Roman" w:eastAsia="Times New Roman" w:hAnsi="Times New Roman"/>
          <w:sz w:val="22"/>
          <w:szCs w:val="22"/>
          <w:color w:val="auto"/>
        </w:rPr>
        <w:t xml:space="preserve"> All salary, bonus, severance and other payments identified in this Agreement are subject to applicable withholding by the Company.</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13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In view of the personal nature of the services to be performed under this Agreement by you, you cannot assign or transfer any of your obligations under this Agreement.</w:t>
      </w:r>
    </w:p>
    <w:p>
      <w:pPr>
        <w:spacing w:after="0" w:line="150" w:lineRule="exact"/>
        <w:rPr>
          <w:rFonts w:ascii="Times New Roman" w:cs="Times New Roman" w:eastAsia="Times New Roman" w:hAnsi="Times New Roman"/>
          <w:sz w:val="22"/>
          <w:szCs w:val="22"/>
          <w:color w:val="auto"/>
        </w:rPr>
      </w:pPr>
    </w:p>
    <w:p>
      <w:pPr>
        <w:ind w:right="160" w:firstLine="656"/>
        <w:spacing w:after="0" w:line="215" w:lineRule="auto"/>
        <w:tabs>
          <w:tab w:leader="none" w:pos="113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the agreements referred to above constitute the entire agreement between you and the Company regarding the terms and conditions of your employment, and they supersede all prior negotiations, representations or agreements between you and the Company regarding your employment, whether written or oral. This Agreement sets forth our entire agreement regarding the Company’s obligation to provide you with severance benefits upon any termination of your employment, and you shall not be entitled to receive any other severance benefits from the Company pursuant to any Company severance plan, policy or practice.</w:t>
      </w:r>
    </w:p>
    <w:p>
      <w:pPr>
        <w:spacing w:after="0" w:line="13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Agreement shall be governed by and construed in accordance with the law of the State of</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California.</w:t>
      </w:r>
    </w:p>
    <w:p>
      <w:pPr>
        <w:spacing w:after="0" w:line="155" w:lineRule="exact"/>
        <w:rPr>
          <w:rFonts w:ascii="Times New Roman" w:cs="Times New Roman" w:eastAsia="Times New Roman" w:hAnsi="Times New Roman"/>
          <w:sz w:val="22"/>
          <w:szCs w:val="22"/>
          <w:color w:val="auto"/>
        </w:rPr>
      </w:pPr>
    </w:p>
    <w:p>
      <w:pPr>
        <w:ind w:right="300" w:firstLine="656"/>
        <w:spacing w:after="0" w:line="236" w:lineRule="auto"/>
        <w:tabs>
          <w:tab w:leader="none" w:pos="113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w:t>
      </w:r>
      <w:r>
        <w:rPr>
          <w:rFonts w:ascii="Times New Roman" w:cs="Times New Roman" w:eastAsia="Times New Roman" w:hAnsi="Times New Roman"/>
          <w:sz w:val="22"/>
          <w:szCs w:val="22"/>
          <w:color w:val="auto"/>
        </w:rPr>
        <w:t>. This Agreement may only be modified or amended by a supplemental written agreement signed by you and an authorized representative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86"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color w:val="auto"/>
        </w:rPr>
        <w:t>Bryan C. Tucker</w:t>
      </w:r>
    </w:p>
    <w:p>
      <w:pPr>
        <w:spacing w:after="0"/>
        <w:rPr>
          <w:sz w:val="20"/>
          <w:szCs w:val="20"/>
          <w:color w:val="auto"/>
        </w:rPr>
      </w:pPr>
      <w:r>
        <w:rPr>
          <w:rFonts w:ascii="Times New Roman" w:cs="Times New Roman" w:eastAsia="Times New Roman" w:hAnsi="Times New Roman"/>
          <w:sz w:val="22"/>
          <w:szCs w:val="22"/>
          <w:color w:val="auto"/>
        </w:rPr>
        <w:t>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422" w:lineRule="auto"/>
        <w:rPr>
          <w:sz w:val="20"/>
          <w:szCs w:val="20"/>
          <w:color w:val="auto"/>
        </w:rPr>
      </w:pPr>
      <w:r>
        <w:rPr>
          <w:rFonts w:ascii="Times New Roman" w:cs="Times New Roman" w:eastAsia="Times New Roman" w:hAnsi="Times New Roman"/>
          <w:sz w:val="22"/>
          <w:szCs w:val="22"/>
          <w:color w:val="auto"/>
        </w:rPr>
        <w:t>Please sign and date this letter on the spaces provided below to acknowledge your acceptance of the terms of this Agreement. Sincerely,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Aviat Networks, Inc.</w:t>
      </w:r>
    </w:p>
    <w:p>
      <w:pPr>
        <w:spacing w:after="0" w:line="200" w:lineRule="exact"/>
        <w:rPr>
          <w:sz w:val="20"/>
          <w:szCs w:val="20"/>
          <w:color w:val="auto"/>
        </w:rPr>
      </w:pPr>
    </w:p>
    <w:p>
      <w:pPr>
        <w:spacing w:after="0" w:line="24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Michael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5697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1569720" cy="8890"/>
                    </a:xfrm>
                    <a:prstGeom prst="rect">
                      <a:avLst/>
                    </a:prstGeom>
                    <a:noFill/>
                  </pic:spPr>
                </pic:pic>
              </a:graphicData>
            </a:graphic>
          </wp:anchor>
        </w:drawing>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President and Chief Executive Financial Officer</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 agree to and accept employment with Aviat Networks, Inc. on the terms and conditions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Date: July ____, 2012</w:t>
      </w:r>
      <w:r>
        <w:rPr>
          <w:sz w:val="20"/>
          <w:szCs w:val="20"/>
          <w:color w:val="auto"/>
        </w:rPr>
        <w:tab/>
      </w:r>
      <w:r>
        <w:rPr>
          <w:rFonts w:ascii="Times New Roman" w:cs="Times New Roman" w:eastAsia="Times New Roman" w:hAnsi="Times New Roman"/>
          <w:sz w:val="21"/>
          <w:szCs w:val="21"/>
          <w:color w:val="auto"/>
        </w:rPr>
        <w:t>/s/Bryan C. 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1388110</wp:posOffset>
            </wp:positionH>
            <wp:positionV relativeFrom="paragraph">
              <wp:posOffset>-5715</wp:posOffset>
            </wp:positionV>
            <wp:extent cx="18656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1865630" cy="8255"/>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22"/>
          <w:szCs w:val="22"/>
          <w:color w:val="auto"/>
        </w:rPr>
        <w:t>Bryan Cary Tucker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840"/>
          </w:cols>
          <w:pgMar w:left="320" w:top="86" w:right="73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740410</wp:posOffset>
            </wp:positionV>
            <wp:extent cx="1156970" cy="643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115697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40"/>
        <w:spacing w:after="0"/>
        <w:rPr>
          <w:sz w:val="20"/>
          <w:szCs w:val="20"/>
          <w:color w:val="auto"/>
        </w:rPr>
      </w:pPr>
      <w:r>
        <w:rPr>
          <w:rFonts w:ascii="Arial" w:cs="Arial" w:eastAsia="Arial" w:hAnsi="Arial"/>
          <w:sz w:val="12"/>
          <w:szCs w:val="12"/>
          <w:b w:val="1"/>
          <w:bCs w:val="1"/>
          <w:color w:val="auto"/>
        </w:rPr>
        <w:t>AVIAT NETWORKS</w:t>
      </w:r>
    </w:p>
    <w:p>
      <w:pPr>
        <w:ind w:left="6640"/>
        <w:spacing w:after="0" w:line="211" w:lineRule="auto"/>
        <w:rPr>
          <w:sz w:val="20"/>
          <w:szCs w:val="20"/>
          <w:color w:val="auto"/>
        </w:rPr>
      </w:pPr>
      <w:r>
        <w:rPr>
          <w:rFonts w:ascii="Arial" w:cs="Arial" w:eastAsia="Arial" w:hAnsi="Arial"/>
          <w:sz w:val="12"/>
          <w:szCs w:val="12"/>
          <w:color w:val="auto"/>
        </w:rPr>
        <w:t>5250 Prue Road Suite 535 San Antonio, Texas</w:t>
      </w:r>
    </w:p>
    <w:p>
      <w:pPr>
        <w:ind w:left="6640"/>
        <w:spacing w:after="0" w:line="211" w:lineRule="auto"/>
        <w:rPr>
          <w:sz w:val="20"/>
          <w:szCs w:val="20"/>
          <w:color w:val="auto"/>
        </w:rPr>
      </w:pPr>
      <w:r>
        <w:rPr>
          <w:rFonts w:ascii="Arial" w:cs="Arial" w:eastAsia="Arial" w:hAnsi="Arial"/>
          <w:sz w:val="12"/>
          <w:szCs w:val="12"/>
          <w:color w:val="auto"/>
        </w:rPr>
        <w:t>78250</w:t>
      </w:r>
    </w:p>
    <w:p>
      <w:pPr>
        <w:ind w:left="6640"/>
        <w:spacing w:after="0" w:line="211" w:lineRule="auto"/>
        <w:rPr>
          <w:sz w:val="20"/>
          <w:szCs w:val="20"/>
          <w:color w:val="auto"/>
        </w:rPr>
      </w:pPr>
      <w:r>
        <w:rPr>
          <w:rFonts w:ascii="Arial" w:cs="Arial" w:eastAsia="Arial" w:hAnsi="Arial"/>
          <w:sz w:val="12"/>
          <w:szCs w:val="12"/>
          <w:color w:val="auto"/>
        </w:rPr>
        <w:t>Phone: +210 526 6300</w:t>
      </w:r>
    </w:p>
    <w:p>
      <w:pPr>
        <w:spacing w:after="0" w:line="1" w:lineRule="exact"/>
        <w:rPr>
          <w:sz w:val="20"/>
          <w:szCs w:val="20"/>
          <w:color w:val="auto"/>
        </w:rPr>
      </w:pPr>
    </w:p>
    <w:p>
      <w:pPr>
        <w:ind w:left="6640"/>
        <w:spacing w:after="0"/>
        <w:rPr>
          <w:sz w:val="20"/>
          <w:szCs w:val="20"/>
          <w:color w:val="auto"/>
        </w:rPr>
      </w:pPr>
      <w:r>
        <w:rPr>
          <w:rFonts w:ascii="Arial" w:cs="Arial" w:eastAsia="Arial" w:hAnsi="Arial"/>
          <w:sz w:val="12"/>
          <w:szCs w:val="12"/>
          <w:color w:val="auto"/>
        </w:rPr>
        <w:t>Fax: +210 526 6301</w:t>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0"/>
          <w:szCs w:val="10"/>
          <w:b w:val="1"/>
          <w:bCs w:val="1"/>
          <w:color w:val="70BE44"/>
        </w:rPr>
        <w:t>WWW.AVIATNETWORKS.COM</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June 27, 2019</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Bryan Tucker</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Aviat – US, San Antonio Dear Bryan:</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I am pleased to confirm that based on your performance and exceptional contributions to Aviat Networks the following</w:t>
      </w:r>
    </w:p>
    <w:p>
      <w:pPr>
        <w:spacing w:after="0" w:line="230" w:lineRule="auto"/>
        <w:rPr>
          <w:sz w:val="20"/>
          <w:szCs w:val="20"/>
          <w:color w:val="auto"/>
        </w:rPr>
      </w:pPr>
      <w:r>
        <w:rPr>
          <w:rFonts w:ascii="Arial" w:cs="Arial" w:eastAsia="Arial" w:hAnsi="Arial"/>
          <w:sz w:val="20"/>
          <w:szCs w:val="20"/>
          <w:color w:val="auto"/>
        </w:rPr>
        <w:t xml:space="preserve">compensation package has been approved by the Board and will be effective July 1, 2019. You will continue to execute the duties and responsibilities of </w:t>
      </w:r>
      <w:r>
        <w:rPr>
          <w:rFonts w:ascii="Arial" w:cs="Arial" w:eastAsia="Arial" w:hAnsi="Arial"/>
          <w:sz w:val="20"/>
          <w:szCs w:val="20"/>
          <w:b w:val="1"/>
          <w:bCs w:val="1"/>
          <w:color w:val="auto"/>
        </w:rPr>
        <w:t>SVP NA Sales &amp; Services</w:t>
      </w:r>
      <w:r>
        <w:rPr>
          <w:rFonts w:ascii="Arial" w:cs="Arial" w:eastAsia="Arial" w:hAnsi="Arial"/>
          <w:sz w:val="20"/>
          <w:szCs w:val="20"/>
          <w:color w:val="auto"/>
        </w:rPr>
        <w:t xml:space="preserve"> reporting to me.</w:t>
      </w:r>
    </w:p>
    <w:p>
      <w:pPr>
        <w:spacing w:after="0" w:line="174" w:lineRule="exact"/>
        <w:rPr>
          <w:sz w:val="20"/>
          <w:szCs w:val="20"/>
          <w:color w:val="auto"/>
        </w:rPr>
      </w:pPr>
    </w:p>
    <w:p>
      <w:pPr>
        <w:ind w:left="640" w:hanging="318"/>
        <w:spacing w:after="0"/>
        <w:tabs>
          <w:tab w:leader="none" w:pos="640" w:val="left"/>
        </w:tabs>
        <w:numPr>
          <w:ilvl w:val="0"/>
          <w:numId w:val="5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Base Salary: </w:t>
      </w:r>
      <w:r>
        <w:rPr>
          <w:rFonts w:ascii="Arial" w:cs="Arial" w:eastAsia="Arial" w:hAnsi="Arial"/>
          <w:sz w:val="20"/>
          <w:szCs w:val="20"/>
          <w:color w:val="auto"/>
        </w:rPr>
        <w:t>Your annual base salary will be $290,012</w:t>
      </w:r>
    </w:p>
    <w:p>
      <w:pPr>
        <w:spacing w:after="0" w:line="106" w:lineRule="exact"/>
        <w:rPr>
          <w:rFonts w:ascii="Times New Roman" w:cs="Times New Roman" w:eastAsia="Times New Roman" w:hAnsi="Times New Roman"/>
          <w:sz w:val="20"/>
          <w:szCs w:val="20"/>
          <w:color w:val="auto"/>
        </w:rPr>
      </w:pPr>
    </w:p>
    <w:p>
      <w:pPr>
        <w:ind w:left="640" w:hanging="318"/>
        <w:spacing w:after="0"/>
        <w:tabs>
          <w:tab w:leader="none" w:pos="640" w:val="left"/>
        </w:tabs>
        <w:numPr>
          <w:ilvl w:val="0"/>
          <w:numId w:val="5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SIC Target: </w:t>
      </w:r>
      <w:r>
        <w:rPr>
          <w:rFonts w:ascii="Arial" w:cs="Arial" w:eastAsia="Arial" w:hAnsi="Arial"/>
          <w:sz w:val="20"/>
          <w:szCs w:val="20"/>
          <w:color w:val="auto"/>
        </w:rPr>
        <w:t>Your FY20 SIC target will be $145,006</w:t>
      </w:r>
    </w:p>
    <w:p>
      <w:pPr>
        <w:spacing w:after="0" w:line="120" w:lineRule="exact"/>
        <w:rPr>
          <w:rFonts w:ascii="Times New Roman" w:cs="Times New Roman" w:eastAsia="Times New Roman" w:hAnsi="Times New Roman"/>
          <w:sz w:val="20"/>
          <w:szCs w:val="20"/>
          <w:color w:val="auto"/>
        </w:rPr>
      </w:pPr>
    </w:p>
    <w:p>
      <w:pPr>
        <w:ind w:left="640" w:hanging="318"/>
        <w:spacing w:after="0"/>
        <w:tabs>
          <w:tab w:leader="none" w:pos="640" w:val="left"/>
        </w:tabs>
        <w:numPr>
          <w:ilvl w:val="0"/>
          <w:numId w:val="54"/>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LTIP Target: </w:t>
      </w:r>
      <w:r>
        <w:rPr>
          <w:rFonts w:ascii="Arial" w:cs="Arial" w:eastAsia="Arial" w:hAnsi="Arial"/>
          <w:sz w:val="20"/>
          <w:szCs w:val="20"/>
          <w:color w:val="auto"/>
        </w:rPr>
        <w:t>Your FY20 LTIP award will be $145,006</w:t>
      </w:r>
    </w:p>
    <w:p>
      <w:pPr>
        <w:spacing w:after="0" w:line="217"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auto"/>
        </w:rPr>
        <w:t>Specifics of your SIC and LTIP Target incentives will be specified in the respective plan documents and will be made available to you in the first quarter of FY20.</w:t>
      </w:r>
    </w:p>
    <w:p>
      <w:pPr>
        <w:spacing w:after="0" w:line="186"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As a current employee, your benefits, vacation accruals and all other terms and conditions of your employment with Aviat Networks remain the same.</w:t>
      </w:r>
    </w:p>
    <w:p>
      <w:pPr>
        <w:spacing w:after="0" w:line="182" w:lineRule="exact"/>
        <w:rPr>
          <w:sz w:val="20"/>
          <w:szCs w:val="20"/>
          <w:color w:val="auto"/>
        </w:rPr>
      </w:pPr>
    </w:p>
    <w:p>
      <w:pPr>
        <w:spacing w:after="0" w:line="213" w:lineRule="auto"/>
        <w:rPr>
          <w:sz w:val="20"/>
          <w:szCs w:val="20"/>
          <w:color w:val="auto"/>
        </w:rPr>
      </w:pPr>
      <w:r>
        <w:rPr>
          <w:rFonts w:ascii="Arial" w:cs="Arial" w:eastAsia="Arial" w:hAnsi="Arial"/>
          <w:sz w:val="20"/>
          <w:szCs w:val="20"/>
          <w:color w:val="auto"/>
        </w:rPr>
        <w:t>I would like to take this opportunity to thank you for positive impact you have had towards the renewed success of our company. I look forward to your continued support and contribution to achieve even better performance for Aviat Networks 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forthcoming year.</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Thank you for your continued commitment and contribution to Aviat Networks. Respectfully,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Signature on file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Michael Pangia President &amp; CEO</w:t>
      </w:r>
    </w:p>
    <w:p>
      <w:pPr>
        <w:sectPr>
          <w:pgSz w:w="11900" w:h="16838" w:orient="portrait"/>
          <w:cols w:equalWidth="0" w:num="1">
            <w:col w:w="11040"/>
          </w:cols>
          <w:pgMar w:left="420" w:top="1440" w:right="4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5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1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SUBSIDIARIES AS OF July 1, 2022</w:t>
      </w:r>
    </w:p>
    <w:p>
      <w:pPr>
        <w:spacing w:after="0" w:line="3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(100% direct or indirect ownership by Aviat Networks, Inc.)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r>
      <w:tr>
        <w:trPr>
          <w:trHeight w:val="23"/>
        </w:trPr>
        <w:tc>
          <w:tcPr>
            <w:tcW w:w="6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18"/>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Aviat Networks Algeria S.A.R.L.</w:t>
            </w:r>
          </w:p>
        </w:tc>
        <w:tc>
          <w:tcPr>
            <w:tcW w:w="10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Algeria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(Australia) Pty. Ltd.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(Bangladesh)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Bangladesh</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Brasil Servicos em Communicacoes Ltda.</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Canada ULC</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Communications Technology (Shenzhen) Company Ltd.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People’s Republic of China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France S.A.S.</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Ghana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Ghana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Holland B.V.</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HK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(India) Private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Telsima Communications Private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Aviat Networks Indonesia</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Indonesia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Aviat Solusi Komunikasi</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Indonesia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Aviat Telekomunikasi Internasional</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Indonesia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Côte d’Ivoire</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Ivory Coast</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(Kenya)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Kenya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Malaysia Sdn. Bhd.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Microwave (Mauritius) Private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Mauritius</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México S.A. de C.V.</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(NZ)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Zealand</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Communication Solutions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Nigeria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Stratex Networks Nigeria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Nigeria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South Sudan</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Sudan</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(Clark) Corporation</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Philippines</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Philippines, Inc.</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Philippines</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Polska Sp. z.o.o.</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r>
      <w:tr>
        <w:trPr>
          <w:trHeight w:val="234"/>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Communications Solutions LLC</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Russia</w:t>
            </w:r>
          </w:p>
        </w:tc>
      </w:tr>
      <w:tr>
        <w:trPr>
          <w:trHeight w:val="243"/>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 Works Saudi Telecom &amp; Information Technology Co.</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Kingdom of Saudi Arabia</w:t>
            </w:r>
          </w:p>
        </w:tc>
      </w:t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(S) Pte. Ltd.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Republic of Singapore</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storitveno podjetje, d.o.o.</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Slovenia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(South Africa) (Proprietary)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Republic of South Africa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DMC Stratex Networks (South Africa) (Proprietary)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Republic of South Africa</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Tanzania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Tanzania</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(Thailand) Ltd.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Thailand</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Networks (UK) Limited</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International Holdings, Inc.</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 U.S., Inc.</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Telsima Corporation</w:t>
            </w:r>
          </w:p>
        </w:tc>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020"/>
          </w:cols>
          <w:pgMar w:left="540" w:top="1130" w:right="33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Aviat Networks,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Austin, Texas</w:t>
      </w:r>
    </w:p>
    <w:p>
      <w:pPr>
        <w:spacing w:after="0" w:line="3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 xml:space="preserve">We hereby consent to the incorporation by reference in the Registration Statements on Form S-3 (No. 333-255206) and Form S-8 (Nos. 333-224957, 333-209462, 333-178467, 333-163542 and 333-140442) of Aviat Networks, Inc. of our reports dated </w:t>
      </w:r>
      <w:r>
        <w:rPr>
          <w:rFonts w:ascii="Times New Roman" w:cs="Times New Roman" w:eastAsia="Times New Roman" w:hAnsi="Times New Roman"/>
          <w:sz w:val="19"/>
          <w:szCs w:val="19"/>
          <w:color w:val="auto"/>
        </w:rPr>
        <w:t xml:space="preserve">September 14, 2022 </w:t>
      </w:r>
      <w:r>
        <w:rPr>
          <w:rFonts w:ascii="Times New Roman" w:cs="Times New Roman" w:eastAsia="Times New Roman" w:hAnsi="Times New Roman"/>
          <w:sz w:val="21"/>
          <w:szCs w:val="21"/>
          <w:color w:val="auto"/>
        </w:rPr>
        <w:t>relating to the consolidated financial statements and schedule, and the effectiveness of Aviat Networks, Inc.’s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internal control over financial reporting, which appear in this Form 10-K.</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LLP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California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14, 2022</w:t>
      </w:r>
    </w:p>
    <w:p>
      <w:pPr>
        <w:sectPr>
          <w:pgSz w:w="11900" w:h="16838" w:orient="portrait"/>
          <w:cols w:equalWidth="0" w:num="1">
            <w:col w:w="11240"/>
          </w:cols>
          <w:pgMar w:left="320" w:top="142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 Smith, certify that:</w:t>
      </w:r>
    </w:p>
    <w:p>
      <w:pPr>
        <w:spacing w:after="0" w:line="171"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July 1, 2022, of Aviat Networks,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14, 2022</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Peter A. Smith</w:t>
            </w:r>
          </w:p>
        </w:tc>
      </w:tr>
      <w:tr>
        <w:trPr>
          <w:trHeight w:val="218"/>
        </w:trPr>
        <w:tc>
          <w:tcPr>
            <w:tcW w:w="64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Peter A. Smith</w:t>
            </w:r>
          </w:p>
        </w:tc>
      </w:tr>
      <w:tr>
        <w:trPr>
          <w:trHeight w:val="234"/>
        </w:trPr>
        <w:tc>
          <w:tcPr>
            <w:tcW w:w="64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M. Gray, certify that:</w:t>
      </w:r>
    </w:p>
    <w:p>
      <w:pPr>
        <w:spacing w:after="0" w:line="171"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July 1, 2022, of Aviat Networks,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14, 2022</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David M. Gray</w:t>
            </w:r>
          </w:p>
        </w:tc>
      </w:tr>
      <w:tr>
        <w:trPr>
          <w:trHeight w:val="218"/>
        </w:trPr>
        <w:tc>
          <w:tcPr>
            <w:tcW w:w="64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David M. Gray</w:t>
            </w:r>
          </w:p>
        </w:tc>
      </w:tr>
      <w:tr>
        <w:trPr>
          <w:trHeight w:val="180"/>
        </w:trPr>
        <w:tc>
          <w:tcPr>
            <w:tcW w:w="6400" w:type="dxa"/>
            <w:vAlign w:val="bottom"/>
          </w:tcPr>
          <w:p>
            <w:pPr>
              <w:spacing w:after="0"/>
              <w:rPr>
                <w:sz w:val="15"/>
                <w:szCs w:val="15"/>
                <w:color w:val="auto"/>
              </w:rPr>
            </w:pPr>
          </w:p>
        </w:tc>
        <w:tc>
          <w:tcPr>
            <w:tcW w:w="7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Senior Vice President and Chief Financial</w:t>
            </w:r>
          </w:p>
        </w:tc>
      </w:tr>
      <w:tr>
        <w:trPr>
          <w:trHeight w:val="234"/>
        </w:trPr>
        <w:tc>
          <w:tcPr>
            <w:tcW w:w="6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88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1350 of Chapter 63 of Title 18 of the United States Code as Adopted Pursuant to Section 906 of the Sarbanes-Oxley Act of 2002</w:t>
      </w:r>
    </w:p>
    <w:p>
      <w:pPr>
        <w:spacing w:after="0" w:line="17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filing of the Annual Report on Form 10-K of Aviat Networks, Inc. (“Aviat Networks”) for the fiscal year ended July 1, 2022, as filed with the Securities and Exchange Commission on the date hereof (the “Report”), the undersigned, Peter Smith, the President and Chief Executive Officer, and David M. Gray, Senior Vice President and Chief Financial Officer, each hereby certifies, pursuant to Section 906 of the Sarbanes-Oxley Act of 2002, 18 U.S.C. §1350, that:</w:t>
      </w:r>
    </w:p>
    <w:p>
      <w:pPr>
        <w:spacing w:after="0" w:line="126"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39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14, 2022</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Peter A. Smith</w:t>
            </w:r>
          </w:p>
        </w:tc>
      </w:tr>
      <w:tr>
        <w:trPr>
          <w:trHeight w:val="218"/>
        </w:trPr>
        <w:tc>
          <w:tcPr>
            <w:tcW w:w="64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Peter A. Smith</w:t>
            </w:r>
          </w:p>
        </w:tc>
      </w:tr>
      <w:tr>
        <w:trPr>
          <w:trHeight w:val="234"/>
        </w:trPr>
        <w:tc>
          <w:tcPr>
            <w:tcW w:w="64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36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David M.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17145</wp:posOffset>
            </wp:positionV>
            <wp:extent cx="29229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8"/>
          <w:szCs w:val="18"/>
          <w:color w:val="auto"/>
        </w:rPr>
        <w:t>Name:</w:t>
      </w:r>
    </w:p>
    <w:p>
      <w:pPr>
        <w:ind w:left="7660"/>
        <w:spacing w:after="0"/>
        <w:rPr>
          <w:sz w:val="20"/>
          <w:szCs w:val="20"/>
          <w:color w:val="auto"/>
        </w:rPr>
      </w:pPr>
      <w:r>
        <w:rPr>
          <w:rFonts w:ascii="Times New Roman" w:cs="Times New Roman" w:eastAsia="Times New Roman" w:hAnsi="Times New Roman"/>
          <w:sz w:val="18"/>
          <w:szCs w:val="18"/>
          <w:color w:val="auto"/>
        </w:rPr>
        <w:t>David M. Gray</w:t>
      </w:r>
    </w:p>
    <w:p>
      <w:pPr>
        <w:ind w:left="6620"/>
        <w:spacing w:after="0" w:line="229" w:lineRule="auto"/>
        <w:tabs>
          <w:tab w:leader="none" w:pos="7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and Chief Financial</w:t>
      </w:r>
    </w:p>
    <w:p>
      <w:pPr>
        <w:spacing w:after="0" w:line="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lowerLetter"/>
      <w:start w:val="1"/>
    </w:lvl>
  </w:abstractNum>
  <w:abstractNum w:abstractNumId="29">
    <w:nsid w:val="1D4ED43B"/>
    <w:multiLevelType w:val="hybridMultilevel"/>
    <w:lvl w:ilvl="0">
      <w:lvlJc w:val="left"/>
      <w:lvlText w:val="(%1)"/>
      <w:numFmt w:val="decimal"/>
      <w:start w:val="3"/>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1)"/>
      <w:numFmt w:val="lowerLetter"/>
      <w:start w:val="2"/>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1."/>
      <w:numFmt w:val="decimal"/>
      <w:start w:val="1"/>
    </w:lvl>
    <w:lvl w:ilvl="1">
      <w:lvlJc w:val="left"/>
      <w:lvlText w:val="(%2)"/>
      <w:numFmt w:val="lowerLetter"/>
      <w:start w:val="1"/>
    </w:lvl>
  </w:abstractNum>
  <w:abstractNum w:abstractNumId="37">
    <w:nsid w:val="38437FDB"/>
    <w:multiLevelType w:val="hybridMultilevel"/>
    <w:lvl w:ilvl="0">
      <w:lvlJc w:val="left"/>
      <w:lvlText w:val="%1"/>
      <w:numFmt w:val="decimal"/>
      <w:start w:val="1"/>
    </w:lvl>
    <w:lvl w:ilvl="1">
      <w:lvlJc w:val="left"/>
      <w:lvlText w:val="(%2)"/>
      <w:numFmt w:val="lowerLetter"/>
      <w:start w:val="3"/>
    </w:lvl>
  </w:abstractNum>
  <w:abstractNum w:abstractNumId="38">
    <w:nsid w:val="7644A45C"/>
    <w:multiLevelType w:val="hybridMultilevel"/>
    <w:lvl w:ilvl="0">
      <w:lvlJc w:val="left"/>
      <w:lvlText w:val="%1."/>
      <w:numFmt w:val="decimal"/>
      <w:start w:val="4"/>
    </w:lvl>
    <w:lvl w:ilvl="1">
      <w:lvlJc w:val="left"/>
      <w:lvlText w:val="(%2)"/>
      <w:numFmt w:val="lowerLetter"/>
      <w:start w:val="1"/>
    </w:lvl>
  </w:abstractNum>
  <w:abstractNum w:abstractNumId="39">
    <w:nsid w:val="32FFF902"/>
    <w:multiLevelType w:val="hybridMultilevel"/>
    <w:lvl w:ilvl="0">
      <w:lvlJc w:val="left"/>
      <w:lvlText w:val="(%1)"/>
      <w:numFmt w:val="lowerLetter"/>
      <w:start w:val="2"/>
    </w:lvl>
    <w:lvl w:ilvl="1">
      <w:lvlJc w:val="left"/>
      <w:lvlText w:val="(%2)"/>
      <w:numFmt w:val="lowerLetter"/>
      <w:start w:val="9"/>
    </w:lvl>
  </w:abstractNum>
  <w:abstractNum w:abstractNumId="40">
    <w:nsid w:val="684A481A"/>
    <w:multiLevelType w:val="hybridMultilevel"/>
    <w:lvl w:ilvl="0">
      <w:lvlJc w:val="left"/>
      <w:lvlText w:val="(%1)"/>
      <w:numFmt w:val="lowerLetter"/>
      <w:start w:val="35"/>
    </w:lvl>
  </w:abstractNum>
  <w:abstractNum w:abstractNumId="41">
    <w:nsid w:val="579478FE"/>
    <w:multiLevelType w:val="hybridMultilevel"/>
    <w:lvl w:ilvl="0">
      <w:lvlJc w:val="left"/>
      <w:lvlText w:val="(%1)"/>
      <w:numFmt w:val="lowerLetter"/>
      <w:start w:val="25"/>
    </w:lvl>
  </w:abstractNum>
  <w:abstractNum w:abstractNumId="42">
    <w:nsid w:val="749ABB43"/>
    <w:multiLevelType w:val="hybridMultilevel"/>
    <w:lvl w:ilvl="0">
      <w:lvlJc w:val="left"/>
      <w:lvlText w:val="(%1)"/>
      <w:numFmt w:val="lowerRoman"/>
      <w:start w:val="3"/>
    </w:lvl>
  </w:abstractNum>
  <w:abstractNum w:abstractNumId="43">
    <w:nsid w:val="3DC240FB"/>
    <w:multiLevelType w:val="hybridMultilevel"/>
    <w:lvl w:ilvl="0">
      <w:lvlJc w:val="left"/>
      <w:lvlText w:val="(%1)"/>
      <w:numFmt w:val="lowerLetter"/>
      <w:start w:val="4"/>
    </w:lvl>
    <w:lvl w:ilvl="1">
      <w:lvlJc w:val="left"/>
      <w:lvlText w:val="(%2)"/>
      <w:numFmt w:val="lowerRoman"/>
      <w:start w:val="1"/>
    </w:lvl>
  </w:abstractNum>
  <w:abstractNum w:abstractNumId="44">
    <w:nsid w:val="1BA026FA"/>
    <w:multiLevelType w:val="hybridMultilevel"/>
    <w:lvl w:ilvl="0">
      <w:lvlJc w:val="left"/>
      <w:lvlText w:val="(%1)"/>
      <w:numFmt w:val="lowerLetter"/>
      <w:start w:val="5"/>
    </w:lvl>
  </w:abstractNum>
  <w:abstractNum w:abstractNumId="45">
    <w:nsid w:val="79A1DEAA"/>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46">
    <w:nsid w:val="75C6C33A"/>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47">
    <w:nsid w:val="12E685F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8">
    <w:nsid w:val="70C6A52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decimal"/>
      <w:start w:val="10"/>
    </w:lvl>
  </w:abstractNum>
  <w:abstractNum w:abstractNumId="51">
    <w:nsid w:val="4F4EF005"/>
    <w:multiLevelType w:val="hybridMultilevel"/>
    <w:lvl w:ilvl="0">
      <w:lvlJc w:val="left"/>
      <w:lvlText w:val="%1"/>
      <w:numFmt w:val="lowerLetter"/>
      <w:start w:val="1"/>
    </w:lvl>
    <w:lvl w:ilvl="1">
      <w:lvlJc w:val="left"/>
      <w:lvlText w:val="%2."/>
      <w:numFmt w:val="decimal"/>
      <w:start w:val="13"/>
    </w:lvl>
  </w:abstractNum>
  <w:abstractNum w:abstractNumId="52">
    <w:nsid w:val="23F9C13C"/>
    <w:multiLevelType w:val="hybridMultilevel"/>
    <w:lvl w:ilvl="0">
      <w:lvlJc w:val="left"/>
      <w:lvlText w:val="(%1)"/>
      <w:numFmt w:val="lowerLetter"/>
      <w:start w:val="4"/>
    </w:lvl>
    <w:lvl w:ilvl="1">
      <w:lvlJc w:val="left"/>
      <w:lvlText w:val="%2."/>
      <w:numFmt w:val="decimal"/>
      <w:start w:val="15"/>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jpeg"/><Relationship Id="rId156" Type="http://schemas.openxmlformats.org/officeDocument/2006/relationships/image" Target="media/image125.png"/><Relationship Id="rId124" Type="http://schemas.openxmlformats.org/officeDocument/2006/relationships/hyperlink" Target="http://www.sec.gov/Archives/edgar/data/1377789/000137778917000022/avnwexhibit31amendedandres.htm" TargetMode="External"/><Relationship Id="rId125" Type="http://schemas.openxmlformats.org/officeDocument/2006/relationships/hyperlink" Target="http://www.sec.gov/Archives/edgar/data/1377789/000137778915000082/exhibit_aviatamendedandres.htm" TargetMode="External"/><Relationship Id="rId126" Type="http://schemas.openxmlformats.org/officeDocument/2006/relationships/hyperlink" Target="http://www.sec.gov/Archives/edgar/data/1377789/000119312516702547/d254391dex32.htm" TargetMode="External"/><Relationship Id="rId127" Type="http://schemas.openxmlformats.org/officeDocument/2006/relationships/hyperlink" Target="http://www.sec.gov/Archives/edgar/data/1377789/000095012310084926/f56743exv4w1w1.htm" TargetMode="External"/><Relationship Id="rId128" Type="http://schemas.openxmlformats.org/officeDocument/2006/relationships/hyperlink" Target="http://www.sec.gov/Archives/edgar/data/1377789/000092189520000644/ex41to8k11093004_03032020.htm" TargetMode="External"/><Relationship Id="rId129" Type="http://schemas.openxmlformats.org/officeDocument/2006/relationships/hyperlink" Target="http://www.sec.gov/Archives/edgar/data/1377789/000095014407000753/g05194exv10w4.htm" TargetMode="External"/><Relationship Id="rId130" Type="http://schemas.openxmlformats.org/officeDocument/2006/relationships/hyperlink" Target="http://www.sec.gov/Archives/edgar/data/1377789/000095014407000753/g05194exv10w11.htm" TargetMode="External"/><Relationship Id="rId131" Type="http://schemas.openxmlformats.org/officeDocument/2006/relationships/hyperlink" Target="http://www.sec.gov/Archives/edgar/data/1377789/000095014407000753/g05194exv10w16.htm" TargetMode="External"/><Relationship Id="rId132" Type="http://schemas.openxmlformats.org/officeDocument/2006/relationships/hyperlink" Target="http://www.sec.gov/Archives/edgar/data/1377789/000137778915000075/aviatproxyfy15.htm" TargetMode="External"/><Relationship Id="rId133" Type="http://schemas.openxmlformats.org/officeDocument/2006/relationships/hyperlink" Target="http://www.sec.gov/Archives/edgar/data/1377789/000137778918000043/exhibit101_svbthirdamended.htm" TargetMode="External"/><Relationship Id="rId134" Type="http://schemas.openxmlformats.org/officeDocument/2006/relationships/hyperlink" Target="http://www.sec.gov/Archives/edgar/data/1377789/000137778918000087/exhibit101svbloanamendment.htm" TargetMode="External"/><Relationship Id="rId135" Type="http://schemas.openxmlformats.org/officeDocument/2006/relationships/hyperlink" Target="http://www.sec.gov/Archives/edgar/data/1377789/000137778919000033/amendmentno2tothirdarlsa.htm" TargetMode="External"/><Relationship Id="rId136" Type="http://schemas.openxmlformats.org/officeDocument/2006/relationships/hyperlink" Target="http://www.sec.gov/Archives/edgar/data/1377789/000137778920000032/third_amendmentxtox3rdxarx.htm" TargetMode="External"/><Relationship Id="rId137" Type="http://schemas.openxmlformats.org/officeDocument/2006/relationships/hyperlink" Target="http://www.sec.gov/ix?doc=/Archives/edgar/data/0001377789/000137778921000033/avnw-20210513.htm" TargetMode="External"/><Relationship Id="rId139" Type="http://schemas.openxmlformats.org/officeDocument/2006/relationships/hyperlink" Target="http://www.sec.gov/Archives/edgar/data/1377789/000137778915000002/ex101letteragreement01-12x.htm" TargetMode="External"/><Relationship Id="rId140" Type="http://schemas.openxmlformats.org/officeDocument/2006/relationships/hyperlink" Target="http://www.sec.gov/Archives/edgar/data/1377789/000137778916000114/ex101employmentagreement_p.htm" TargetMode="External"/><Relationship Id="rId141" Type="http://schemas.openxmlformats.org/officeDocument/2006/relationships/hyperlink" Target="http://www.sec.gov/Archives/edgar/data/1377789/000137778918000039/ex102amendmenttoemployment.htm" TargetMode="External"/><Relationship Id="rId142" Type="http://schemas.openxmlformats.org/officeDocument/2006/relationships/hyperlink" Target="http://www.sec.gov/Archives/edgar/data/1377789/000137778920000017/echangamendmentapril32020.htm" TargetMode="External"/><Relationship Id="rId143" Type="http://schemas.openxmlformats.org/officeDocument/2006/relationships/hyperlink" Target="http://www.sec.gov/Archives/edgar/data/1377789/000137778916000172/ex1034mccarthycenterleasej.htm" TargetMode="External"/><Relationship Id="rId144" Type="http://schemas.openxmlformats.org/officeDocument/2006/relationships/hyperlink" Target="http://www.sec.gov/Archives/edgar/data/1377789/000092189520000006/ex101to8k11093001_01022020.htm" TargetMode="External"/><Relationship Id="rId145" Type="http://schemas.openxmlformats.org/officeDocument/2006/relationships/hyperlink" Target="http://www.sec.gov/Archives/edgar/data/0001377789/000137778921000033/amendment1toceocomp.htm" TargetMode="External"/><Relationship Id="rId146" Type="http://schemas.openxmlformats.org/officeDocument/2006/relationships/hyperlink" Target="http://www.sec.gov/Archives/edgar/data/0001377789/000137778921000041/amendment2tosmithempagreem.htm" TargetMode="External"/><Relationship Id="rId147" Type="http://schemas.openxmlformats.org/officeDocument/2006/relationships/hyperlink" Target="http://www.sec.gov/Archives/edgar/data/1377789/000137778921000072/avnwannualproxyfy21.htm#ieb44a5809ed24411a39a207ffc00a4b7_1804" TargetMode="External"/><Relationship Id="rId148" Type="http://schemas.openxmlformats.org/officeDocument/2006/relationships/hyperlink" Target="http://www.sec.gov/Archives/edgar/data/0001377789/000137778921000075/offerletter-davidgrayfin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2022-09-14T14:45:46Z</dcterms:created>
  <dcterms:modified xsi:type="dcterms:W3CDTF">2022-09-14T14:45:46Z</dcterms:modified>
</cp:coreProperties>
</file>