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80" w:after="283"/>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1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345"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27,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AVIAT NETWORKS,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4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9523" w:type="dxa"/>
        <w:jc w:val="center"/>
        <w:tblInd w:w="0" w:type="dxa"/>
        <w:tblLayout w:type="fixed"/>
        <w:tblCellMar>
          <w:top w:w="28" w:type="dxa"/>
          <w:left w:w="28" w:type="dxa"/>
          <w:bottom w:w="28" w:type="dxa"/>
          <w:right w:w="28" w:type="dxa"/>
        </w:tblCellMar>
      </w:tblPr>
      <w:tblGrid>
        <w:gridCol w:w="1148"/>
        <w:gridCol w:w="1008"/>
        <w:gridCol w:w="1023"/>
        <w:gridCol w:w="151"/>
        <w:gridCol w:w="151"/>
        <w:gridCol w:w="151"/>
        <w:gridCol w:w="919"/>
        <w:gridCol w:w="919"/>
        <w:gridCol w:w="930"/>
        <w:gridCol w:w="151"/>
        <w:gridCol w:w="151"/>
        <w:gridCol w:w="151"/>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001-33278</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200C Parker Dr., Suite 100A, Austin, Texas 78728</w:t>
            </w:r>
          </w:p>
        </w:tc>
      </w:tr>
      <w:tr>
        <w:trPr/>
        <w:tc>
          <w:tcPr>
            <w:tcW w:w="9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(512)-265-3680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8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1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27, 2026, Aviat Networks, Inc. (the “Company”) issued a press release announcing its financial results for the fourth quarter and fiscal year ended July 3, 2026. A copy of the press release is filed as Exhibit 99.1 to this report. The Company also posted to its website an Investor Presentation with respect to its fourth quarter ended July 3,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hereto, shall not be deemed to be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press release and Investor Presentation refer to certain non-GAAP financial measures. A reconciliation of these non-GAAP financial measures to the comparable GAAP financial measures is contained in Exhibit 99.1 of this report.</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45"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4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344"/>
        <w:gridCol w:w="1344"/>
        <w:gridCol w:w="1348"/>
        <w:gridCol w:w="406"/>
        <w:gridCol w:w="406"/>
        <w:gridCol w:w="406"/>
        <w:gridCol w:w="406"/>
        <w:gridCol w:w="406"/>
        <w:gridCol w:w="57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fy26q4pressreleaseex991.htm">
              <w:r>
                <w:rPr>
                  <w:rStyle w:val="InternetLink"/>
                  <w:rFonts w:ascii="Times New Roman;serif" w:hAnsi="Times New Roman;serif"/>
                  <w:b w:val="false"/>
                  <w:color w:val="000080"/>
                  <w:sz w:val="20"/>
                  <w:u w:val="single"/>
                </w:rPr>
                <w:t xml:space="preserve">Press Release, issued by Aviat Networks, Inc. on </w:t>
              </w:r>
            </w:hyperlink>
            <w:hyperlink w:anchor="fy26q4pressreleaseex991.htm">
              <w:r>
                <w:rPr>
                  <w:rStyle w:val="InternetLink"/>
                  <w:rFonts w:ascii="Times New Roman;serif" w:hAnsi="Times New Roman;serif"/>
                  <w:b w:val="false"/>
                  <w:color w:val="000080"/>
                  <w:sz w:val="20"/>
                  <w:u w:val="single"/>
                </w:rPr>
                <w:t>August 2</w:t>
              </w:r>
            </w:hyperlink>
            <w:hyperlink w:anchor="fy26q4pressreleaseex991.htm">
              <w:r>
                <w:rPr>
                  <w:rStyle w:val="InternetLink"/>
                  <w:rFonts w:ascii="Times New Roman;serif" w:hAnsi="Times New Roman;serif"/>
                  <w:b w:val="false"/>
                  <w:color w:val="000080"/>
                  <w:sz w:val="20"/>
                  <w:u w:val="single"/>
                </w:rPr>
                <w:t>7</w:t>
              </w:r>
            </w:hyperlink>
            <w:hyperlink w:anchor="fy26q4pressreleaseex991.htm">
              <w:r>
                <w:rPr>
                  <w:rStyle w:val="InternetLink"/>
                  <w:rFonts w:ascii="Times New Roman;serif" w:hAnsi="Times New Roman;serif"/>
                  <w:b w:val="false"/>
                  <w:color w:val="000080"/>
                  <w:sz w:val="20"/>
                  <w:u w:val="single"/>
                </w:rPr>
                <w:t>, 202</w:t>
              </w:r>
            </w:hyperlink>
            <w:hyperlink w:anchor="fy26q4pressreleaseex991.htm">
              <w:r>
                <w:rPr>
                  <w:rStyle w:val="InternetLink"/>
                  <w:rFonts w:ascii="Times New Roman;serif" w:hAnsi="Times New Roman;serif"/>
                  <w:b w:val="false"/>
                  <w:color w:val="000080"/>
                  <w:sz w:val="20"/>
                  <w:u w:val="single"/>
                </w:rPr>
                <w:t>6</w:t>
              </w:r>
            </w:hyperlink>
            <w:hyperlink w:anchor="fy26q4pressreleaseex991.htm">
              <w:r>
                <w:rPr>
                  <w:rStyle w:val="InternetLink"/>
                  <w:rFonts w:ascii="Times New Roman;serif" w:hAnsi="Times New Roman;serif"/>
                  <w:b w:val="false"/>
                  <w:color w:val="000080"/>
                  <w:sz w:val="20"/>
                  <w:u w:val="single"/>
                </w:rPr>
                <w:t>.</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tbl>
      <w:tblPr>
        <w:tblW w:w="10205" w:type="dxa"/>
        <w:jc w:val="center"/>
        <w:tblInd w:w="0" w:type="dxa"/>
        <w:tblLayout w:type="fixed"/>
        <w:tblCellMar>
          <w:top w:w="28" w:type="dxa"/>
          <w:left w:w="28" w:type="dxa"/>
          <w:bottom w:w="28" w:type="dxa"/>
          <w:right w:w="28" w:type="dxa"/>
        </w:tblCellMar>
      </w:tblPr>
      <w:tblGrid>
        <w:gridCol w:w="555"/>
        <w:gridCol w:w="409"/>
        <w:gridCol w:w="409"/>
        <w:gridCol w:w="382"/>
        <w:gridCol w:w="382"/>
        <w:gridCol w:w="382"/>
        <w:gridCol w:w="389"/>
        <w:gridCol w:w="382"/>
        <w:gridCol w:w="382"/>
        <w:gridCol w:w="382"/>
        <w:gridCol w:w="382"/>
        <w:gridCol w:w="382"/>
        <w:gridCol w:w="482"/>
        <w:gridCol w:w="382"/>
        <w:gridCol w:w="382"/>
        <w:gridCol w:w="382"/>
        <w:gridCol w:w="382"/>
        <w:gridCol w:w="382"/>
        <w:gridCol w:w="411"/>
        <w:gridCol w:w="382"/>
        <w:gridCol w:w="2202"/>
      </w:tblGrid>
      <w:tr>
        <w:trPr/>
        <w:tc>
          <w:tcPr>
            <w:tcW w:w="55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ind w:left="0" w:right="0" w:firstLine="495"/>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AVIAT NETWORKS, INC.</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August 27, 2026</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Aviat Networks Announces Fiscal 2026 Fourth Quarter and Twelve Months Financial Results</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Fourth Quarter Total Revenue of $120.9 million</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Q4 Operating Income of $5.8 million; Q4 Non-GAAP Operating Income of $10.0 million</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Q4 Net Loss of $1.3 million; Q4 Adjusted EBITDA of $11.9 million</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Q4 Diluted Loss per Share of $(0.10); Q4 Non-GAAP Diluted Earnings per Share of $0.64</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AUSTIN, Texas, August 27, 2026</w:t>
      </w:r>
      <w:r>
        <w:rPr>
          <w:color w:val="000000"/>
        </w:rPr>
        <w:t xml:space="preserve"> </w:t>
      </w:r>
      <w:r>
        <w:rPr>
          <w:rFonts w:ascii="Times New Roman;serif" w:hAnsi="Times New Roman;serif"/>
          <w:b w:val="false"/>
          <w:color w:val="000000"/>
          <w:sz w:val="20"/>
        </w:rPr>
        <w:t>-- Aviat Networks, Inc. (“Aviat Networks,” “Aviat,” or the “Company”), (Nasdaq: AVNW), the leading expert in wireless transport and access solutions, today reported financial results for its fiscal 2026 fourth quarter and twelve months ended July 3, 2026.</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Fourth Quarter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Completed sixth consecutive fiscal year of revenue growth; FY26 revenue of $439.7 million, up 1.2% versus the prior year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Increased Q4 total revenue to $120.9 million, up 4.8% versus the year ago period; Q4 North America revenue of $68.3 million, up 17.8% versus the year ago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Finished the fiscal year with backlog of $367 million, up 14% year-over-year; maintained a trailing-twelve month book-to-bill ratio greater than 1 in the quarter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Secured significant order in the U.S. from an existing customer for $25.0 million to $30.0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Repurchased $2.2 million of shares in Q4 at an average price of $16.55 per share</w:t>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Fourth Quarter Financial Highlights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Total Revenues:</w:t>
      </w:r>
      <w:r>
        <w:rPr>
          <w:color w:val="000000"/>
        </w:rPr>
        <w:t xml:space="preserve"> </w:t>
      </w:r>
      <w:r>
        <w:rPr>
          <w:rFonts w:ascii="Times New Roman;serif" w:hAnsi="Times New Roman;serif"/>
          <w:b w:val="false"/>
          <w:color w:val="000000"/>
          <w:sz w:val="20"/>
        </w:rPr>
        <w:t>$120.9 million; North America revenues of $68.3 million, up $10.3 million from the year ago period</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GAAP Results: </w:t>
      </w:r>
      <w:r>
        <w:rPr>
          <w:rFonts w:ascii="Times New Roman;serif" w:hAnsi="Times New Roman;serif"/>
          <w:b w:val="false"/>
          <w:color w:val="000000"/>
          <w:sz w:val="20"/>
        </w:rPr>
        <w:t>Gross Margin 30.8%; Operating Expenses $31.4 million; Operating Income $5.8 million; Net Loss $1.3 million; Net Loss per diluted share (“Net Loss per share”) $(0.10)</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Non-GAAP Results:</w:t>
      </w:r>
      <w:r>
        <w:rPr>
          <w:color w:val="000000"/>
        </w:rPr>
        <w:t xml:space="preserve"> </w:t>
      </w:r>
      <w:r>
        <w:rPr>
          <w:rFonts w:ascii="Times New Roman;serif" w:hAnsi="Times New Roman;serif"/>
          <w:b w:val="false"/>
          <w:color w:val="000000"/>
          <w:sz w:val="20"/>
        </w:rPr>
        <w:t>Adjusted EBITDA $11.9 million; Gross Margin 30.9%; Operating Expenses $27.3 million; Operating Income $10.0 million; Net Income $8.3 million; Net Income per share $0.64</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Cash and Cash Equivalents: </w:t>
      </w:r>
      <w:r>
        <w:rPr>
          <w:rFonts w:ascii="Times New Roman;serif" w:hAnsi="Times New Roman;serif"/>
          <w:b w:val="false"/>
          <w:color w:val="000000"/>
          <w:sz w:val="20"/>
        </w:rPr>
        <w:t>$72.8 million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Net Debt:</w:t>
      </w:r>
      <w:r>
        <w:rPr>
          <w:color w:val="000000"/>
        </w:rPr>
        <w:t xml:space="preserve"> </w:t>
      </w:r>
      <w:r>
        <w:rPr>
          <w:rFonts w:ascii="Times New Roman;serif" w:hAnsi="Times New Roman;serif"/>
          <w:b w:val="false"/>
          <w:color w:val="000000"/>
          <w:sz w:val="20"/>
        </w:rPr>
        <w:t>$24.2 million</w:t>
      </w:r>
    </w:p>
    <w:p>
      <w:pPr>
        <w:pStyle w:val="TextBody"/>
        <w:bidi w:val="0"/>
        <w:spacing w:lineRule="auto" w:line="276" w:before="0" w:after="180"/>
        <w:jc w:val="both"/>
        <w:rPr>
          <w:rFonts w:ascii="Times New Roman;serif" w:hAnsi="Times New Roman;serif"/>
          <w:b/>
          <w:color w:val="000000"/>
          <w:sz w:val="20"/>
          <w:u w:val="single"/>
        </w:rPr>
      </w:pPr>
      <w:r>
        <w:rPr>
          <w:rFonts w:ascii="Times New Roman;serif" w:hAnsi="Times New Roman;serif"/>
          <w:b/>
          <w:color w:val="000000"/>
          <w:sz w:val="20"/>
          <w:u w:val="single"/>
        </w:rPr>
        <w:t>Full Year Financial Highlights</w:t>
      </w:r>
    </w:p>
    <w:p>
      <w:pPr>
        <w:pStyle w:val="TextBody"/>
        <w:bidi w:val="0"/>
        <w:spacing w:lineRule="auto" w:line="276" w:before="0" w:after="120"/>
        <w:ind w:left="0" w:right="0" w:hanging="360"/>
        <w:jc w:val="both"/>
        <w:rPr/>
      </w:pPr>
      <w:r>
        <w:rPr>
          <w:color w:val="000000"/>
        </w:rPr>
        <w:t>•</w:t>
      </w:r>
      <w:r>
        <w:rPr>
          <w:rFonts w:ascii="Times New Roman;serif" w:hAnsi="Times New Roman;serif"/>
          <w:b/>
          <w:color w:val="000000"/>
          <w:sz w:val="20"/>
        </w:rPr>
        <w:t>Total Revenues:</w:t>
      </w:r>
      <w:r>
        <w:rPr>
          <w:color w:val="000000"/>
        </w:rPr>
        <w:t xml:space="preserve"> </w:t>
      </w:r>
      <w:r>
        <w:rPr>
          <w:rFonts w:ascii="Times New Roman;serif" w:hAnsi="Times New Roman;serif"/>
          <w:b w:val="false"/>
          <w:color w:val="000000"/>
          <w:sz w:val="20"/>
        </w:rPr>
        <w:t>$439.7 million, up 1.2% from last year</w:t>
      </w:r>
    </w:p>
    <w:p>
      <w:pPr>
        <w:pStyle w:val="TextBody"/>
        <w:bidi w:val="0"/>
        <w:spacing w:lineRule="auto" w:line="276" w:before="0" w:after="120"/>
        <w:ind w:left="0" w:right="0" w:hanging="360"/>
        <w:jc w:val="both"/>
        <w:rPr/>
      </w:pPr>
      <w:r>
        <w:rPr>
          <w:color w:val="000000"/>
        </w:rPr>
        <w:t>•</w:t>
      </w:r>
      <w:r>
        <w:rPr>
          <w:rFonts w:ascii="Times New Roman;serif" w:hAnsi="Times New Roman;serif"/>
          <w:b/>
          <w:color w:val="000000"/>
          <w:sz w:val="20"/>
        </w:rPr>
        <w:t>GAAP Results:</w:t>
      </w:r>
      <w:r>
        <w:rPr>
          <w:color w:val="000000"/>
        </w:rPr>
        <w:t xml:space="preserve"> </w:t>
      </w:r>
      <w:r>
        <w:rPr>
          <w:rFonts w:ascii="Times New Roman;serif" w:hAnsi="Times New Roman;serif"/>
          <w:b w:val="false"/>
          <w:color w:val="000000"/>
          <w:sz w:val="20"/>
        </w:rPr>
        <w:t>Gross Margin 31.5%; Operating Expenses $119.1 million; Operating Income $19.2 million; Net Income $2.5 million, Net Income per diluted share $0.19</w:t>
      </w:r>
    </w:p>
    <w:p>
      <w:pPr>
        <w:pStyle w:val="TextBody"/>
        <w:bidi w:val="0"/>
        <w:spacing w:lineRule="auto" w:line="276" w:before="0" w:after="120"/>
        <w:ind w:left="0" w:right="0" w:hanging="360"/>
        <w:jc w:val="both"/>
        <w:rPr/>
      </w:pPr>
      <w:r>
        <w:rPr>
          <w:color w:val="000000"/>
        </w:rPr>
        <w:t>•</w:t>
      </w:r>
      <w:r>
        <w:rPr>
          <w:rFonts w:ascii="Times New Roman;serif" w:hAnsi="Times New Roman;serif"/>
          <w:b/>
          <w:color w:val="000000"/>
          <w:sz w:val="20"/>
        </w:rPr>
        <w:t xml:space="preserve">Non-GAAP Results: </w:t>
      </w:r>
      <w:r>
        <w:rPr>
          <w:rFonts w:ascii="Times New Roman;serif" w:hAnsi="Times New Roman;serif"/>
          <w:b w:val="false"/>
          <w:color w:val="000000"/>
          <w:sz w:val="20"/>
        </w:rPr>
        <w:t>Adjusted EBITDA $36.7 million; Gross Margin 31.8%; Operating Expenses $109.2 million; Operating Income $30.6 million; Net Income per diluted share $1.66</w:t>
      </w:r>
    </w:p>
    <w:p>
      <w:pPr>
        <w:pStyle w:val="TextBody"/>
        <w:bidi w:val="0"/>
        <w:spacing w:lineRule="auto" w:line="288" w:before="180" w:after="180"/>
        <w:jc w:val="left"/>
        <w:rPr>
          <w:rFonts w:ascii="Times New Roman;serif" w:hAnsi="Times New Roman;serif"/>
          <w:b/>
          <w:color w:val="000000"/>
          <w:sz w:val="20"/>
          <w:u w:val="single"/>
        </w:rPr>
      </w:pPr>
      <w:r>
        <w:rPr>
          <w:rFonts w:ascii="Times New Roman;serif" w:hAnsi="Times New Roman;serif"/>
          <w:b/>
          <w:color w:val="000000"/>
          <w:sz w:val="20"/>
          <w:u w:val="single"/>
        </w:rPr>
        <w:t xml:space="preserve">Fiscal 2026 Fourth Quarter and Twelve Months Ended July 3, 2026 </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total revenues of $120.9 million for its fiscal 2026 fourth quarter, compared to $115.3 million in the fiscal 2025 fourth quarter, an increase of $5.5 million or 4.8%. North America revenue of $68.3 million increased by $10.3 million or 17.8%, compared to $58.0 million in the prior year due to growth with mobile service providers and private network customers. International revenue of $52.6 million decreased by $4.8 million or 8.3%, compared to $57.3 million in the prior year due to timing of certain mobile network projects.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July 3, 2026, total revenue increased by 1.2% to $439.7 million, compared to $434.6 million in the same period of fiscal 2025. North America revenue of $220.0 million increased by $12.4 million or 6.0%, compared to $207.6 million in the same period of fiscal 2025. International revenue of $219.7 million decreased by $7.4 million or 3.2% as compared to $227.0 million in the same period of fiscal 2025.</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Gross Margins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fiscal 2026 fourth quarter, the Company reported GAAP gross margin of 30.8% and non-GAAP gross margin of 30.9%. This compares to GAAP gross margin of 34.2% and non-GAAP gross margin of 34.7% in the fiscal 2025 fourth quarter, a decrease of 340 and 380 basis points, respectively. The fluctuations were driven by product and customer mix.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July 3, 2026, the Company reported GAAP gross margin of 31.5% and non-GAAP gross margin of 31.8%. This compares to GAAP gross margin of 32.1% and non-GAAP gross margin of 32.8% in the same period of fiscal 2025.</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GAAP total operating expenses of $31.4 million for the fiscal 2026 fourth quarter, compared to $30.6 million in the fiscal 2025 fourth quarter, an increase of $0.8 million or 2.7%. Non-GAAP total operating expenses, excluding the impact of restructuring charges, share-based compensation, and litigation and other expenses for the fiscal 2026 fourth quarter were $27.3 million, compared to $27.1 million in the prior year, an increase of $0.2 million or 0.8%.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twelve months ended July 3, 2026, the Company reported total operating expenses of $119.1 million, compared to $128.9 million in the same period of fiscal 2025, a decrease of $9.8 million or 7.6%. Non-GAAP total operating expenses, excluding the impact of restructuring charges, share-based compensation, and litigation and other expenses for the twelve months ended July 3, 2026 were $109.2 million, as compared to $113.5 million in the same period of fiscal 2025, a decrease of $4.3 million or 3.8%. </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GAAP operating income of $5.8 million for the fiscal 2026 fourth quarter, compared to $8.9 million in the fiscal 2025 fourth quarter, a decrease of $3.1 million or 34.4%. On a non-GAAP basis, the Company reported operating income of $10.0 million for the fiscal 2026 fourth quarter, compared to $12.9 million in the prior year, a decrease of $2.9 million or 22.7%.</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July 3, 2026, the Company reported GAAP operating income of $19.2 million, as compared to $10.6 million in the same period of fiscal 2025, an increase of $8.7 million or 81.9%. On a non-GAAP basis, the Company reported operating income of $30.6 million, compared to $29.0 million in the same period of fiscal 2025, an increase of $1.5 million or 5.2%.</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GAAP income tax expense of $6.2 million in the fiscal 2026 fourth quarter, compared to $5.0 million in the fiscal 2025 fourth quarter.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twelve months ended July 3, 2026, the Company reported GAAP income tax expense of $10.7 million compared to $2.2 million in the same period of fiscal 2025. </w: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Net Income / Net Income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GAAP net loss of $1.3 million in the fiscal 2026 fourth quarter and GAAP net loss per share of $0.10. This compared to GAAP net income of $5.2 million or GAAP net income per share of $0.40 in the fiscal 2025 fourth quarter. On a non-GAAP basis, the Company reported net income of $8.3 million or non-GAAP net income per share of $0.64, compared to non-GAAP net income of $10.7 million or $0.83 per share in the prior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GAAP net income of $2.5 million for the twelve months ended July 3, 2026, or GAAP net income per fully diluted share of $0.19. This compared to GAAP net income of $1.3 million or $0.10 per share in the comparable fiscal 2025 period. On a non-GAAP basis, the Company reported net income of $21.6 million or net income per share of $1.66 for the twelve months ended July 3, 2026, as compared to non-GAAP net income of $21.4 million or $1.67 per share in the comparable fiscal 2025 period.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Adjusted EBITDA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earnings before interest, tax, depreciation and amortization (“Adjusted EBITDA”) for the fiscal 2026 fourth quarter was $11.9 million, compared to $15.1 million in the fiscal 2025 fourth quarter.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twelve months ended July 3, 2026, the Company reported Adjusted EBITDA of $36.7 million, as compared to $37.1 million in the comparable fiscal 2025 period.</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Balance Sheet Highlights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reported $72.8 million in cash and cash equivalents as of July 3, 2026, compared to $78.1 million as of March 27, 2026. As of July 3, 2026, total debt was $97.0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Fiscal 2027 Full Year Guidance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established its fiscal 2027 full year revenue and Adjusted EBITDA guidance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 year Revenue between $455 and $470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 year Adjusted EBITDA between $50 and $55 million</w:t>
      </w:r>
    </w:p>
    <w:p>
      <w:pPr>
        <w:pStyle w:val="TextBody"/>
        <w:bidi w:val="0"/>
        <w:spacing w:lineRule="auto" w:line="276"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Aviat Networks will host a conference call at 8:30 a.m. Eastern Time (ET) on August 27, 2026, to discuss its financial and operational results for the fiscal 2026 fourth quarter ended July 3, 2026. Participating on the call will be Peter Smith, President and Chief Executive Officer; Andy Schmidt, Senior Vice President and Chief Financial Officer; Jonanna Mikulenka, Vice President and Chief Accounting Officer; and Andrew Fredrickson, Vice President, Corporate Finance. Following management's remarks, there will be a question and answer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Interested parties may access the conference call live via the webcast through Aviat Network's Investor Relations website at </w:t>
      </w:r>
      <w:r>
        <w:rPr>
          <w:rFonts w:ascii="Times New Roman;serif" w:hAnsi="Times New Roman;serif"/>
          <w:b w:val="false"/>
          <w:color w:val="0000FF"/>
          <w:sz w:val="20"/>
          <w:u w:val="single"/>
        </w:rPr>
        <w:t>investors.aviatnetworks.com/events-and-presentations/events</w:t>
      </w:r>
      <w:r>
        <w:rPr>
          <w:rFonts w:ascii="Times New Roman;serif" w:hAnsi="Times New Roman;serif"/>
          <w:b w:val="false"/>
          <w:color w:val="000000"/>
          <w:sz w:val="20"/>
        </w:rPr>
        <w:t xml:space="preserve">, or may participate via telephone by registering using </w:t>
      </w:r>
      <w:r>
        <w:rPr>
          <w:rFonts w:ascii="Times New Roman;serif" w:hAnsi="Times New Roman;serif"/>
          <w:b w:val="false"/>
          <w:color w:val="0000FF"/>
          <w:sz w:val="20"/>
          <w:u w:val="single"/>
        </w:rPr>
        <w:t>this online form</w:t>
      </w:r>
      <w:r>
        <w:rPr>
          <w:rFonts w:ascii="Times New Roman;serif" w:hAnsi="Times New Roman;serif"/>
          <w:b w:val="false"/>
          <w:color w:val="000000"/>
          <w:sz w:val="20"/>
        </w:rPr>
        <w:t>. Once registered, telephone participants will receive the dial-in number along with a unique PIN number that must be used to access the call. A replay of the conference call webcast will be available after the call on the Company's investor relations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Aviat Networks</w:t>
      </w:r>
    </w:p>
    <w:p>
      <w:pPr>
        <w:pStyle w:val="TextBody"/>
        <w:bidi w:val="0"/>
        <w:spacing w:lineRule="auto" w:line="288" w:before="0" w:after="0"/>
        <w:jc w:val="both"/>
        <w:rPr/>
      </w:pPr>
      <w:r>
        <w:rPr>
          <w:rFonts w:ascii="Times New Roman;serif" w:hAnsi="Times New Roman;serif"/>
          <w:b w:val="false"/>
          <w:color w:val="000000"/>
          <w:sz w:val="20"/>
        </w:rPr>
        <w:t xml:space="preserve">Aviat Networks, Inc. is the leading expert in wireless transport and access solutions and works to provide dependable products, services and support to its customers. With more than one million systems sold into 170 countries worldwide, communications service providers and private network operators including state/local government, utility, federal government and defense organizations trust Aviat with their critical applications. Coupled with a long history of microwave innovations, Aviat provides a comprehensive suite of localized professional and support services enabling customers to drastically simplify both their networks and their lives. For more than 70 years, the experts at Aviat have delivered high performance products, simplified operations, and the best overall customer experience. Aviat is headquartered in Austin, Texas. For more information, visit </w:t>
      </w:r>
      <w:r>
        <w:rPr>
          <w:rFonts w:ascii="Times New Roman;serif" w:hAnsi="Times New Roman;serif"/>
          <w:b w:val="false"/>
          <w:color w:val="0000FF"/>
          <w:sz w:val="20"/>
          <w:u w:val="single"/>
        </w:rPr>
        <w:t>www.aviatnetworks.com</w:t>
      </w:r>
      <w:r>
        <w:rPr>
          <w:color w:val="000000"/>
        </w:rPr>
        <w:t> </w:t>
      </w:r>
      <w:r>
        <w:rPr>
          <w:rFonts w:ascii="Times New Roman;serif" w:hAnsi="Times New Roman;serif"/>
          <w:b w:val="false"/>
          <w:color w:val="000000"/>
          <w:sz w:val="20"/>
        </w:rPr>
        <w:t>or connect with Aviat Networks on </w:t>
      </w:r>
      <w:r>
        <w:rPr>
          <w:rFonts w:ascii="Times New Roman;serif" w:hAnsi="Times New Roman;serif"/>
          <w:b w:val="false"/>
          <w:color w:val="0000FF"/>
          <w:sz w:val="20"/>
          <w:u w:val="single"/>
        </w:rPr>
        <w:t>Facebook</w:t>
      </w:r>
      <w:r>
        <w:rPr>
          <w:color w:val="000000"/>
        </w:rPr>
        <w:t> </w:t>
      </w:r>
      <w:r>
        <w:rPr>
          <w:rFonts w:ascii="Times New Roman;serif" w:hAnsi="Times New Roman;serif"/>
          <w:b w:val="false"/>
          <w:color w:val="000000"/>
          <w:sz w:val="20"/>
        </w:rPr>
        <w:t>and </w:t>
      </w:r>
      <w:r>
        <w:rPr>
          <w:rFonts w:ascii="Times New Roman;serif" w:hAnsi="Times New Roman;serif"/>
          <w:b w:val="false"/>
          <w:color w:val="0000FF"/>
          <w:sz w:val="20"/>
          <w:u w:val="single"/>
        </w:rPr>
        <w:t>LinkedIn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includes forward-looking statements within the meaning of the safe harbor provisions of the U.S. Private Securities Litigation Reform Act of 1995, including Aviat's beliefs and expectations regarding outlook, business conditions, new product solutions, customer positioning, future orders, bookings, new contracts, cost structure, profitability in fiscal 2027, its recent acquisitions and acquisition strategy, process improvements, measures designed to improve internal controls, its ability to maintain effective internal control over financial reporting and management systems and remediate material weaknesses, plans and objectives of management, realignment plans and review of strategic alternatives and expectations regarding future revenue, gross margin, Adjusted EBITDA, operating income or earnings or loss per share. All statements, trend analyses and other information contained herein regarding the foregoing beliefs and expectations, as well as about the markets for the services and products of Aviat and trends in revenue, and other statements identified by the use of forward-looking terminology, including "anticipate," "believe," "plan," "estimate," "expect," "goal," "will," "see," "continue," "delivering," "view," and "intend," or the negative of these terms or other similar expressions, constitute forward-looking statements. Forward-looking statements are neither historical facts nor assurances of future performance. Instead, forward-looking statements are based on estimates reflecting the current beliefs, expectations and assumptions of the senior management of Aviat regarding the future of its business, future plans and strategies, projections, anticipated events and trends, the economy and other future conditions. Such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Therefore, you should not rely on any of these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Important factors that could cause actual results to differ materially from estimates or projections contained in the forward-looking statements include the following: the disruption that the 4RF and NEC transactions may cause to customers, vendors, business partners and our ongoing business; our ability to integrate the operations of the acquired 4RF and NEC businesses with our existing operations and fully realize the expected synergies of the 4RF and NEC transactions on the expected timeline; disruptions relating to the ongoing conflict between Russia and Ukraine and the conflict in Israel and surrounding areas; continued price and margin erosion in the microwave transmission industry; the impact of the volume, timing, and customer, product, and geographic mix of our product orders; our ability to meet financial covenant requirements; the timing of our receipt of payment; our ability to meet product development dates or anticipated cost reductions of products; our suppliers' inability to perform and deliver on time, component shortages, or other supply chain constraints; the effects of inflation; customer acceptance of new products; the ability of our subcontractors to timely perform; weakness in the global economy affecting customer spending; retention of our key personnel; our ability to manage and maintain key customer relationships; uncertain economic conditions in the telecommunications sector combined with operator and supplier consolidation; our failure to protect our intellectual property rights or defend against intellectual property infringement claims; the results of our restructuring efforts; the effects of currency and interest rate risks; the ability to preserve and use our net operating loss carryforwards; the effects of current and future government regulations; general economic conditions, including uncertainty regarding the timing, pace and extent of an economic recovery in the United States and other countries where we conduct business; the conduct of unethical business practices in developing countries; the impact of political turmoil in countries where we have significant business; our ability to realize the anticipated benefits of any proposed or recent acquisitions;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our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ability to implement our stock repurchase program or that it will enhance long-term stockholder value; and the impact of adverse developments affecting the financial services industry, including events or concerns involving liquidity, defaults or non-performance by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 risks and uncertainties for Aviat's business, see “Risk Factors” in Aviat's Form 10-K for the fiscal year ended July 3, 2026 filed with the SEC on August 27, 2026, as well as other reports filed by Aviat with the SEC from time to time. Aviat undertakes no obligation to update publicly any forward-looking statement, whether written or oral, for any reason, except as required by law, even as new information becomes available or other events occur in the future.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Andrew Fredrickson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Email: investorinfo@aviatnet.com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Fiscal Year 2026 Fourth Quarter Summary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9989" w:type="dxa"/>
        <w:jc w:val="center"/>
        <w:tblInd w:w="0" w:type="dxa"/>
        <w:tblLayout w:type="fixed"/>
        <w:tblCellMar>
          <w:top w:w="28" w:type="dxa"/>
          <w:left w:w="28" w:type="dxa"/>
          <w:bottom w:w="28" w:type="dxa"/>
          <w:right w:w="28" w:type="dxa"/>
        </w:tblCellMar>
      </w:tblPr>
      <w:tblGrid>
        <w:gridCol w:w="1793"/>
        <w:gridCol w:w="1576"/>
        <w:gridCol w:w="1580"/>
        <w:gridCol w:w="196"/>
        <w:gridCol w:w="661"/>
        <w:gridCol w:w="109"/>
        <w:gridCol w:w="109"/>
        <w:gridCol w:w="109"/>
        <w:gridCol w:w="109"/>
        <w:gridCol w:w="196"/>
        <w:gridCol w:w="646"/>
        <w:gridCol w:w="109"/>
        <w:gridCol w:w="109"/>
        <w:gridCol w:w="109"/>
        <w:gridCol w:w="109"/>
        <w:gridCol w:w="196"/>
        <w:gridCol w:w="751"/>
        <w:gridCol w:w="109"/>
        <w:gridCol w:w="109"/>
        <w:gridCol w:w="109"/>
        <w:gridCol w:w="109"/>
        <w:gridCol w:w="196"/>
        <w:gridCol w:w="73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89,524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439,682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83,643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119,054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per share of common stock outstanding: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shares outstanding: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Fiscal Year 2026 Fourth Quarter Summary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5994" w:type="dxa"/>
        <w:jc w:val="center"/>
        <w:tblInd w:w="0" w:type="dxa"/>
        <w:tblLayout w:type="fixed"/>
        <w:tblCellMar>
          <w:top w:w="28" w:type="dxa"/>
          <w:left w:w="28" w:type="dxa"/>
          <w:bottom w:w="28" w:type="dxa"/>
          <w:right w:w="28" w:type="dxa"/>
        </w:tblCellMar>
      </w:tblPr>
      <w:tblGrid>
        <w:gridCol w:w="1275"/>
        <w:gridCol w:w="1121"/>
        <w:gridCol w:w="1129"/>
        <w:gridCol w:w="196"/>
        <w:gridCol w:w="751"/>
        <w:gridCol w:w="109"/>
        <w:gridCol w:w="109"/>
        <w:gridCol w:w="109"/>
        <w:gridCol w:w="109"/>
        <w:gridCol w:w="196"/>
        <w:gridCol w:w="73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82,064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598,962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uncertain tax positions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331,574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872,081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598,962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Fiscal Year 2026 Fourth Quarter Summary</w: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RECONCILIATION OF NON-GAAP FINANCIAL MEASURES AND REGULATION G DISCLOSURE</w:t>
      </w:r>
    </w:p>
    <w:tbl>
      <w:tblPr>
        <w:tblW w:w="10205" w:type="dxa"/>
        <w:jc w:val="center"/>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statements presented in accordance with accounting principles generally accepted in the United States (GAAP), we provide additional measures of gross margin, research and development expenses, selling and administrative expenses, operating income, provision for or benefit from income taxes, net income, net income per share, and Adjusted EBITDA, in each case, adjusted to exclude certain costs, charges, gains and losses, as set forth below. We believe that these non-GAAP financial measures, when considered together with the GAAP financial measures provide information that is useful to investors in understanding period-over-period operating results separate and apart from items that may, or could, have a disproportionate positive or negative impact on results in any particular period. We also believe these non-GAAP measures enhance the ability of investors to analyze trends in our business and to understand our performance. In addition, we may utilize non-GAAP financial measures as a guide in our forecasting, budgeting and long-term planning process and to measure operating performance for some management compensation purposes. Any analysis of non-GAAP financial measures should be used only in conjunction with results presented in accordance with GAAP. Reconciliations of these non-GAAP financial measures with the most directly comparable financial measures calculated in accordance with GAAP follow.</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80" w:after="283"/>
              <w:jc w:val="both"/>
              <w:rPr/>
            </w:pPr>
            <w:r>
              <w:rPr>
                <w:rFonts w:ascii="Times New Roman;serif" w:hAnsi="Times New Roman;serif"/>
                <w:b w:val="false"/>
                <w:color w:val="000000"/>
                <w:sz w:val="13"/>
              </w:rPr>
              <w:t>1</w:t>
            </w:r>
            <w:r>
              <w:rPr>
                <w:rFonts w:ascii="Times New Roman;serif" w:hAnsi="Times New Roman;serif"/>
                <w:b w:val="false"/>
                <w:color w:val="000000"/>
                <w:sz w:val="20"/>
              </w:rPr>
              <w:t>We have not reconciled Adjusted EBITDA guidance to its corresponding GAAP measure due to the high variability and difficulty in making accurate forecasts and projections, particularly with respect to merger and acquisition costs and share-based compensation. In particular, share-based compensation expense is affected by future hiring, turnover, and retention needs, as well as the future fair market value of our common stock, all of which are difficult to predict and subject to change. Accordingly, reconciliations of forward-looking Adjusted EBITDA are not available without unreasonable effort.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3</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Fiscal Year 2026 Fourth Quarter Summary</w:t>
      </w:r>
    </w:p>
    <w:p>
      <w:pPr>
        <w:pStyle w:val="TextBody"/>
        <w:bidi w:val="0"/>
        <w:spacing w:lineRule="auto" w:line="288" w:before="0" w:after="0"/>
        <w:jc w:val="center"/>
        <w:rPr/>
      </w:pPr>
      <w:r>
        <w:rPr>
          <w:rFonts w:ascii="Times New Roman;serif" w:hAnsi="Times New Roman;serif"/>
          <w:b/>
          <w:color w:val="000000"/>
          <w:sz w:val="20"/>
        </w:rPr>
        <w:t xml:space="preserve">RECONCILIATIONS OF NON-GAAP FINANCIAL MEASURES </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(Unaudited)</w:t>
      </w:r>
    </w:p>
    <w:tbl>
      <w:tblPr>
        <w:tblW w:w="11137" w:type="dxa"/>
        <w:jc w:val="center"/>
        <w:tblInd w:w="0" w:type="dxa"/>
        <w:tblLayout w:type="fixed"/>
        <w:tblCellMar>
          <w:top w:w="28" w:type="dxa"/>
          <w:left w:w="28" w:type="dxa"/>
          <w:bottom w:w="28" w:type="dxa"/>
          <w:right w:w="28" w:type="dxa"/>
        </w:tblCellMar>
      </w:tblPr>
      <w:tblGrid>
        <w:gridCol w:w="744"/>
        <w:gridCol w:w="271"/>
        <w:gridCol w:w="216"/>
        <w:gridCol w:w="196"/>
        <w:gridCol w:w="661"/>
        <w:gridCol w:w="109"/>
        <w:gridCol w:w="109"/>
        <w:gridCol w:w="109"/>
        <w:gridCol w:w="109"/>
        <w:gridCol w:w="240"/>
        <w:gridCol w:w="241"/>
        <w:gridCol w:w="436"/>
        <w:gridCol w:w="109"/>
        <w:gridCol w:w="109"/>
        <w:gridCol w:w="109"/>
        <w:gridCol w:w="196"/>
        <w:gridCol w:w="646"/>
        <w:gridCol w:w="109"/>
        <w:gridCol w:w="109"/>
        <w:gridCol w:w="109"/>
        <w:gridCol w:w="109"/>
        <w:gridCol w:w="233"/>
        <w:gridCol w:w="233"/>
        <w:gridCol w:w="391"/>
        <w:gridCol w:w="109"/>
        <w:gridCol w:w="109"/>
        <w:gridCol w:w="109"/>
        <w:gridCol w:w="196"/>
        <w:gridCol w:w="751"/>
        <w:gridCol w:w="109"/>
        <w:gridCol w:w="109"/>
        <w:gridCol w:w="109"/>
        <w:gridCol w:w="109"/>
        <w:gridCol w:w="240"/>
        <w:gridCol w:w="241"/>
        <w:gridCol w:w="436"/>
        <w:gridCol w:w="109"/>
        <w:gridCol w:w="109"/>
        <w:gridCol w:w="109"/>
        <w:gridCol w:w="196"/>
        <w:gridCol w:w="736"/>
        <w:gridCol w:w="109"/>
        <w:gridCol w:w="109"/>
        <w:gridCol w:w="109"/>
        <w:gridCol w:w="109"/>
        <w:gridCol w:w="233"/>
        <w:gridCol w:w="233"/>
        <w:gridCol w:w="446"/>
      </w:tblGrid>
      <w:tr>
        <w:trPr/>
        <w:tc>
          <w:tcPr>
            <w:tcW w:w="7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w:t>
              <w:br/>
              <w:t>Revenue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percentages and per share amounts)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margin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gross margin</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37,353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30.9</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139,752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research and development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research and development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selling and administrative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other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selling and administrative expenses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119,054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 recovery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expense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income tax provision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reflect pro forma tax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income tax (benefit) provision</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reflect pro forma tax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7" w:type="dxa"/>
            <w:gridSpan w:val="4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net (loss) income per share:</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Shares used in computing net income per share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EBITDA:</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plant and equipment and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ind w:left="0" w:right="0" w:hanging="54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adjustments above reconcile our GAAP financial results to the non-GAAP financial measures used by us. Our non-GAAP net income excluded share-based compensation, and other non-recurring charges (recovery). Adjusted EBITDA was determined by excluding depreciation and amortization on property, plant and equipment and intangible assets, interest, provision for or benefit from income taxes, and non-GAAP pre-tax adjustments, as set forth above, from GAAP net income. We believe that the presentation of these non-GAAP items provides meaningful supplemental information to investors, when viewed in conjunction with, and not in lieu of, our GAAP results. However, the non-GAAP financial measures have not been prepared under a comprehensive set of accounting rules or principles. Non-GAAP information should not be considered in isolation from, or as a substitute for, information prepared in accordance with GAAP. Moreover, there are material limitations associated with the use of non-GAAP financial measures.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0" w:after="283"/>
        <w:jc w:val="center"/>
        <w:rPr>
          <w:rFonts w:ascii="Times New Roman;serif" w:hAnsi="Times New Roman;serif"/>
          <w:b/>
          <w:color w:val="000000"/>
          <w:sz w:val="20"/>
        </w:rPr>
      </w:pPr>
      <w:r>
        <w:rPr>
          <w:rFonts w:ascii="Times New Roman;serif" w:hAnsi="Times New Roman;serif"/>
          <w:b/>
          <w:color w:val="000000"/>
          <w:sz w:val="20"/>
        </w:rPr>
        <w:t>Table 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AVIAT NETWORKS,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Fiscal Year 2026 Fourth Quarter Summary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SUPPLEMENTAL SCHEDULE OF REVENUE BY GEOGRAPHICAL AREA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7844" w:type="dxa"/>
        <w:jc w:val="center"/>
        <w:tblInd w:w="0" w:type="dxa"/>
        <w:tblLayout w:type="fixed"/>
        <w:tblCellMar>
          <w:top w:w="28" w:type="dxa"/>
          <w:left w:w="28" w:type="dxa"/>
          <w:bottom w:w="28" w:type="dxa"/>
          <w:right w:w="28" w:type="dxa"/>
        </w:tblCellMar>
      </w:tblPr>
      <w:tblGrid>
        <w:gridCol w:w="952"/>
        <w:gridCol w:w="835"/>
        <w:gridCol w:w="837"/>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68,321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and the Middle 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57,952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 and Asia 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international</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4479</Words>
  <Characters>24964</Characters>
  <CharactersWithSpaces>28968</CharactersWithSpaces>
  <Paragraphs>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