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1460" w:right="1460" w:hanging="428"/>
        <w:spacing w:after="0" w:line="238" w:lineRule="auto"/>
        <w:tabs>
          <w:tab w:leader="none" w:pos="1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29, 2024</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79" w:lineRule="exact"/>
        <w:rPr>
          <w:sz w:val="24"/>
          <w:szCs w:val="24"/>
          <w:color w:val="auto"/>
        </w:rPr>
      </w:pPr>
    </w:p>
    <w:p>
      <w:pPr>
        <w:ind w:left="1460" w:right="1440" w:hanging="428"/>
        <w:spacing w:after="0" w:line="238" w:lineRule="auto"/>
        <w:tabs>
          <w:tab w:leader="none" w:pos="1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8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ectPr>
          <w:pgSz w:w="11900" w:h="16838" w:orient="portrait"/>
          <w:cols w:equalWidth="0" w:num="1">
            <w:col w:w="11240"/>
          </w:cols>
          <w:pgMar w:left="320" w:top="1033" w:right="339" w:bottom="1440" w:gutter="0" w:footer="0" w:header="0"/>
        </w:sectPr>
      </w:pPr>
    </w:p>
    <w:p>
      <w:pPr>
        <w:spacing w:after="0" w:line="13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200" w:lineRule="exact"/>
        <w:rPr>
          <w:sz w:val="24"/>
          <w:szCs w:val="24"/>
          <w:color w:val="auto"/>
        </w:rPr>
      </w:pPr>
    </w:p>
    <w:p>
      <w:pPr>
        <w:sectPr>
          <w:pgSz w:w="11900" w:h="16838" w:orient="portrait"/>
          <w:cols w:equalWidth="0" w:num="2">
            <w:col w:w="7460" w:space="720"/>
            <w:col w:w="3060"/>
          </w:cols>
          <w:pgMar w:left="320" w:top="1033" w:right="339" w:bottom="1440" w:gutter="0" w:footer="0" w:header="0"/>
          <w:type w:val="continuous"/>
        </w:sectPr>
      </w:pPr>
    </w:p>
    <w:p>
      <w:pPr>
        <w:spacing w:after="0" w:line="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107" w:lineRule="exact"/>
        <w:rPr>
          <w:sz w:val="24"/>
          <w:szCs w:val="24"/>
          <w:color w:val="auto"/>
        </w:rPr>
      </w:pPr>
    </w:p>
    <w:p>
      <w:pPr>
        <w:sectPr>
          <w:pgSz w:w="11900" w:h="16838" w:orient="portrait"/>
          <w:cols w:equalWidth="0" w:num="2">
            <w:col w:w="6640" w:space="720"/>
            <w:col w:w="3880"/>
          </w:cols>
          <w:pgMar w:left="320" w:top="1033"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Austin,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78728</w:t>
      </w:r>
    </w:p>
    <w:p>
      <w:pPr>
        <w:spacing w:after="0" w:line="31" w:lineRule="exact"/>
        <w:rPr>
          <w:sz w:val="24"/>
          <w:szCs w:val="24"/>
          <w:color w:val="auto"/>
        </w:rPr>
      </w:pPr>
    </w:p>
    <w:p>
      <w:pPr>
        <w:sectPr>
          <w:pgSz w:w="11900" w:h="16838" w:orient="portrait"/>
          <w:cols w:equalWidth="0" w:num="4">
            <w:col w:w="3760" w:space="320"/>
            <w:col w:w="560" w:space="200"/>
            <w:col w:w="2820" w:space="720"/>
            <w:col w:w="2860"/>
          </w:cols>
          <w:pgMar w:left="320" w:top="1033"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15" w:lineRule="exact"/>
        <w:rPr>
          <w:sz w:val="24"/>
          <w:szCs w:val="24"/>
          <w:color w:val="auto"/>
        </w:rPr>
      </w:pPr>
    </w:p>
    <w:p>
      <w:pPr>
        <w:sectPr>
          <w:pgSz w:w="11900" w:h="16838" w:orient="portrait"/>
          <w:cols w:equalWidth="0" w:num="2">
            <w:col w:w="7520" w:space="720"/>
            <w:col w:w="3000"/>
          </w:cols>
          <w:pgMar w:left="320" w:top="10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941-7100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ectPr>
          <w:pgSz w:w="11900" w:h="16838" w:orient="portrait"/>
          <w:cols w:equalWidth="0" w:num="1">
            <w:col w:w="11240"/>
          </w:cols>
          <w:pgMar w:left="320" w:top="1033" w:right="339" w:bottom="1440" w:gutter="0" w:footer="0" w:header="0"/>
          <w:type w:val="continuous"/>
        </w:sectPr>
      </w:pPr>
    </w:p>
    <w:p>
      <w:pPr>
        <w:spacing w:after="0" w:line="7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Common Stock</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AVNW</w:t>
            </w: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00" w:type="dxa"/>
            <w:vAlign w:val="bottom"/>
          </w:tcPr>
          <w:p>
            <w:pPr>
              <w:spacing w:after="0"/>
              <w:rPr>
                <w:sz w:val="23"/>
                <w:szCs w:val="23"/>
                <w:color w:val="auto"/>
              </w:rPr>
            </w:pP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April 29, 2024 was 12,565,284.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2024</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29"/>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1A. 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6. Exhibits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30"/>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30"/>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252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6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196,794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175,473</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79,941</w:t>
            </w:r>
          </w:p>
        </w:tc>
      </w:tr>
      <w:tr>
        <w:trPr>
          <w:trHeight w:val="223"/>
        </w:trPr>
        <w:tc>
          <w:tcPr>
            <w:tcW w:w="5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255,414</w:t>
            </w: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111,567</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52,340</w:t>
            </w:r>
          </w:p>
        </w:tc>
      </w:tr>
      <w:tr>
        <w:trPr>
          <w:trHeight w:val="223"/>
        </w:trPr>
        <w:tc>
          <w:tcPr>
            <w:tcW w:w="5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163,907</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91,507</w:t>
            </w: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49,913</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(recovery) charges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23"/>
        </w:trPr>
        <w:tc>
          <w:tcPr>
            <w:tcW w:w="5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71,420</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17,337</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r>
      <w:tr>
        <w:trPr>
          <w:trHeight w:val="229"/>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2880" w:type="dxa"/>
            <w:vAlign w:val="bottom"/>
            <w:gridSpan w:val="4"/>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8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31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00" w:type="dxa"/>
            <w:vAlign w:val="bottom"/>
          </w:tcPr>
          <w:p>
            <w:pPr>
              <w:spacing w:after="0"/>
              <w:rPr>
                <w:sz w:val="16"/>
                <w:szCs w:val="16"/>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$1,250 and $719</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33,057</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c>
          <w:tcPr>
            <w:tcW w:w="0" w:type="dxa"/>
            <w:vAlign w:val="bottom"/>
          </w:tcPr>
          <w:p>
            <w:pPr>
              <w:spacing w:after="0"/>
              <w:rPr>
                <w:sz w:val="1"/>
                <w:szCs w:val="1"/>
                <w:color w:val="auto"/>
              </w:rPr>
            </w:pPr>
          </w:p>
        </w:tc>
      </w:tr>
      <w:tr>
        <w:trPr>
          <w:trHeight w:val="223"/>
        </w:trPr>
        <w:tc>
          <w:tcPr>
            <w:tcW w:w="7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237,704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364,496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60,141</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130,061</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 million shares authorized, none issued</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1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 million shares authorized, 12.6 million shares</w:t>
            </w:r>
          </w:p>
        </w:tc>
        <w:tc>
          <w:tcPr>
            <w:tcW w:w="1180" w:type="dxa"/>
            <w:vAlign w:val="bottom"/>
            <w:gridSpan w:val="2"/>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issued and</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49"/>
        </w:trPr>
        <w:tc>
          <w:tcPr>
            <w:tcW w:w="7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outstanding at March 29, 2024; 11.5 million shares issued and outstanding at June 30, 2023</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12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0" w:type="dxa"/>
            <w:vAlign w:val="bottom"/>
          </w:tcPr>
          <w:p>
            <w:pPr>
              <w:spacing w:after="0"/>
              <w:rPr>
                <w:sz w:val="1"/>
                <w:szCs w:val="1"/>
                <w:color w:val="auto"/>
              </w:rPr>
            </w:pPr>
          </w:p>
        </w:tc>
      </w:tr>
      <w:tr>
        <w:trPr>
          <w:trHeight w:val="230"/>
        </w:trPr>
        <w:tc>
          <w:tcPr>
            <w:tcW w:w="7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830,048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(587,914)</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220,098</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364,496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260" w:type="dxa"/>
            <w:vAlign w:val="bottom"/>
          </w:tcPr>
          <w:p>
            <w:pPr>
              <w:spacing w:after="0"/>
              <w:rPr>
                <w:sz w:val="13"/>
                <w:szCs w:val="13"/>
                <w:color w:val="auto"/>
              </w:rPr>
            </w:pPr>
          </w:p>
        </w:tc>
        <w:tc>
          <w:tcPr>
            <w:tcW w:w="1280" w:type="dxa"/>
            <w:vAlign w:val="bottom"/>
          </w:tcPr>
          <w:p>
            <w:pPr>
              <w:jc w:val="right"/>
              <w:ind w:right="33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uncollectible receivables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write-downs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 loss on marketable securities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(17,719)</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(13,342)</w:t>
            </w:r>
          </w:p>
        </w:tc>
      </w:tr>
      <w:tr>
        <w:trPr>
          <w:trHeight w:val="22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(15,769)</w:t>
            </w:r>
          </w:p>
        </w:tc>
      </w:tr>
      <w:tr>
        <w:trPr>
          <w:trHeight w:val="223"/>
        </w:trPr>
        <w:tc>
          <w:tcPr>
            <w:tcW w:w="8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(11,661)</w:t>
            </w: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50,200</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revolver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term loan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term loan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 - treasury shares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3"/>
        </w:trPr>
        <w:tc>
          <w:tcPr>
            <w:tcW w:w="8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22,666</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8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issued in connection with acquisition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29, 2024</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740" w:type="dxa"/>
            <w:vAlign w:val="bottom"/>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3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29,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12,521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856,735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(581,019)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253,936</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62"/>
        </w:trPr>
        <w:tc>
          <w:tcPr>
            <w:tcW w:w="316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6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162"/>
        </w:trPr>
        <w:tc>
          <w:tcPr>
            <w:tcW w:w="316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Common stock issued in connection with</w:t>
            </w:r>
          </w:p>
        </w:tc>
        <w:tc>
          <w:tcPr>
            <w:tcW w:w="11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11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29,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12,562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858,228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258,507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6"/>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740" w:type="dxa"/>
            <w:vAlign w:val="bottom"/>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9"/>
        </w:trPr>
        <w:tc>
          <w:tcPr>
            <w:tcW w:w="316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30, 2022</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11,378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826,812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(596,142)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(16,141)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208,496</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162"/>
        </w:trPr>
        <w:tc>
          <w:tcPr>
            <w:tcW w:w="31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60" w:type="dxa"/>
            <w:vAlign w:val="bottom"/>
            <w:gridSpan w:val="2"/>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1,638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0" w:type="dxa"/>
            <w:vAlign w:val="bottom"/>
          </w:tcPr>
          <w:p>
            <w:pPr>
              <w:spacing w:after="0"/>
              <w:rPr>
                <w:sz w:val="1"/>
                <w:szCs w:val="1"/>
                <w:color w:val="auto"/>
              </w:rPr>
            </w:pPr>
          </w:p>
        </w:tc>
      </w:tr>
      <w:tr>
        <w:trPr>
          <w:trHeight w:val="232"/>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11,437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828,411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(591,253)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215,354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 w:name="page8"/>
    <w:bookmarkEnd w:id="7"/>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March 29, 2024</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31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11,518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830,048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(587,914)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(16,004)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220,098</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1,001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1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equity awards</w:t>
            </w:r>
          </w:p>
        </w:tc>
        <w:tc>
          <w:tcPr>
            <w:tcW w:w="10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repurchase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Common stock issued in connection with</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22,324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29, 2024</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12,562</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858,228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(577,601)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(15,767)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258,507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March 31, 2023</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July 1, 2022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11,161</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(6,147)</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823,259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(599,442)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201,753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41"/>
              <w:spacing w:after="0"/>
              <w:rPr>
                <w:sz w:val="20"/>
                <w:szCs w:val="20"/>
                <w:color w:val="auto"/>
              </w:rPr>
            </w:pPr>
            <w:r>
              <w:rPr>
                <w:rFonts w:ascii="Times New Roman" w:cs="Times New Roman" w:eastAsia="Times New Roman" w:hAnsi="Times New Roman"/>
                <w:sz w:val="16"/>
                <w:szCs w:val="16"/>
                <w:color w:val="auto"/>
              </w:rPr>
              <w:t>(1,055)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of equity awards</w:t>
            </w:r>
          </w:p>
        </w:tc>
        <w:tc>
          <w:tcPr>
            <w:tcW w:w="106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11,437</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(6,147)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828,411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(591,253)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(15,771)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215,354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0" w:right="359" w:bottom="1440" w:gutter="0" w:footer="0" w:header="0"/>
        </w:sectPr>
      </w:pPr>
    </w:p>
    <w:bookmarkStart w:id="8" w:name="page9"/>
    <w:bookmarkEnd w:id="8"/>
    <w:p>
      <w:pPr>
        <w:ind w:left="45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presentation of financial position, results of operations and cash flows for such periods. The results for the nine months ended March 29, 2024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30, 2023.</w:t>
      </w:r>
    </w:p>
    <w:p>
      <w:pPr>
        <w:spacing w:after="0" w:line="1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fiscal year includes 52 or 53 weeks and ends on the Friday nearest to June 30. The three months ended March 29, 2024 and March 31, 2023 both consisted of 13 weeks. Fiscal year 2024 contains 52 weeks and will end on June 28, 2024. Fiscal year 2023 contained 52 weeks and ended on June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of and for the nine months ended March 29, 2024, as compared to the significant accounting policies described in the Company’s Annual Report on Form 10-K for the fiscal year ended June 30, 2023.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is currently evaluating the impact of the ASU on its consolidated financial statements.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Per Share of Common Stock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per share: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3340" w:type="dxa"/>
            <w:vAlign w:val="bottom"/>
            <w:gridSpan w:val="4"/>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37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3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w:t>
            </w:r>
          </w:p>
        </w:tc>
      </w:tr>
      <w:tr>
        <w:trPr>
          <w:trHeight w:val="230"/>
        </w:trPr>
        <w:tc>
          <w:tcPr>
            <w:tcW w:w="3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48"/>
        </w:trPr>
        <w:tc>
          <w:tcPr>
            <w:tcW w:w="3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75"/>
        </w:trPr>
        <w:tc>
          <w:tcPr>
            <w:tcW w:w="37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4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bl>
    <w:p>
      <w:pPr>
        <w:spacing w:after="0" w:line="238"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per share calculations since they were anti-dilutive: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322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Borders>
              <w:bottom w:val="single" w:sz="8" w:color="auto"/>
            </w:tcBorders>
            <w:gridSpan w:val="4"/>
          </w:tcPr>
          <w:p>
            <w:pPr>
              <w:ind w:left="11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40" w:type="dxa"/>
            <w:vAlign w:val="bottom"/>
            <w:tcBorders>
              <w:bottom w:val="single" w:sz="8" w:color="auto"/>
            </w:tcBorders>
          </w:tcPr>
          <w:p>
            <w:pPr>
              <w:spacing w:after="0"/>
              <w:rPr>
                <w:sz w:val="18"/>
                <w:szCs w:val="18"/>
                <w:color w:val="auto"/>
              </w:rPr>
            </w:pPr>
          </w:p>
        </w:tc>
      </w:tr>
      <w:tr>
        <w:trPr>
          <w:trHeight w:val="159"/>
        </w:trPr>
        <w:tc>
          <w:tcPr>
            <w:tcW w:w="3760" w:type="dxa"/>
            <w:vAlign w:val="bottom"/>
          </w:tcPr>
          <w:p>
            <w:pPr>
              <w:spacing w:after="0"/>
              <w:rPr>
                <w:sz w:val="13"/>
                <w:szCs w:val="13"/>
                <w:color w:val="auto"/>
              </w:rPr>
            </w:pPr>
          </w:p>
        </w:tc>
        <w:tc>
          <w:tcPr>
            <w:tcW w:w="1340" w:type="dxa"/>
            <w:vAlign w:val="bottom"/>
          </w:tcPr>
          <w:p>
            <w:pPr>
              <w:jc w:val="center"/>
              <w:ind w:left="3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left="3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left="3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left="3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440" w:type="dxa"/>
            <w:vAlign w:val="bottom"/>
          </w:tcPr>
          <w:p>
            <w:pPr>
              <w:spacing w:after="0"/>
              <w:rPr>
                <w:sz w:val="13"/>
                <w:szCs w:val="13"/>
                <w:color w:val="auto"/>
              </w:rPr>
            </w:pPr>
          </w:p>
        </w:tc>
      </w:tr>
      <w:tr>
        <w:trPr>
          <w:trHeight w:val="214"/>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90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18"/>
                <w:szCs w:val="18"/>
                <w:color w:val="auto"/>
              </w:rPr>
            </w:pPr>
          </w:p>
        </w:tc>
      </w:tr>
      <w:tr>
        <w:trPr>
          <w:trHeight w:val="225"/>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3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3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40" w:type="dxa"/>
            <w:vAlign w:val="bottom"/>
          </w:tcPr>
          <w:p>
            <w:pPr>
              <w:spacing w:after="0"/>
              <w:rPr>
                <w:sz w:val="16"/>
                <w:szCs w:val="16"/>
                <w:color w:val="auto"/>
              </w:rPr>
            </w:pP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commissions</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44,268</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29, 2024, the Company reported $49.8 million in advance payments and unearned revenue and long-term unearned revenue, of which approximately 64% is expected to be recognized as revenue in the next twelve months and the remainder thereafter. Approximately $9.2 million and $29.1 million, respectively, of revenue was recognized during the three and nine months ended March 29, 2024, which was included in advance payments and unearned revenue at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aggregate amount of transaction price allocated to unsatisfied (or partially unsatisfied) performance obligations was approximately $154.5 million at March 29, 2024. Of this amount, approximately 50% is expected to be recognized as revenue during the next 12 months, with the remaining amount to be recognized thereafter. The unsatisfied (or partially unsatisfied) performance obligations excludes the impact of the NEC Transaction (as defined below). See Note 12. Acquisitions for further information. The Company is in the process of reviewing the contracts acquired in connection with the NEC Transaction. However, due to the timing of the closing of the NEC Transaction and delivery of related data, there was insufficient time to finalize the analysis for incorporation into this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376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35"/>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Pr>
          <w:p>
            <w:pPr>
              <w:spacing w:after="0"/>
              <w:rPr>
                <w:sz w:val="13"/>
                <w:szCs w:val="13"/>
                <w:color w:val="auto"/>
              </w:rPr>
            </w:pPr>
          </w:p>
        </w:tc>
        <w:tc>
          <w:tcPr>
            <w:tcW w:w="146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61"/>
        </w:trPr>
        <w:tc>
          <w:tcPr>
            <w:tcW w:w="376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28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costs</w:t>
            </w:r>
          </w:p>
        </w:tc>
        <w:tc>
          <w:tcPr>
            <w:tcW w:w="1280" w:type="dxa"/>
            <w:vAlign w:val="bottom"/>
            <w:tcBorders>
              <w:bottom w:val="single" w:sz="8" w:color="auto"/>
            </w:tcBorders>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0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The weighted average lease term and discount rate as of March 29, 2024 were as follows: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years</w:t>
            </w:r>
          </w:p>
        </w:tc>
        <w:tc>
          <w:tcPr>
            <w:tcW w:w="0" w:type="dxa"/>
            <w:vAlign w:val="bottom"/>
          </w:tcPr>
          <w:p>
            <w:pPr>
              <w:spacing w:after="0"/>
              <w:rPr>
                <w:sz w:val="1"/>
                <w:szCs w:val="1"/>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29, 2024, future minimum lease payments under all non-cancelable operating leases with an initial term in excess of one year were as follows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9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48"/>
        </w:trPr>
        <w:tc>
          <w:tcPr>
            <w:tcW w:w="9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cash, cash equivalents, and restricted cash reported within the unaudited condensed consolidated balance sheets that reconciles to the corresponding amount in the unaudited condensed consolidated statement of cash flows: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4960" w:type="dxa"/>
            <w:vAlign w:val="bottom"/>
          </w:tcPr>
          <w:p>
            <w:pPr>
              <w:jc w:val="center"/>
              <w:ind w:left="2919"/>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122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9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 in the Statement of Cash Flows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7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60" w:type="dxa"/>
            <w:vAlign w:val="bottom"/>
          </w:tcPr>
          <w:p>
            <w:pPr>
              <w:spacing w:after="0"/>
              <w:rPr>
                <w:sz w:val="24"/>
                <w:szCs w:val="24"/>
                <w:color w:val="auto"/>
              </w:rPr>
            </w:pP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3"/>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charges to adjust inventories due to excess and obsolete inventory resulting from lower sales forecasts, product transitioning or discontinuance. The charges incurred during the three and nine months ended March 29, 2024 and March 31, 2023 were included in cost of product sales as follows: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10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378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15"/>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Pr>
          <w:p>
            <w:pPr>
              <w:spacing w:after="0"/>
              <w:rPr>
                <w:sz w:val="13"/>
                <w:szCs w:val="13"/>
                <w:color w:val="auto"/>
              </w:rPr>
            </w:pPr>
          </w:p>
        </w:tc>
        <w:tc>
          <w:tcPr>
            <w:tcW w:w="1460" w:type="dxa"/>
            <w:vAlign w:val="bottom"/>
          </w:tcPr>
          <w:p>
            <w:pPr>
              <w:jc w:val="right"/>
              <w:ind w:right="454"/>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obsolete inventory</w:t>
            </w: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 charges</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40" w:type="dxa"/>
            <w:vAlign w:val="bottom"/>
          </w:tcPr>
          <w:p>
            <w:pPr>
              <w:spacing w:after="0"/>
              <w:rPr>
                <w:sz w:val="16"/>
                <w:szCs w:val="16"/>
                <w:color w:val="auto"/>
              </w:rPr>
            </w:pP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Due from related party</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manufacturing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r>
      <w:tr>
        <w:trPr>
          <w:trHeight w:val="23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w:t>
            </w:r>
          </w:p>
        </w:tc>
      </w:tr>
      <w:tr>
        <w:trPr>
          <w:trHeight w:val="248"/>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2024, management initiated the sale of the Company’s property located in New Zealand. The Company expects to complete the sale within twelve months. As of March 29, 2024, the aggregate carrying value of the assets held for sale was $2.7 million.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60" w:type="dxa"/>
            <w:vAlign w:val="bottom"/>
          </w:tcPr>
          <w:p>
            <w:pPr>
              <w:spacing w:after="0"/>
              <w:rPr>
                <w:sz w:val="16"/>
                <w:szCs w:val="16"/>
                <w:color w:val="auto"/>
              </w:rPr>
            </w:pP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47,150</w:t>
            </w:r>
          </w:p>
        </w:tc>
      </w:tr>
      <w:tr>
        <w:trPr>
          <w:trHeight w:val="22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70,238</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(60,786)</w:t>
            </w:r>
          </w:p>
        </w:tc>
      </w:tr>
      <w:tr>
        <w:trPr>
          <w:trHeight w:val="248"/>
        </w:trPr>
        <w:tc>
          <w:tcPr>
            <w:tcW w:w="7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Included in the total property, plant and equipment, gross were $1.3 million and $0.4 million of assets in progress which have not been placed in service as of March 29, 2024 and June 30, 2023, respectively.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2024, $0.2 million of land, $4.7 million of buildings and improvements, and $2.2 million of accumulated depreciation, were reclassified from property, plant and equipment, net to Assets held for sale on the Company’s unaudited condensed consolidated balance sheets.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related to property, plant and equipment, was as follows: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00" w:type="dxa"/>
            <w:vAlign w:val="bottom"/>
            <w:tcBorders>
              <w:bottom w:val="single" w:sz="8" w:color="auto"/>
            </w:tcBorders>
          </w:tcPr>
          <w:p>
            <w:pPr>
              <w:spacing w:after="0"/>
              <w:rPr>
                <w:sz w:val="18"/>
                <w:szCs w:val="18"/>
                <w:color w:val="auto"/>
              </w:rPr>
            </w:pPr>
          </w:p>
        </w:tc>
      </w:tr>
      <w:tr>
        <w:trPr>
          <w:trHeight w:val="158"/>
        </w:trPr>
        <w:tc>
          <w:tcPr>
            <w:tcW w:w="3760" w:type="dxa"/>
            <w:vAlign w:val="bottom"/>
          </w:tcPr>
          <w:p>
            <w:pPr>
              <w:spacing w:after="0"/>
              <w:rPr>
                <w:sz w:val="13"/>
                <w:szCs w:val="13"/>
                <w:color w:val="auto"/>
              </w:rPr>
            </w:pPr>
          </w:p>
        </w:tc>
        <w:tc>
          <w:tcPr>
            <w:tcW w:w="1260" w:type="dxa"/>
            <w:vAlign w:val="bottom"/>
          </w:tcPr>
          <w:p>
            <w:pPr>
              <w:jc w:val="center"/>
              <w:ind w:left="437"/>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left="41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437"/>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left="416"/>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500" w:type="dxa"/>
            <w:vAlign w:val="bottom"/>
          </w:tcPr>
          <w:p>
            <w:pPr>
              <w:spacing w:after="0"/>
              <w:rPr>
                <w:sz w:val="13"/>
                <w:szCs w:val="13"/>
                <w:color w:val="auto"/>
              </w:rPr>
            </w:pPr>
          </w:p>
        </w:tc>
      </w:tr>
      <w:tr>
        <w:trPr>
          <w:trHeight w:val="214"/>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r>
      <w:tr>
        <w:trPr>
          <w:trHeight w:val="22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60" w:type="dxa"/>
            <w:vAlign w:val="bottom"/>
          </w:tcPr>
          <w:p>
            <w:pPr>
              <w:spacing w:after="0"/>
              <w:rPr>
                <w:sz w:val="16"/>
                <w:szCs w:val="16"/>
                <w:color w:val="auto"/>
              </w:rPr>
            </w:pP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party</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accrues for the estimated cost to repair or replace products under warranty. Changes in the warranty liability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5"/>
          </w:tcPr>
          <w:p>
            <w:pPr>
              <w:jc w:val="right"/>
              <w:ind w:right="105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3"/>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320" w:type="dxa"/>
            <w:vAlign w:val="bottom"/>
          </w:tcPr>
          <w:p>
            <w:pPr>
              <w:spacing w:after="0"/>
              <w:rPr>
                <w:sz w:val="13"/>
                <w:szCs w:val="13"/>
                <w:color w:val="auto"/>
              </w:rPr>
            </w:pPr>
          </w:p>
        </w:tc>
        <w:tc>
          <w:tcPr>
            <w:tcW w:w="1440" w:type="dxa"/>
            <w:vAlign w:val="bottom"/>
          </w:tcPr>
          <w:p>
            <w:pPr>
              <w:jc w:val="center"/>
              <w:ind w:right="2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1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in acquisition</w:t>
            </w:r>
          </w:p>
        </w:tc>
        <w:tc>
          <w:tcPr>
            <w:tcW w:w="12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78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Pr>
          <w:p>
            <w:pPr>
              <w:spacing w:after="0"/>
              <w:rPr>
                <w:sz w:val="24"/>
                <w:szCs w:val="24"/>
                <w:color w:val="auto"/>
              </w:rPr>
            </w:pPr>
          </w:p>
        </w:tc>
        <w:tc>
          <w:tcPr>
            <w:tcW w:w="144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2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advance payments and unearned revenue</w:t>
            </w:r>
          </w:p>
        </w:tc>
        <w:tc>
          <w:tcPr>
            <w:tcW w:w="1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$7.7 million and $7.4 million in long-term unearned revenue as of March 29, 2024 and June 30,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spacing w:after="0" w:line="7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 w:name="page15"/>
    <w:bookmarkEnd w:id="14"/>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values and valuation input levels of assets and liabilities that are measured at fair value on a recurring basis as of March 29, 2024 and June 30, 2023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260" w:type="dxa"/>
            <w:vAlign w:val="bottom"/>
          </w:tcPr>
          <w:p>
            <w:pPr>
              <w:spacing w:after="0"/>
              <w:rPr>
                <w:sz w:val="18"/>
                <w:szCs w:val="18"/>
                <w:color w:val="auto"/>
              </w:rPr>
            </w:pPr>
          </w:p>
        </w:tc>
        <w:tc>
          <w:tcPr>
            <w:tcW w:w="152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60" w:type="dxa"/>
            <w:vAlign w:val="bottom"/>
          </w:tcPr>
          <w:p>
            <w:pPr>
              <w:spacing w:after="0"/>
              <w:rPr>
                <w:sz w:val="19"/>
                <w:szCs w:val="19"/>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Valuation Inputs</w:t>
            </w:r>
          </w:p>
        </w:tc>
      </w:tr>
      <w:tr>
        <w:trPr>
          <w:trHeight w:val="21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29"/>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Items are classified within Level 1 if quoted prices are available in active markets. The Company’s Level 1 items are primarily money market funds and marketable securities. As of March 29, 2024 and June 30, 2023, the money market funds were valued at $1.00 net asset value per share. Marketable securities include publicly traded stock measured at fair value and classified within Level 1.</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 2. The carrying value of bank certificates of deposit approximates their fair value.</w:t>
      </w:r>
    </w:p>
    <w:p>
      <w:pPr>
        <w:spacing w:after="0" w:line="122" w:lineRule="exact"/>
        <w:rPr>
          <w:sz w:val="20"/>
          <w:szCs w:val="20"/>
          <w:color w:val="auto"/>
        </w:rPr>
      </w:pPr>
    </w:p>
    <w:p>
      <w:pPr>
        <w:ind w:right="1360" w:firstLine="486"/>
        <w:spacing w:after="0" w:line="438" w:lineRule="auto"/>
        <w:rPr>
          <w:sz w:val="20"/>
          <w:szCs w:val="20"/>
          <w:color w:val="auto"/>
        </w:rPr>
      </w:pPr>
      <w:r>
        <w:rPr>
          <w:rFonts w:ascii="Times New Roman" w:cs="Times New Roman" w:eastAsia="Times New Roman" w:hAnsi="Times New Roman"/>
          <w:sz w:val="18"/>
          <w:szCs w:val="18"/>
          <w:color w:val="auto"/>
        </w:rPr>
        <w:t xml:space="preserve">As of March 29, 2024 and June 30, 2023, there were no recurring assets or liabilities valued using significant unobservable inputs. </w:t>
      </w:r>
      <w:r>
        <w:rPr>
          <w:rFonts w:ascii="Times New Roman" w:cs="Times New Roman" w:eastAsia="Times New Roman" w:hAnsi="Times New Roman"/>
          <w:sz w:val="18"/>
          <w:szCs w:val="18"/>
          <w:b w:val="1"/>
          <w:bCs w:val="1"/>
          <w:color w:val="auto"/>
        </w:rPr>
        <w:t>Note 7. Credit Facility and Debt</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Revolver can be borrowed with a $10.0 million sub-limit for letters of credit, and a $10.0 million swingline loan sub-limit.</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(as defined below). See Note 12. Acquisitions for further information.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29, 2024, the available credit under the Revolver was $35.2 million, reflecting the available limit of $40.0 million less outstanding letters of credit of $4.8 million. The Company borrowed $33.2 million and repaid $33.2 million against the Revolver during the nine months ended March 29, 2024. As of March 29, 2024, the Company had $49.4 million outstanding under its Term Loan and no borrowings under its Revolver.</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the Company’s outstanding long-term debt as of March 29, 2024:</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w:t>
            </w:r>
          </w:p>
        </w:tc>
      </w:tr>
      <w:tr>
        <w:trPr>
          <w:trHeight w:val="229"/>
        </w:trPr>
        <w:tc>
          <w:tcPr>
            <w:tcW w:w="9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3"/>
        </w:trPr>
        <w:tc>
          <w:tcPr>
            <w:tcW w:w="9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48,947</w:t>
            </w:r>
          </w:p>
        </w:tc>
      </w:tr>
      <w:tr>
        <w:trPr>
          <w:trHeight w:val="229"/>
        </w:trPr>
        <w:tc>
          <w:tcPr>
            <w:tcW w:w="9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r>
      <w:tr>
        <w:trPr>
          <w:trHeight w:val="248"/>
        </w:trPr>
        <w:tc>
          <w:tcPr>
            <w:tcW w:w="9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46,552</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March 29, 2024, the applicable margin on Adjusted Term SOFR and Base Rate borrowings was 2.50% and 1.50%, respectively. The effective rate of interest on the outstanding Term Loan borrowings as of March 29, 2024 was 7.9%.</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March 29, 2024, the Company was in compliance with all financial covenants contained in the Credit Facility.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29, 2024, scheduled maturities of outstanding long-term debt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Restructuring</w:t>
            </w: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7"/>
          </w:tcPr>
          <w:p>
            <w:pPr>
              <w:jc w:val="center"/>
              <w:ind w:left="1032"/>
              <w:spacing w:after="0"/>
              <w:rPr>
                <w:sz w:val="20"/>
                <w:szCs w:val="20"/>
                <w:color w:val="auto"/>
              </w:rPr>
            </w:pPr>
            <w:r>
              <w:rPr>
                <w:rFonts w:ascii="Times New Roman" w:cs="Times New Roman" w:eastAsia="Times New Roman" w:hAnsi="Times New Roman"/>
                <w:sz w:val="16"/>
                <w:szCs w:val="16"/>
                <w:b w:val="1"/>
                <w:bCs w:val="1"/>
                <w:color w:val="auto"/>
              </w:rPr>
              <w:t>Employee Severance and Benefits</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Fiscal 2024 Plans</w:t>
            </w:r>
          </w:p>
        </w:tc>
        <w:tc>
          <w:tcPr>
            <w:tcW w:w="200" w:type="dxa"/>
            <w:vAlign w:val="bottom"/>
          </w:tcPr>
          <w:p>
            <w:pPr>
              <w:spacing w:after="0"/>
              <w:rPr>
                <w:sz w:val="18"/>
                <w:szCs w:val="18"/>
                <w:color w:val="auto"/>
              </w:rPr>
            </w:pPr>
          </w:p>
        </w:tc>
        <w:tc>
          <w:tcPr>
            <w:tcW w:w="16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Prior Years’ Plans</w:t>
            </w:r>
          </w:p>
        </w:tc>
        <w:tc>
          <w:tcPr>
            <w:tcW w:w="46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June 30,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balance, September 29, 2023</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balance, December 29, 2023</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Charges (recoveries),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balance, March 29, 2024</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29, 2024, the accrual balance of $0.4 million was classified as current.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2024, the Company’s Board of Directors approved restructuring plans, primarily associated with the NEC Transaction (as defined below) and reductions in workforce in certain of the Company’s operations to optimize skill sets and align cost structure. The fiscal 2024 plans are expected to be completed through the end of calendar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Years’ Plans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Activities under the prior years’ plans primarily included reductions in workforce across the Company, associated with the acquisition of Redline (as defined below) and certain of the Company’s operations outside the United States. Payments related to the accrued restructuring balance for these plans are complete.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March 29, 2024, $6.9 million remains available and Aviat may choose to suspend or discontinue the repurchase program at any time. Repurchased shares are recorded as treasury stock. During the third quarter of fiscal 2024, the Company did not repurchase any shares of its common stock. During the nine months ended March 29, 2024, the Company repurchased 11,208 shares of its common stock in the open market for an aggregate purchase price, including commissions, of $0.3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29, 2024,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1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Vesting of performance share awards and units is subject to the achievement of predetermined financial performance and share price criteria, and continued employment through the end of the applicable period.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29, 2024, the Company granted 100,689 restricted stock units, 64,643 performance share awards and 151,094 stock options.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compensation expense for share-based awards included in the unaudited condensed consolidated statements of operations was as follows: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105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Pr>
          <w:p>
            <w:pPr>
              <w:spacing w:after="0"/>
              <w:rPr>
                <w:sz w:val="13"/>
                <w:szCs w:val="13"/>
                <w:color w:val="auto"/>
              </w:rPr>
            </w:pPr>
          </w:p>
        </w:tc>
        <w:tc>
          <w:tcPr>
            <w:tcW w:w="144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37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1"/>
        </w:trPr>
        <w:tc>
          <w:tcPr>
            <w:tcW w:w="1720" w:type="dxa"/>
            <w:vAlign w:val="bottom"/>
            <w:tcBorders>
              <w:bottom w:val="single" w:sz="8" w:color="auto"/>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9"/>
              </w:rPr>
              <w:t>By Expense Category:</w:t>
            </w:r>
          </w:p>
        </w:tc>
        <w:tc>
          <w:tcPr>
            <w:tcW w:w="20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26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By Type of Award:</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40" w:type="dxa"/>
            <w:vAlign w:val="bottom"/>
            <w:gridSpan w:val="3"/>
            <w:vMerge w:val="continue"/>
          </w:tcPr>
          <w:p>
            <w:pPr>
              <w:spacing w:after="0"/>
              <w:rPr>
                <w:sz w:val="11"/>
                <w:szCs w:val="11"/>
                <w:color w:val="auto"/>
              </w:rPr>
            </w:pPr>
          </w:p>
        </w:tc>
        <w:tc>
          <w:tcPr>
            <w:tcW w:w="1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175"/>
        </w:trPr>
        <w:tc>
          <w:tcPr>
            <w:tcW w:w="3740" w:type="dxa"/>
            <w:vAlign w:val="bottom"/>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Restricted stock and performance share awards</w:t>
            </w:r>
          </w:p>
        </w:tc>
        <w:tc>
          <w:tcPr>
            <w:tcW w:w="1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and units</w:t>
            </w: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29, 2024, there was approximately $2.7 million of total unrecognized compensation expense related to non-vested stock options granted which is expected to be recognized over a weighted-average period of 1.9 years. As of March 29, 2024, there was $8.2 million of total unrecognized compensation expense related to non-vested stock awards which is expected to be recognized over a weighted-average period of 1.5 years.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10. Segment and Geographic Information</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Aviat operates in one reportable business segment: the design, manufacturing, and sale of wireless networking products, solutions, and services. The Company’s financial performance is regularly reviewed by its chief operating decision maker who is its Chief Executive Officer (“CEO”).</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revenue by region and country based on the location where its customers accept delivery of products and services. Revenue by region for the three and nine months ended March 29, 2024 and March 31, 2023 was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3340" w:type="dxa"/>
            <w:vAlign w:val="bottom"/>
            <w:gridSpan w:val="4"/>
          </w:tcPr>
          <w:p>
            <w:pPr>
              <w:jc w:val="right"/>
              <w:ind w:right="105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37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146,961</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44,354</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r>
      <w:tr>
        <w:trPr>
          <w:trHeight w:val="230"/>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50,394</w:t>
            </w:r>
          </w:p>
        </w:tc>
      </w:tr>
      <w:tr>
        <w:trPr>
          <w:trHeight w:val="248"/>
        </w:trPr>
        <w:tc>
          <w:tcPr>
            <w:tcW w:w="3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255,414</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effective tax rate varies from the U.S. federal statutory rate of 21% primarily due to non-deductible transaction costs, global intangible low-taxed income inclusion (GILTI) in the U.S., state taxes and certain jurisdictions where the tax benefit on prior year losses were not recognized. During interim periods, tax expenses are accrued for jurisdictions that are anticipated to be profitable for fiscal 2024.</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determination of income taxes for the nine months ended March 29, 2024 and March 31, 2023 was based on the Company’s estimated annual effective tax rate adjusted for losses in certain jurisdictions for which no tax benefit can be recognized. Tax expense for the nine months ended March 29, 2024 was primarily due to tax expense related to U.S. and profitable foreign subsidiaries. Tax expense for the nine months ended March 31, 2023 was primarily due to tax expense related to U.S. and profitable foreign subsidiaries, including deferred tax expense associated with the acquisition of Redline in July 2022 and the subsequent multi-step restructuring plan in which two Canadian Redline corporations converted to unlimited liability companies and then amalgamated by the end of September 2022.</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 number of years with open tax audits which vary from jurisdiction to jurisdiction. The major tax jurisdictions that are open and subject to potential audits include the U.S., Singapore, Ghana, Kenya, Nigeria, Saudi Arabia and Tanzania. The earliest years for these jurisdictions are as follows: U.S. - 2003; Singapore - 2015; Ghana – 2016; Kenya – 2018; Nigeria – 2006; Saudi Arabia – 2019 and Tanzania - 2017.</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accounted for as part of the provision for federal, foreign, and state income taxes. Such interest expense was not material for the nine months ended March 29, 2024 and March 31, 2023.</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The Company will continue to evaluate the applicability and effect of the IRA as more guidance is issued.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 (the “Closing Date”).</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Closing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Closing Date.</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Closing Date. Aggregate consideration transferred at closing was approximately $54.5 million, which is subject to certain post-closing adjustments. The Company estimates additional cash consideration of approximately $22.4 million will be transferred to NEC in the first quarter of fiscal 2025, primarily related to settlement of the post-closing working capital adjustment. As of March 29, 2024, the accrual balance related to the estimated additional consideration was included in other current liabilities on the unaudited condensed consolidated balance sheets. The Company funded the cash portion of the consideration with Term Loan borrowings under its Credit Facility. See Note 7. Credit Facility and Debt for further information.</w:t>
      </w:r>
    </w:p>
    <w:p>
      <w:pPr>
        <w:spacing w:after="0" w:line="13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NEC Transaction was accounted for as a business combination using the acquisition method of accounting. The Company is in the process of identifying the amounts assigned to certain assets, including the acquired intangible assets and goodwill for the acquisition. The Company is in the process of obtaining independent third-party valuations of certain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costs related to the acquisition were expensed as incurred and are included in selling and administrative expenses in the consolidated statements of operations. For the three and nine months ended March 29, 2024, the Company incurred transaction costs of $1.3 million and $7.7 million, respectively.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preliminary purchase price allocation is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9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51,787</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9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r>
      <w:tr>
        <w:trPr>
          <w:trHeight w:val="230"/>
        </w:trPr>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(13,182)</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23"/>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76,889</w:t>
            </w:r>
          </w:p>
        </w:tc>
      </w:tr>
      <w:tr>
        <w:trPr>
          <w:trHeight w:val="20"/>
        </w:trPr>
        <w:tc>
          <w:tcPr>
            <w:tcW w:w="9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preliminary purchase price allocation has been updated for certain measurement period adjustments based on revised estimates of fair value, which primarily resulted in a $1.4 million decrease in inventories and a $1.5 million decrease in identifiable finite-lived intangible assets acquired. The adjustments resulted in corresponding increases to goodwill. The preliminary purchase price allocation is subject to adjustment based on the Company obtaining final independent third-party valuations, determining fair value and allocations of purchase price to the identifiable assets acquired and liabilities assumed, and determining the final consideration, including adjustments related to settlement of the final post-closing working capital adjustment.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and operating loss associated with the NEC Transaction included in the consolidated statements of operations for the three months ended March 29, 2024 were $22.5 million and $(0.4) million, respectively. Revenue and operating loss associated with the NEC Transaction included in the consolidated statements of operations from the acquisition date to the period ending March 29, 2024 were $29.8 million and $(1.2) million, respectively.</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information has been presented as if the NEC Transaction occurred at the beginning of fiscal 2023 and includes certain pro forma adjustments for interest expense, depreciation and amortization expense, the fair value of acquired inventory, and transaction costs, net of income tax:</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3360" w:type="dxa"/>
            <w:vAlign w:val="bottom"/>
            <w:gridSpan w:val="4"/>
          </w:tcPr>
          <w:p>
            <w:pPr>
              <w:jc w:val="right"/>
              <w:ind w:right="105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37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455"/>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255"/>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37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408,358</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unaudited pro forma information presented above is for informational purposes only and is not necessarily indicative of the operating results that would have occurred if the NEC Transaction occurred at the beginning of fiscal 2023, nor is it necessarily indicative of future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(“Redline”), a leading provider of mission-critical data infrastructure, for a purchase price of $20.4 million.</w:t>
      </w:r>
    </w:p>
    <w:p>
      <w:pPr>
        <w:spacing w:after="0" w:line="15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Note 12. Acquisitions to the consolidated financial statements included in the Company’s Annual Report on Form 10-K for the fiscal year ended June 30, 2023 for the final purchase price allocation, valuation methodology, and other information related to the completion of the Redline acquisition.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enter into purchasing agreements with its suppliers that require the Company to accept delivery of and remit full payment for finished products that it has ordered, finished products that it requested be held as safety stock, and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March 29, 2024, the Company had outstanding purchase obligations with its suppliers or contract manufacturers of $53.5 million. In addition, the Company had contractual obligations of approximately $4.4 million associated with software licenses.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March 29, 2024, the Company had no guarantees applicable to its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29, 2024, the Company had commercial commitments outstanding of $16.6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Company’s commercial commitments: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March 29,</w:t>
            </w:r>
          </w:p>
        </w:tc>
      </w:tr>
      <w:tr>
        <w:trPr>
          <w:trHeight w:val="214"/>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r>
      <w:tr>
        <w:trPr>
          <w:trHeight w:val="229"/>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Bonds</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March 29, 2024,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March 29, 2024, the Company had not recorded any liabilities related to these indemnifications.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directors of Aviat India appeared before the Ministry of Finance Enforcement Directorate. In March 2024, the Company appeared before the Joint Director of Enforcement to review the transactions at issue. No subsequent hearing date has been scheduled as of March 29, 2024. The Company has accrued an immaterial amount representing the estimated probable loss for which it would settle the matter. The Company currently cannot form an estimate of the range 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loss in excess of its amounts already accrued. If the outcome of this matter is greater than the current immaterial amount accrued, the Company intends to dispute it vigorously.</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Goodwill and Intangible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presents details of goodwill and intangible assets: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March 29,</w:t>
            </w:r>
          </w:p>
        </w:tc>
        <w:tc>
          <w:tcPr>
            <w:tcW w:w="340" w:type="dxa"/>
            <w:vAlign w:val="bottom"/>
          </w:tcPr>
          <w:p>
            <w:pPr>
              <w:spacing w:after="0"/>
              <w:rPr>
                <w:sz w:val="16"/>
                <w:szCs w:val="16"/>
                <w:color w:val="auto"/>
              </w:rPr>
            </w:pPr>
          </w:p>
        </w:tc>
        <w:tc>
          <w:tcPr>
            <w:tcW w:w="146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recognized goodwill of $3.1 million associated with the NEC Transaction, based on the preliminary estimated fair value of the assets acquired and liabilities assumed. See Note 12. Acquisitions for further information.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34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29,</w:t>
            </w:r>
          </w:p>
        </w:tc>
        <w:tc>
          <w:tcPr>
            <w:tcW w:w="360" w:type="dxa"/>
            <w:vAlign w:val="bottom"/>
          </w:tcPr>
          <w:p>
            <w:pPr>
              <w:spacing w:after="0"/>
              <w:rPr>
                <w:sz w:val="16"/>
                <w:szCs w:val="16"/>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useful life)</w:t>
            </w:r>
          </w:p>
        </w:tc>
        <w:tc>
          <w:tcPr>
            <w:tcW w:w="18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14 — 15</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Amortization of finite-lived intangibles for the three and nine months ended March 29, 2024 was $0.2 million and $0.7 million, respectively, and is included in selling and administrative expenses. There were no impairment charges recorded for the three and nine months ended March 29, 2024 and March 31, 2023.</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29, 2024, the estimated future amortization expense of finite-lived intangible assets is as follows (in thousands):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 Corporation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November 30, 2023, the Company completed the NEC Transaction. See Note 12. Acquisitions for further information.. A portion of the total consideration in the NEC Transaction included the issuance of 736,750 shares in Company common stock to NEC. On the Closing Date,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Closing Date (the “Initial Lock-Up Expiration Date”). Starting one day after the Initial Lock-Up Expiration Date, one-twelfth of the issued shares shall be released from the Lock-Up each month, such that all issued shares shall be released from Lock-Up by the two-year anniversary of the Closing Date. Pursuant to the Purchase Agreement, NEC will have the right to nominate a director to the Company’s Board of Directors from the Closing Date and for a period of two years thereafter. As of March 29, 2024, NEC holds approximately 5.9% of the Company’s outstanding common stock.</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NEC Transaction and as of the Closing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March 29, 2024, the Company made aggregate inventory purchases from NEC of $4.8 million. For the three months ended March 29, 2024, the Company incurred expenses of $1.2 million for transition services and $3.2 million for research and development services. For the nine months ended March 29, 2024, the Company incurred expenses of $2.2 million for transition services and $4.3 million for research and development services.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29, 2024, the Company had outstanding related party receivable balances due from NEC of $4.7 million, of which $0.5 million is included in accounts receivable, net and $4.2 million is included in other current assets on the unaudited condensed consolidated balance sheets. As of March 29, 2024, the Company had outstanding related party payable balances due to NEC of $12.9 million, of which $8.6 million is included in accounts payable and $4.3 million is included in accrued expenses on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See “Item 1A. Risk Factors” in the Company’s fiscal 2023 Annual Report on Form 10-K filed with the SEC on August 30, 2023 for more information regarding factors that may cause its results to differ materially from those expressed or implied by the forward-looking statements contained in this Quarterly Report on Form 10-Q.</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2024 and 2023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June 28, 2024 is referred to as “fiscal 2024” or “2024” and the fiscal year ended June 30, 2023 is referred to as “fiscal 2023”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 competes on the basis of total cost of ownership, microwave radio expertise and solutions for mission critical communications. Aviat has a global presence.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November 30, 2023 (the “Closing Date”), the Company completed the NEC Transaction, acquiring NEC’s wireless transport business. Prior to the Closing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See Note 12. Acquisitions of the Notes to the unaudited consolidated financial statements in this Quarterly Report on Form 10-Q for further information.</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is subject to certain post-closing adjustments. The Company estimates additional cash consideration of approximately $22.4 million will be transferred to NEC in the first quarter of fiscal 2025, primarily related to settlement of the post-closing working capital adjustment. The Company funded the cash portion of the NEC Transaction with Term Loan borrowings under its Credit Facility. See Note 7. Credit Facility and Debt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Redline Communications Group Inc.</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first quarter of fiscal 2023, the Company acquired all of the issued and outstanding shares of Redline Communications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(“Redline”), for a purchase price of $20.4 million. Redline is a leading provider of mission-critical data infrastructure.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mobile backhaul continued to be the Company’s primary addressable market segment globally in the first nine months of fiscal 2024.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However, as disclosed above and in the “Risk Factors” section in Item 1A of its Annual Report on Form 10-K filed with the SEC on August 30, 2023, a number of factors could prevent the Company from achieving its objectives, including ongoing pricing pressures attributable to competition and macroeconomic conditions in the geographic markets that it serves.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manages its sales activities primarily on a geographic basis in North America and three international geographic regions: (1) Africa and the Middle East, (2) Europe, and (3) Latin America and Asia Pacific. Revenue by region for the three and nine months ended March 29, 2024 and March 31, 2023 and the related changes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40" w:type="dxa"/>
            <w:vAlign w:val="bottom"/>
          </w:tcPr>
          <w:p>
            <w:pPr>
              <w:spacing w:after="0"/>
              <w:rPr>
                <w:sz w:val="13"/>
                <w:szCs w:val="13"/>
                <w:color w:val="auto"/>
              </w:rPr>
            </w:pPr>
          </w:p>
        </w:tc>
        <w:tc>
          <w:tcPr>
            <w:tcW w:w="10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3"/>
                <w:szCs w:val="13"/>
                <w:color w:val="auto"/>
              </w:rPr>
            </w:pPr>
          </w:p>
        </w:tc>
        <w:tc>
          <w:tcPr>
            <w:tcW w:w="10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40" w:type="dxa"/>
            <w:vAlign w:val="bottom"/>
          </w:tcPr>
          <w:p>
            <w:pPr>
              <w:spacing w:after="0"/>
              <w:rPr>
                <w:sz w:val="13"/>
                <w:szCs w:val="13"/>
                <w:color w:val="auto"/>
              </w:rPr>
            </w:pPr>
          </w:p>
        </w:tc>
        <w:tc>
          <w:tcPr>
            <w:tcW w:w="10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3"/>
                <w:szCs w:val="13"/>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0" w:type="dxa"/>
            <w:vAlign w:val="bottom"/>
          </w:tcPr>
          <w:p>
            <w:pPr>
              <w:spacing w:after="0"/>
              <w:rPr>
                <w:sz w:val="1"/>
                <w:szCs w:val="1"/>
                <w:color w:val="auto"/>
              </w:rPr>
            </w:pPr>
          </w:p>
        </w:tc>
      </w:tr>
      <w:tr>
        <w:trPr>
          <w:trHeight w:val="213"/>
        </w:trPr>
        <w:tc>
          <w:tcPr>
            <w:tcW w:w="2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 and Asia Pacific</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49,254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34,944</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244.2 %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39,343</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78.1 %</w:t>
            </w: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 North America decreased by $1.7 million during the third quarter of fiscal 2024 compared with the same period of fiscal 2023, primarily due to the near completion of a large tier 1 project. Revenue in North America increased by $4.3 million during the first nine months of fiscal 2024 compared with the same period of fiscal 2023, primarily due to private network and tier 1 demand.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left="500"/>
        <w:spacing w:after="0"/>
        <w:rPr>
          <w:sz w:val="20"/>
          <w:szCs w:val="20"/>
          <w:color w:val="auto"/>
        </w:rPr>
      </w:pPr>
      <w:r>
        <w:rPr>
          <w:rFonts w:ascii="Times New Roman" w:cs="Times New Roman" w:eastAsia="Times New Roman" w:hAnsi="Times New Roman"/>
          <w:sz w:val="18"/>
          <w:szCs w:val="18"/>
          <w:color w:val="auto"/>
        </w:rPr>
        <w:t>Revenue in Africa and the Middle East decreased by $7.8 million during the third quarter of fiscal 2024 compared with the same period of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Revenue in Africa and the Middle East decreased by $8.5 million during the first nine months of fiscal 2024 compared with the same period of fiscal</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2023. The decreases for the third quarter and the first nine months of fiscal 2024 were primarily due to cyclical softness in the capital expenditure plans of large mobile operators in the region and currency impacts from locally provided services.</w:t>
      </w:r>
    </w:p>
    <w:p>
      <w:pPr>
        <w:spacing w:after="0" w:line="1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Revenue in Europe increased by $2.7 million during the third quarter of fiscal 2024 compared with the same period of fiscal 2023. Revenue in Europe increased by $3.7 million during the first nine months of fiscal 2024 compared with the same period of fiscal 2023. The increases for the third quarter and the first nine months of fiscal 2024 were primarily due to increased sales to mobile operators in the region.</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Latin America and Asia Pacific increased by $34.9 million during the third quarter of fiscal 2024 compared with the same period of fiscal 2023. Revenue in Latin America and Asia Pacific increased by $39.3 million during the first nine months of fiscal 2024 compared with the same periods of fiscal 2023. The increases were primarily due to contributions resulting from the NEC Transaction and higher volumes of projects with mobile operators.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6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3"/>
                <w:szCs w:val="13"/>
                <w:color w:val="auto"/>
              </w:rPr>
            </w:pPr>
          </w:p>
        </w:tc>
        <w:tc>
          <w:tcPr>
            <w:tcW w:w="108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6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97,421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48"/>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from product sales and services increased by 29.3% and 42.2%, respectively for the third quarter of fiscal 2024 compared with the same quarter of fiscal 2023. Revenue from product sales and services increased by 12.2% and 21.9%, respectively for the first nine months of fiscal 2024 compared with the same period of fiscal 2023. The increases were driven by the same overall factors of revenue growth discussed previously.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860" w:type="dxa"/>
            <w:vAlign w:val="bottom"/>
            <w:vMerge w:val="continue"/>
          </w:tcPr>
          <w:p>
            <w:pPr>
              <w:spacing w:after="0"/>
              <w:rPr>
                <w:sz w:val="10"/>
                <w:szCs w:val="10"/>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0"/>
                <w:szCs w:val="10"/>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0"/>
                <w:szCs w:val="10"/>
                <w:color w:val="auto"/>
              </w:rPr>
            </w:pPr>
          </w:p>
        </w:tc>
        <w:tc>
          <w:tcPr>
            <w:tcW w:w="9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5"/>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percentages)</w:t>
            </w:r>
          </w:p>
        </w:tc>
        <w:tc>
          <w:tcPr>
            <w:tcW w:w="132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111,613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83,480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294,215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255,414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75,079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53,647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188,999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163,907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25,092</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48"/>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36,534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105,216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91,507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32.7 %</w:t>
            </w:r>
          </w:p>
        </w:tc>
        <w:tc>
          <w:tcPr>
            <w:tcW w:w="23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35.7 %</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35.8 %</w:t>
            </w:r>
          </w:p>
        </w:tc>
        <w:tc>
          <w:tcPr>
            <w:tcW w:w="30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35.8 %</w:t>
            </w:r>
          </w:p>
        </w:tc>
      </w:tr>
      <w:tr>
        <w:trPr>
          <w:trHeight w:val="23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margin %</w:t>
            </w:r>
          </w:p>
        </w:tc>
        <w:tc>
          <w:tcPr>
            <w:tcW w:w="1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32.6 %</w:t>
            </w:r>
          </w:p>
        </w:tc>
        <w:tc>
          <w:tcPr>
            <w:tcW w:w="236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34.8 %</w:t>
            </w:r>
          </w:p>
        </w:tc>
        <w:tc>
          <w:tcPr>
            <w:tcW w:w="23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38.1 %</w:t>
            </w:r>
          </w:p>
        </w:tc>
        <w:tc>
          <w:tcPr>
            <w:tcW w:w="3020" w:type="dxa"/>
            <w:vAlign w:val="bottom"/>
            <w:shd w:val="clear" w:color="auto" w:fill="CCEEFF"/>
          </w:tcPr>
          <w:p>
            <w:pPr>
              <w:jc w:val="right"/>
              <w:ind w:right="2010"/>
              <w:spacing w:after="0"/>
              <w:rPr>
                <w:sz w:val="20"/>
                <w:szCs w:val="20"/>
                <w:color w:val="auto"/>
              </w:rPr>
            </w:pPr>
            <w:r>
              <w:rPr>
                <w:rFonts w:ascii="Times New Roman" w:cs="Times New Roman" w:eastAsia="Times New Roman" w:hAnsi="Times New Roman"/>
                <w:sz w:val="18"/>
                <w:szCs w:val="18"/>
                <w:color w:val="auto"/>
              </w:rPr>
              <w:t>36.4 %</w:t>
            </w: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margin %</w:t>
            </w:r>
          </w:p>
        </w:tc>
        <w:tc>
          <w:tcPr>
            <w:tcW w:w="1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33.0 %</w:t>
            </w:r>
          </w:p>
        </w:tc>
        <w:tc>
          <w:tcPr>
            <w:tcW w:w="23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37.6 %</w:t>
            </w:r>
          </w:p>
        </w:tc>
        <w:tc>
          <w:tcPr>
            <w:tcW w:w="2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31.0 %</w:t>
            </w:r>
          </w:p>
        </w:tc>
        <w:tc>
          <w:tcPr>
            <w:tcW w:w="30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34.5 %</w:t>
            </w: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Gross margin for the third quarter of fiscal 2024 increased by $6.7 million compared with the same quarter of fiscal 2023. Gross margin for the first nine months of fiscal 2024 increased by $13.7 million.</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Gross margin dollars as a percentage of revenue decreased in the third quarter and for the first nine months of fiscal 2024 compared with the prior year primarily due to expected near term dilution as a result of the NEC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980" w:type="dxa"/>
            <w:vAlign w:val="bottom"/>
            <w:vMerge w:val="continue"/>
          </w:tcPr>
          <w:p>
            <w:pPr>
              <w:spacing w:after="0"/>
              <w:rPr>
                <w:sz w:val="10"/>
                <w:szCs w:val="10"/>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5"/>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percentages)</w:t>
            </w:r>
          </w:p>
        </w:tc>
        <w:tc>
          <w:tcPr>
            <w:tcW w:w="124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18,652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$4.1 million and $6.8 million for the third quarter and the first nine months of fiscal 2024, respectively, compared with the corresponding periods of fiscal 2023. The increase in research and development expenses was primarily due to increased product development activities and additional costs resulting from the NEC Transaction.</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20" w:type="dxa"/>
            <w:vAlign w:val="bottom"/>
            <w:vMerge w:val="continue"/>
          </w:tcPr>
          <w:p>
            <w:pPr>
              <w:spacing w:after="0"/>
              <w:rPr>
                <w:sz w:val="10"/>
                <w:szCs w:val="10"/>
                <w:color w:val="auto"/>
              </w:rPr>
            </w:pP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2024</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percentages)</w:t>
            </w:r>
          </w:p>
        </w:tc>
        <w:tc>
          <w:tcPr>
            <w:tcW w:w="1240" w:type="dxa"/>
            <w:vAlign w:val="bottom"/>
            <w:gridSpan w:val="3"/>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260" w:type="dxa"/>
            <w:vAlign w:val="bottom"/>
            <w:gridSpan w:val="3"/>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15,842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49,913</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12,066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increased by $5.5 million and $12.1 million for the third quarter and the first nine months of fiscal 2024, respectively, compared with the corresponding periods of fiscal 2023. The increase in selling and administrative expenses was primarily due to merger and acquisition expenses and additional costs resulting from the NEC Transaction.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20" w:type="dxa"/>
            <w:vAlign w:val="bottom"/>
            <w:vMerge w:val="restart"/>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1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Restructuring (recovery)</w:t>
            </w: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1,713.0 %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2024, restructuring recoveries were $(0.4) million, an increase of $0.4 million compared to the same period in fiscal 2023. For the first nine months of fiscal 2024, restructuring charges were $2.2 million, primarily related to restructuring activities associated with the NEC Transaction. The prior year includes non-recurring restructuring charges primarily associated with the Redline acquisition completed in the first quarter of fiscal 2023.</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successfully executed restructuring initiatives have enabled it to restructure specific groups to optimize skill sets and align its organizational structure to execute on strategic deliverables, in addition to aligning cost structure with the core of the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2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8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92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$0.8 million and $1.2 million for the third quarter and the first nine months of fiscal 2024, respectively, compared with the corresponding periods of fiscal 2023. The increase in interest expense, net was primarily due to interest expense incurred on the Term Loan borrowings used to fund the NEC Transaction in the second quarter of fiscal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29,</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0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6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9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expense, net decreased by $(0.2) million for the third quarter of fiscal 2024, primarily as a result of foreign exchange rate movement. Other expense, net decreased by $2.3 million for the first nine months of fiscal 2024, primarily due to non-recurring losses of $1.7 million recognized on the sale of marketable securities included in the prior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60" w:type="dxa"/>
            <w:vAlign w:val="bottom"/>
          </w:tcPr>
          <w:p>
            <w:pPr>
              <w:spacing w:after="0"/>
              <w:rPr>
                <w:sz w:val="13"/>
                <w:szCs w:val="13"/>
                <w:color w:val="auto"/>
              </w:rPr>
            </w:pPr>
          </w:p>
        </w:tc>
        <w:tc>
          <w:tcPr>
            <w:tcW w:w="102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6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expense for the first nine months of fiscal 2024 was primarily attributable to tax expense for the U.S. entity and profitable foreign subsidiaries. Tax expense for the first nine months of fiscal 2023 was primarily attributable to tax expense related to U.S. and profitable foreign subsidiaries, including deferred tax expense associated with the acquisition of Redline in July 2022 and the subsequent multi-step restructuring, in which two Canadian Redline corporations converted to unlimited liability companies and then amalgamated by the end of September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29, 2024, the Company’s total cash and cash equivalents were $58.2 million. Approximately $20.6 million was held in the United States. The remaining balance of $37.6 million was held by entities outside the United States. Of the amount of cash and cash equivalents held by the Company’s foreign subsidiaries on March 29, 2024, $37.2 million was held in jurisdictions where its undistributed earnings are indefinitely reinvested, and if repatriated, would be subject to foreign withholding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Operating cash flows is presented as net income adjusted for certain non-cash items and changes in operating assets and liabilities. Net cash provided by (used in) operating activities was $22.2 million for the first nine months of fiscal 2024, compared with $(9.0) million in the prior year. The $31.2 million increase is primarily attributable to improvements in working capital and increased net income prior to non-cash adjustments compared to the prior year.</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$35.0 million for the first nine months of fiscal 2024, compared to $11.7 million in the prior year. The $23.3 million increase is primarily due to payments of the cash consideration associated with the NEC Transaction, partially offset by non-recurring activity included in the prior year related to proceeds received on the sale of marketable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Financing cash flows consist primarily of borrowings and repayments under the Company’s Credit Facility and proceeds from the exercise of employee stock options. Net cash provided by financing activities was $49.3 million for the first nine months of fiscal 2024, compared with $6.2 million in the prior year. The $43.1 million increase is primarily due to the $50.0 million of Term Loan borrowings primarily used to settle the cash portion of the consideration associated with the NEC Transaction.</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29, 2024, the Company’s principal sources of liquidity consisted of $59.2 million in cash and cash equivalents and marketable securities, $35.2 million of available credit under its Credit Facility, and future collections of receivables from customers.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 Additionally, the Company has an effective shelf registration statement on Form S-3 allowing it to offer and sell, either individually or in combination, in one or more offerings, up to a total dollar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 of approximately $200.0 million of any combination of the securities described in the shelf registration statement or a related prospectus supplement.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the available borrowings under its Credit Facility, the availability under its effective shelf registration statement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borrowed and repaid $33.2 million against the Revolver during the first nine months of fiscal 2024. In the second quarter of fiscal 2024, the Company borrowed $50.0 million against the Term Loan to primarily settle the cash portion of the consideration associated with the NEC Transaction. As of March 29, 2024, the Company had $49.4 million outstanding under its Term Loan and no borrowings under its Revolver and was in compliance with all financial covenants contained in the Credit Facility.</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29, 2024, the Company had commercial commitments outstanding of $16.6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about the Company’s critical accounting estimates, see the “Critical Accounting Estimates” section of “Item 7. Management’s Discussion and Analysis of Financial Condition and Results of Operations” in its fiscal 2023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2023 Annual Report on Form 10-K. There have been no material changes to the Company’s market risk during the first nine months of fiscal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March 29, 2024.</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March 29, 2024 and June 30, 2023, the cumulative translation adjustment decreased stockholders’ equity by $15.8 million and $16.0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its cash equivalents and borrowings under its Credit Facility.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had $58.2 million in total cash and cash equivalents as of March 29, 2024. Cash equivalents totaled $11.1 million as of March 29, 2024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please refer to Note 6. Fair Value Measurements of Assets and Liabilities of the Notes to unaudited condensed consolidated financial statements in this Quarterly Report on Form 10-Q.</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cash equivalents earn interest at fixed rates; therefore, changes in interest rates will not generate a gain or loss on these investments unless they are sold prior to maturity. The weighted-average days to maturity for cash equivalents held as of March 29, 2024 was 43 days, and these investments had an average yield of approximately 3.3% per annum. A 10% change in interest rates on the Company’s cash equivalents is not expected to have a material impact on its financial position, results of operations, or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29, 2024, the Company had $49.4 million outstanding under its Term Loan and no borrowings under its Revolver.</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March 29, 2024, the applicable margin on Adjusted Term SOFR and Base Rate borrowings was 2.50% and 1.50%, respectively. The effective rate of interest on the Company’s outstanding Term Loan borrowings as of March 29, 2024 was 7.9%.</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is estimated to have a $0.4 million impact on annual interest expense on the Company’s outstanding long-term debt as of March 29,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Based on management’s evaluation, with the participation of our President and CEO, and Chief Financial Officer (“CFO”), as of March 29, 2024,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controls over financial reporting as defined in Rules 13a-15(f) or 15d-15(f) that occurred during the quarter ended March 29, 2024 that have materially affected, or are reasonably likely to materially affect, our internal controls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spacing w:after="0" w:line="200" w:lineRule="exact"/>
        <w:rPr>
          <w:sz w:val="20"/>
          <w:szCs w:val="20"/>
          <w:color w:val="auto"/>
        </w:rPr>
      </w:pP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legal proceedings as of March 29, 2024, please refer to “Legal Proceedings” and “Contingent Liabilities” under Note 13. Commitments and Contingencies of the Notes to the unaudited condensed consolidated financial statements in this Quarterly Report on Form 10-Q, which are incorporated into this item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2023 Annual Report on Form 10-K filed with the SEC on August 30, 2023.</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March 29, 2024, $6.9 million remains available and Aviat may choose to suspend or discontinue the repurchase program at any time. Repurchased shares are recorded as treasury stock.</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third quarter of fiscal 2024, the Company did not repurchase any shares of its common stock.</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14, 2024, Gary Croke, Vice President, Marketing and Product Line Management, adopted a new trading plan intended to satisfy the affirmative defense conditions of Rule 10b5-1(c) under the Exchange Act. The trading plan is intended to permit Mr. Croke to sell an aggregate of 24,474 shares. Mr. Croke’s plan is in effect until December 31, 2024.</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29, 2024, no other officers or directors, adopted, modified, or terminated a “Rule 10b5-1 trading arrangement” or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or furnished herewith or are incorporated by reference to exhibits previously filed with the SEC: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59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line="182"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Amended and Restated Certificate of Incorporation of Aviat Networks, Inc., as amended (incorporated by reference to Exhibit 3.1 to the</w:t>
              </w:r>
            </w:hyperlink>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Current Report on Form 8-K filed with the SEC on November 13, 2023,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Bylaws of Aviat Networks, Inc. (incorporated by reference to Exhibit 3.1 to the Current Report on Form 8-K filed</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with the SEC on August 24, 2023, File No. 001-33278).</w:t>
              </w:r>
            </w:hyperlink>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President and Chief Executive Officer</w:t>
            </w:r>
          </w:p>
        </w:tc>
        <w:tc>
          <w:tcPr>
            <w:tcW w:w="4200" w:type="dxa"/>
            <w:vAlign w:val="bottom"/>
            <w:tcBorders>
              <w:bottom w:val="single" w:sz="8" w:color="CCEEFF"/>
            </w:tcBorders>
            <w:gridSpan w:val="5"/>
            <w:shd w:val="clear" w:color="auto" w:fill="CCEEFF"/>
          </w:tcPr>
          <w:p>
            <w:pPr>
              <w:spacing w:after="0"/>
              <w:rPr>
                <w:sz w:val="18"/>
                <w:szCs w:val="18"/>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Section 1350 Certification of Chief Executive Officer and Chief Financial Officer</w:t>
            </w:r>
          </w:p>
        </w:tc>
        <w:tc>
          <w:tcPr>
            <w:tcW w:w="4100" w:type="dxa"/>
            <w:vAlign w:val="bottom"/>
            <w:tcBorders>
              <w:bottom w:val="single" w:sz="8" w:color="CCEEFF"/>
            </w:tcBorders>
            <w:gridSpan w:val="4"/>
            <w:shd w:val="clear" w:color="auto" w:fill="CCEEFF"/>
          </w:tcPr>
          <w:p>
            <w:pPr>
              <w:spacing w:after="0"/>
              <w:rPr>
                <w:sz w:val="18"/>
                <w:szCs w:val="18"/>
                <w:color w:val="auto"/>
              </w:rPr>
            </w:pP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60" w:hanging="1234"/>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 w:lineRule="exact"/>
        <w:rPr>
          <w:sz w:val="20"/>
          <w:szCs w:val="20"/>
          <w:color w:val="auto"/>
        </w:rPr>
      </w:pPr>
    </w:p>
    <w:p>
      <w:pPr>
        <w:ind w:left="1260" w:hanging="1234"/>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AVIAT NETWORKS, INC.</w:t>
      </w: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32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32658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2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David M. Gray</w:t>
      </w:r>
    </w:p>
    <w:p>
      <w:pPr>
        <w:ind w:left="6120"/>
        <w:spacing w:after="0" w:line="219" w:lineRule="auto"/>
        <w:rPr>
          <w:sz w:val="20"/>
          <w:szCs w:val="20"/>
          <w:color w:val="auto"/>
        </w:rPr>
      </w:pPr>
      <w:r>
        <w:rPr>
          <w:rFonts w:ascii="Times New Roman" w:cs="Times New Roman" w:eastAsia="Times New Roman" w:hAnsi="Times New Roman"/>
          <w:sz w:val="18"/>
          <w:szCs w:val="18"/>
          <w:color w:val="auto"/>
        </w:rPr>
        <w:t>Senior Vice President and Chief Financial Officer (duly authorized</w:t>
      </w:r>
    </w:p>
    <w:p>
      <w:pPr>
        <w:ind w:left="612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332"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29, 2024,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4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3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3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Gray,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29, 2024,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David M. Gray</w:t>
            </w:r>
          </w:p>
        </w:tc>
      </w:tr>
      <w:tr>
        <w:trPr>
          <w:trHeight w:val="218"/>
        </w:trPr>
        <w:tc>
          <w:tcPr>
            <w:tcW w:w="55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David M. Gray</w:t>
            </w:r>
          </w:p>
        </w:tc>
      </w:tr>
      <w:tr>
        <w:trPr>
          <w:trHeight w:val="234"/>
        </w:trPr>
        <w:tc>
          <w:tcPr>
            <w:tcW w:w="55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6"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March 29, 2024,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3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89"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spacing w:after="0"/>
              <w:rPr>
                <w:sz w:val="17"/>
                <w:szCs w:val="17"/>
                <w:color w:val="auto"/>
              </w:rPr>
            </w:pPr>
          </w:p>
        </w:tc>
      </w:tr>
      <w:tr>
        <w:trPr>
          <w:trHeight w:val="234"/>
        </w:trPr>
        <w:tc>
          <w:tcPr>
            <w:tcW w:w="5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1, 2024</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58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Peter A. Smith</w:t>
            </w:r>
          </w:p>
        </w:tc>
      </w:tr>
      <w:tr>
        <w:trPr>
          <w:trHeight w:val="234"/>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42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spacing w:after="0"/>
              <w:rPr>
                <w:sz w:val="24"/>
                <w:szCs w:val="24"/>
                <w:color w:val="auto"/>
              </w:rPr>
            </w:pPr>
          </w:p>
        </w:tc>
      </w:tr>
      <w:tr>
        <w:trPr>
          <w:trHeight w:val="234"/>
        </w:trPr>
        <w:tc>
          <w:tcPr>
            <w:tcW w:w="5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1, 2024</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 Gray</w:t>
            </w:r>
          </w:p>
        </w:tc>
      </w:tr>
      <w:tr>
        <w:trPr>
          <w:trHeight w:val="218"/>
        </w:trPr>
        <w:tc>
          <w:tcPr>
            <w:tcW w:w="58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David M. Gray</w:t>
            </w:r>
          </w:p>
        </w:tc>
      </w:tr>
      <w:tr>
        <w:trPr>
          <w:trHeight w:val="234"/>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3" Type="http://schemas.openxmlformats.org/officeDocument/2006/relationships/hyperlink" Target="https://www.sec.gov/Archives/edgar/data/1377789/000137778923000047/amendedrestatedcertificate.htm" TargetMode="External"/><Relationship Id="rId44" Type="http://schemas.openxmlformats.org/officeDocument/2006/relationships/hyperlink" Target="https://www.sec.gov/Archives/edgar/data/1377789/000137778923000020/amendedandrestatedbylaws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2024-05-01T15:26:07Z</dcterms:created>
  <dcterms:modified xsi:type="dcterms:W3CDTF">2024-05-01T15:26:07Z</dcterms:modified>
</cp:coreProperties>
</file>