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98" w:lineRule="exact"/>
        <w:rPr>
          <w:sz w:val="24"/>
          <w:szCs w:val="24"/>
          <w:color w:val="auto"/>
        </w:rPr>
      </w:pPr>
    </w:p>
    <w:p>
      <w:pPr>
        <w:ind w:left="460" w:right="280" w:hanging="434"/>
        <w:spacing w:after="0" w:line="238"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January 1, 2021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79" w:lineRule="exact"/>
        <w:rPr>
          <w:sz w:val="24"/>
          <w:szCs w:val="24"/>
          <w:color w:val="auto"/>
        </w:rPr>
      </w:pPr>
    </w:p>
    <w:p>
      <w:pPr>
        <w:ind w:left="480" w:right="260" w:hanging="441"/>
        <w:spacing w:after="0" w:line="238"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3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33"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43" w:lineRule="exact"/>
        <w:rPr>
          <w:sz w:val="24"/>
          <w:szCs w:val="24"/>
          <w:color w:val="auto"/>
        </w:rPr>
      </w:pPr>
    </w:p>
    <w:p>
      <w:pPr>
        <w:sectPr>
          <w:pgSz w:w="11900" w:h="16838" w:orient="portrait"/>
          <w:cols w:equalWidth="0" w:num="2">
            <w:col w:w="8080" w:space="720"/>
            <w:col w:w="2440"/>
          </w:cols>
          <w:pgMar w:left="320" w:top="1033"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77" w:lineRule="exact"/>
        <w:rPr>
          <w:sz w:val="24"/>
          <w:szCs w:val="24"/>
          <w:color w:val="auto"/>
        </w:rPr>
      </w:pPr>
    </w:p>
    <w:p>
      <w:pPr>
        <w:sectPr>
          <w:pgSz w:w="11900" w:h="16838" w:orient="portrait"/>
          <w:cols w:equalWidth="0" w:num="2">
            <w:col w:w="7260" w:space="720"/>
            <w:col w:w="3260"/>
          </w:cols>
          <w:pgMar w:left="320" w:top="1033"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Austin,</w:t>
      </w:r>
      <w:r>
        <w:rPr>
          <w:sz w:val="20"/>
          <w:szCs w:val="20"/>
          <w:color w:val="auto"/>
        </w:rPr>
        <w:tab/>
      </w:r>
      <w:r>
        <w:rPr>
          <w:rFonts w:ascii="Times New Roman" w:cs="Times New Roman" w:eastAsia="Times New Roman" w:hAnsi="Times New Roman"/>
          <w:sz w:val="17"/>
          <w:szCs w:val="17"/>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78728</w:t>
      </w:r>
    </w:p>
    <w:p>
      <w:pPr>
        <w:spacing w:after="0" w:line="31" w:lineRule="exact"/>
        <w:rPr>
          <w:sz w:val="24"/>
          <w:szCs w:val="24"/>
          <w:color w:val="auto"/>
        </w:rPr>
      </w:pPr>
    </w:p>
    <w:p>
      <w:pPr>
        <w:sectPr>
          <w:pgSz w:w="11900" w:h="16838" w:orient="portrait"/>
          <w:cols w:equalWidth="0" w:num="3">
            <w:col w:w="3140" w:space="700"/>
            <w:col w:w="4440" w:space="720"/>
            <w:col w:w="2240"/>
          </w:cols>
          <w:pgMar w:left="320" w:top="1033"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29" w:lineRule="exact"/>
        <w:rPr>
          <w:sz w:val="24"/>
          <w:szCs w:val="24"/>
          <w:color w:val="auto"/>
        </w:rPr>
      </w:pPr>
    </w:p>
    <w:p>
      <w:pPr>
        <w:sectPr>
          <w:pgSz w:w="11900" w:h="16838" w:orient="portrait"/>
          <w:cols w:equalWidth="0" w:num="2">
            <w:col w:w="8140" w:space="720"/>
            <w:col w:w="2380"/>
          </w:cols>
          <w:pgMar w:left="320" w:top="103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941-7100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2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033" w:right="339" w:bottom="1440" w:gutter="0" w:footer="0" w:header="0"/>
          <w:type w:val="continuous"/>
        </w:sectPr>
      </w:pPr>
    </w:p>
    <w:p>
      <w:pPr>
        <w:spacing w:after="0" w:line="24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AVNW</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3660" w:space="720"/>
            <w:col w:w="2160" w:space="720"/>
            <w:col w:w="3980"/>
          </w:cols>
          <w:pgMar w:left="320" w:top="1033" w:right="339" w:bottom="1440" w:gutter="0" w:footer="0" w:header="0"/>
          <w:type w:val="continuous"/>
        </w:sectPr>
      </w:pPr>
    </w:p>
    <w:p>
      <w:pPr>
        <w:spacing w:after="0" w:line="2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5"/>
        </w:trPr>
        <w:tc>
          <w:tcPr>
            <w:tcW w:w="23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
        </w:trPr>
        <w:tc>
          <w:tcPr>
            <w:tcW w:w="23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3"/>
        </w:trPr>
        <w:tc>
          <w:tcPr>
            <w:tcW w:w="2380" w:type="dxa"/>
            <w:vAlign w:val="bottom"/>
            <w:tcBorders>
              <w:bottom w:val="single" w:sz="8" w:color="9A9A9A"/>
            </w:tcBorders>
          </w:tcPr>
          <w:p>
            <w:pPr>
              <w:spacing w:after="0"/>
              <w:rPr>
                <w:sz w:val="17"/>
                <w:szCs w:val="17"/>
                <w:color w:val="auto"/>
              </w:rPr>
            </w:pPr>
          </w:p>
        </w:tc>
        <w:tc>
          <w:tcPr>
            <w:tcW w:w="2940" w:type="dxa"/>
            <w:vAlign w:val="bottom"/>
            <w:tcBorders>
              <w:bottom w:val="single" w:sz="8" w:color="9A9A9A"/>
            </w:tcBorders>
          </w:tcPr>
          <w:p>
            <w:pPr>
              <w:spacing w:after="0"/>
              <w:rPr>
                <w:sz w:val="17"/>
                <w:szCs w:val="17"/>
                <w:color w:val="auto"/>
              </w:rPr>
            </w:pPr>
          </w:p>
        </w:tc>
        <w:tc>
          <w:tcPr>
            <w:tcW w:w="49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ind w:right="17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January 29, 2021 was 5,563,918.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1, 2021</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10220" w:type="dxa"/>
            <w:vAlign w:val="bottom"/>
            <w:shd w:val="clear" w:color="auto" w:fill="CCEEFF"/>
          </w:tcPr>
          <w:p>
            <w:pPr>
              <w:spacing w:after="0"/>
              <w:rPr>
                <w:rFonts w:ascii="Times New Roman" w:cs="Times New Roman" w:eastAsia="Times New Roman" w:hAnsi="Times New Roman"/>
                <w:sz w:val="18"/>
                <w:szCs w:val="18"/>
                <w:b w:val="1"/>
                <w:bCs w:val="1"/>
                <w:color w:val="0000FF"/>
              </w:rPr>
            </w:pPr>
            <w:hyperlink w:anchor="page3">
              <w:r>
                <w:rPr>
                  <w:rFonts w:ascii="Times New Roman" w:cs="Times New Roman" w:eastAsia="Times New Roman" w:hAnsi="Times New Roman"/>
                  <w:sz w:val="18"/>
                  <w:szCs w:val="18"/>
                  <w:b w:val="1"/>
                  <w:bCs w:val="1"/>
                  <w:color w:val="0000FF"/>
                </w:rPr>
                <w:t>Part I. Financial Information</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4</w:t>
              </w:r>
            </w:hyperlink>
          </w:p>
        </w:tc>
      </w:tr>
      <w:tr>
        <w:trPr>
          <w:trHeight w:val="230"/>
        </w:trPr>
        <w:tc>
          <w:tcPr>
            <w:tcW w:w="10220" w:type="dxa"/>
            <w:vAlign w:val="bottom"/>
          </w:tcPr>
          <w:p>
            <w:pPr>
              <w:ind w:left="3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 Financial Statements</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5</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Balance Sheets (Unaudited)</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Statements of Operations (Unaudited)</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6</w:t>
              </w:r>
            </w:hyperlink>
          </w:p>
        </w:tc>
      </w:tr>
      <w:tr>
        <w:trPr>
          <w:trHeight w:val="230"/>
        </w:trPr>
        <w:tc>
          <w:tcPr>
            <w:tcW w:w="10220" w:type="dxa"/>
            <w:vAlign w:val="bottom"/>
            <w:shd w:val="clear" w:color="auto" w:fill="CCEEFF"/>
          </w:tcPr>
          <w:p>
            <w:pPr>
              <w:ind w:left="36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Comprehensive Income (Loss) (Unaudited)</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7</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Condensed Consolidated Statements of Cash Flows (Unaudited)</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8</w:t>
              </w:r>
            </w:hyperlink>
          </w:p>
        </w:tc>
      </w:tr>
      <w:tr>
        <w:trPr>
          <w:trHeight w:val="230"/>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Condensed Consolidated Statements of Equity (Unaudited)</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9</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10">
              <w:r>
                <w:rPr>
                  <w:rFonts w:ascii="Times New Roman" w:cs="Times New Roman" w:eastAsia="Times New Roman" w:hAnsi="Times New Roman"/>
                  <w:sz w:val="18"/>
                  <w:szCs w:val="18"/>
                  <w:color w:val="0000FF"/>
                </w:rPr>
                <w:t>Notes to Condensed Consolidated Financial Statements (Unaudited)</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10">
              <w:r>
                <w:rPr>
                  <w:rFonts w:ascii="Times New Roman" w:cs="Times New Roman" w:eastAsia="Times New Roman" w:hAnsi="Times New Roman"/>
                  <w:sz w:val="18"/>
                  <w:szCs w:val="18"/>
                  <w:color w:val="0000FF"/>
                </w:rPr>
                <w:t>11</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Item 2. Management’s Discussion and Analysis of Financial Condition and Results of Operations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25</w:t>
              </w:r>
            </w:hyperlink>
          </w:p>
        </w:tc>
      </w:tr>
      <w:tr>
        <w:trPr>
          <w:trHeight w:val="230"/>
        </w:trPr>
        <w:tc>
          <w:tcPr>
            <w:tcW w:w="10220" w:type="dxa"/>
            <w:vAlign w:val="bottom"/>
          </w:tcPr>
          <w:p>
            <w:pPr>
              <w:ind w:left="34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Item 3. Quantitative and Qualitative Disclosures About Market Risk</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33</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Item 4. Controls and Procedures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34</w:t>
              </w:r>
            </w:hyperlink>
          </w:p>
        </w:tc>
      </w:tr>
      <w:tr>
        <w:trPr>
          <w:trHeight w:val="230"/>
        </w:trPr>
        <w:tc>
          <w:tcPr>
            <w:tcW w:w="10220" w:type="dxa"/>
            <w:vAlign w:val="bottom"/>
          </w:tcPr>
          <w:p>
            <w:pPr>
              <w:spacing w:after="0"/>
              <w:rPr>
                <w:rFonts w:ascii="Times New Roman" w:cs="Times New Roman" w:eastAsia="Times New Roman" w:hAnsi="Times New Roman"/>
                <w:sz w:val="18"/>
                <w:szCs w:val="18"/>
                <w:b w:val="1"/>
                <w:bCs w:val="1"/>
                <w:color w:val="0000FF"/>
              </w:rPr>
            </w:pPr>
            <w:hyperlink w:anchor="page35">
              <w:r>
                <w:rPr>
                  <w:rFonts w:ascii="Times New Roman" w:cs="Times New Roman" w:eastAsia="Times New Roman" w:hAnsi="Times New Roman"/>
                  <w:sz w:val="18"/>
                  <w:szCs w:val="18"/>
                  <w:b w:val="1"/>
                  <w:bCs w:val="1"/>
                  <w:color w:val="0000FF"/>
                </w:rPr>
                <w:t>Part II. Other Information</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36</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Item 1. Legal Proceedings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Item 1A. Risk Factors</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30"/>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Item 2. Unregistered Sales of Equity Securities and Use of Proceeds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Item 3. Defaults upon Senior Securities</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30"/>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Item 4. Mine Safety Disclosures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30"/>
        </w:trPr>
        <w:tc>
          <w:tcPr>
            <w:tcW w:w="10220" w:type="dxa"/>
            <w:vAlign w:val="bottom"/>
          </w:tcPr>
          <w:p>
            <w:pPr>
              <w:ind w:left="3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Item 5. Other Information</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Item 6. Exhibits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37</w:t>
              </w:r>
            </w:hyperlink>
          </w:p>
        </w:tc>
      </w:tr>
      <w:tr>
        <w:trPr>
          <w:trHeight w:val="230"/>
        </w:trPr>
        <w:tc>
          <w:tcPr>
            <w:tcW w:w="10220" w:type="dxa"/>
            <w:vAlign w:val="bottom"/>
          </w:tcPr>
          <w:p>
            <w:pPr>
              <w:spacing w:after="0"/>
              <w:rPr>
                <w:rFonts w:ascii="Times New Roman" w:cs="Times New Roman" w:eastAsia="Times New Roman" w:hAnsi="Times New Roman"/>
                <w:sz w:val="18"/>
                <w:szCs w:val="18"/>
                <w:b w:val="1"/>
                <w:bCs w:val="1"/>
                <w:color w:val="0000FF"/>
              </w:rPr>
            </w:pPr>
            <w:hyperlink w:anchor="page37">
              <w:r>
                <w:rPr>
                  <w:rFonts w:ascii="Times New Roman" w:cs="Times New Roman" w:eastAsia="Times New Roman" w:hAnsi="Times New Roman"/>
                  <w:sz w:val="18"/>
                  <w:szCs w:val="18"/>
                  <w:b w:val="1"/>
                  <w:bCs w:val="1"/>
                  <w:color w:val="0000FF"/>
                </w:rPr>
                <w:t>Signatures</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38</w:t>
              </w:r>
            </w:hyperlink>
          </w:p>
        </w:tc>
      </w:tr>
      <w:tr>
        <w:trPr>
          <w:trHeight w:val="230"/>
        </w:trPr>
        <w:tc>
          <w:tcPr>
            <w:tcW w:w="102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FF"/>
              </w:rPr>
            </w:pPr>
            <w:hyperlink w:anchor="page36">
              <w:r>
                <w:rPr>
                  <w:rFonts w:ascii="Times New Roman" w:cs="Times New Roman" w:eastAsia="Times New Roman" w:hAnsi="Times New Roman"/>
                  <w:sz w:val="18"/>
                  <w:szCs w:val="18"/>
                  <w:b w:val="1"/>
                  <w:bCs w:val="1"/>
                  <w:u w:val="single" w:color="auto"/>
                  <w:color w:val="0000FF"/>
                </w:rPr>
                <w:t>Exhibit Index</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089" w:right="539" w:bottom="1440" w:gutter="0" w:footer="0" w:header="0"/>
        </w:sectPr>
      </w:pPr>
    </w:p>
    <w:bookmarkStart w:id="3" w:name="page4"/>
    <w:bookmarkEnd w:id="3"/>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par value amounts)</w:t>
            </w: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3"/>
                <w:szCs w:val="13"/>
                <w:color w:val="auto"/>
              </w:rPr>
            </w:pP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none issued</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5,563,918 shares issued and outstanding at</w:t>
            </w: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1, 2021; 5,400,487 shares issued and outstanding at July 3, 2020</w:t>
            </w:r>
          </w:p>
        </w:tc>
        <w:tc>
          <w:tcPr>
            <w:tcW w:w="2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814,337</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(730,741)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76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12"/>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12"/>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43,865</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43,790</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73,736</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40,875</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 outstanding:</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760" w:type="dxa"/>
            <w:vAlign w:val="bottom"/>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56"/>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16"/>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cumulative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22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1"/>
                <w:szCs w:val="11"/>
                <w:color w:val="auto"/>
              </w:rPr>
            </w:pPr>
          </w:p>
        </w:tc>
        <w:tc>
          <w:tcPr>
            <w:tcW w:w="1160" w:type="dxa"/>
            <w:vAlign w:val="bottom"/>
          </w:tcPr>
          <w:p>
            <w:pPr>
              <w:jc w:val="right"/>
              <w:ind w:right="151"/>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84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5"/>
        </w:trPr>
        <w:tc>
          <w:tcPr>
            <w:tcW w:w="84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(recovery from) uncollectible receivables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Charges for inventory and customer service inventory write-downs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disposition of property, plant and equipment,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 or receivable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23"/>
        </w:trPr>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0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38,323</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January 1, 2021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3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2,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5,443,362</w:t>
            </w: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815,203</w:t>
            </w: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(724,805)</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(14,555)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75,897</w:t>
            </w:r>
          </w:p>
        </w:tc>
        <w:tc>
          <w:tcPr>
            <w:tcW w:w="0" w:type="dxa"/>
            <w:vAlign w:val="bottom"/>
          </w:tcPr>
          <w:p>
            <w:pPr>
              <w:spacing w:after="0"/>
              <w:rPr>
                <w:sz w:val="1"/>
                <w:szCs w:val="1"/>
                <w:color w:val="auto"/>
              </w:rPr>
            </w:pPr>
          </w:p>
        </w:tc>
      </w:tr>
      <w:tr>
        <w:trPr>
          <w:trHeight w:val="189"/>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Shares withheld for taxes related to vesting of equity awards</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08"/>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5,563,918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817,042</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(718,164)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84,563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3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December 27, 2019</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37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27, 2019</w:t>
            </w:r>
          </w:p>
        </w:tc>
        <w:tc>
          <w:tcPr>
            <w:tcW w:w="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5,444,671</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814,113</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(730,944)</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69,974</w:t>
            </w:r>
          </w:p>
        </w:tc>
        <w:tc>
          <w:tcPr>
            <w:tcW w:w="0" w:type="dxa"/>
            <w:vAlign w:val="bottom"/>
          </w:tcPr>
          <w:p>
            <w:pPr>
              <w:spacing w:after="0"/>
              <w:rPr>
                <w:sz w:val="1"/>
                <w:szCs w:val="1"/>
                <w:color w:val="auto"/>
              </w:rPr>
            </w:pPr>
          </w:p>
        </w:tc>
      </w:tr>
      <w:tr>
        <w:trPr>
          <w:trHeight w:val="189"/>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repurchase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27, 2019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5,414,480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813,867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(732,615)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68,467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Six Months Ended January 1, 2021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2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37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July 3, 2020</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5,400,487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814,337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(730,741)</w:t>
            </w: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(14,969)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68,681</w:t>
            </w:r>
          </w:p>
        </w:tc>
        <w:tc>
          <w:tcPr>
            <w:tcW w:w="0" w:type="dxa"/>
            <w:vAlign w:val="bottom"/>
          </w:tcPr>
          <w:p>
            <w:pPr>
              <w:spacing w:after="0"/>
              <w:rPr>
                <w:sz w:val="1"/>
                <w:szCs w:val="1"/>
                <w:color w:val="auto"/>
              </w:rPr>
            </w:pPr>
          </w:p>
        </w:tc>
      </w:tr>
      <w:tr>
        <w:trPr>
          <w:trHeight w:val="189"/>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89"/>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169,515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taxes related to vesting of equity awards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9"/>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208"/>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5,563,918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817,042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(718,164)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84,563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3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Six Months Ended December 27, 2019</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2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37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28, 2019</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5,359,695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815,196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(730,998)</w:t>
            </w: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71,516</w:t>
            </w:r>
          </w:p>
        </w:tc>
        <w:tc>
          <w:tcPr>
            <w:tcW w:w="0" w:type="dxa"/>
            <w:vAlign w:val="bottom"/>
          </w:tcPr>
          <w:p>
            <w:pPr>
              <w:spacing w:after="0"/>
              <w:rPr>
                <w:sz w:val="1"/>
                <w:szCs w:val="1"/>
                <w:color w:val="auto"/>
              </w:rPr>
            </w:pPr>
          </w:p>
        </w:tc>
      </w:tr>
      <w:tr>
        <w:trPr>
          <w:trHeight w:val="189"/>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9"/>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208,708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taxes related to vesting of equity awards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89"/>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repurchase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27, 2019</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5,414,480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813,867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(732,615)</w:t>
            </w: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(12,839)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68,467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370" w:right="359" w:bottom="1440" w:gutter="0" w:footer="0" w:header="0"/>
        </w:sectPr>
      </w:pPr>
    </w:p>
    <w:bookmarkStart w:id="10" w:name="page11"/>
    <w:bookmarkEnd w:id="10"/>
    <w:p>
      <w:pPr>
        <w:ind w:left="45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six months ended January 1, 2021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3, 2020.</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 owned and majority-owned subsidiaries. All intercompany transactions and accounts have been eliminated.</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operate on a 52-week or 53-week year ending on the Friday closest to June 30. The three months ended January 1, 2021 and December 27, 2019 both consisted of 13 weeks. Fiscal year 2021 will be comprised of 52 weeks and will end on July 2, 2021. Fiscal year 2020 was comprised of 53 weeks and ended on July 3,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contingencies and recoverability of long-lived assets. The actual results that we experience may differ materially from our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of January 1, 2021 and for the six months ended January 1, 2021, as compared to the significant accounting policies described in our Annual Report on Form 10-K for the fiscal year ended July 3,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Accounting Standards Update (“ASU”) 2018-15, Intangibles-Goodwill and Other-Internal-Use Software (Subtopic 350-40): Customer’s Accounting for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Implementation Costs Incurred in a Cloud Computing Arrangement That is a Service Contract. This guidance aligns the requirements for capitalizing implementation costs incurred in a hosting arrangement that is a service contract with the requirements for capitalizing implementation costs incurred to develop or obtain internal-use software. ASU 2018-15 became effective for us in our first quarter of fiscal 2021. We adopted this guidance during the first quarter of fiscal 2021. The adoption had no material impact on our unaudited condensed consolidated financial statements.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update eliminates, adds, and modifies certain disclosure requirements for fair value measurements. We adopted this update during the first quarter of fiscal 2021. The adoption had no material impact on our unaudited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was effective March 12, 2020 through December 31, 2022. We are currently evaluating the potential impact ASU 2020-04 will have on our unaudited condensed consolidated financial statements.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This guidance simplifies the accounting for income taxes by removing certain exceptions to the general principles and also simplifies areas such as franchise taxes, step-up in tax basis goodwill, separate entity financial statements and interim recognition of enactment of tax laws and rate changes. ASU 2019-12 will be effective for us in our first quarter of fiscal 2022. We are currently evaluating the potential impact that adopting ASU 2019-12 will have on our unaudited condensed consolidated financial statements.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and also issued subsequent amendments to the initial guidance: ASU 2018-19, ASU 2019-04, and ASU 2019-05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326). Topic 326 requires measurement and recognition of expected credit losses for financial assets held. Topic 326 will be effective for us in our first quarter of fiscal 2024 and earlier adoption is permitted. We are evaluating the impact adopting Topic 326 will have on our unaudited condensed consolidated financial statements.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 in the Statement of Cash Flows</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net accounts receivable are summarized below:</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51,555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Allowances for collection losses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49,450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inventories are summarized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inventories</w:t>
            </w:r>
          </w:p>
        </w:tc>
        <w:tc>
          <w:tcPr>
            <w:tcW w:w="1220" w:type="dxa"/>
            <w:vAlign w:val="bottom"/>
            <w:tcBorders>
              <w:bottom w:val="single" w:sz="8" w:color="auto"/>
            </w:tcBorders>
            <w:shd w:val="clear" w:color="auto" w:fill="CCEEFF"/>
          </w:tcPr>
          <w:p>
            <w:pPr>
              <w:jc w:val="right"/>
              <w:ind w:right="103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17,588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13,997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 and supplies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vMerge w:val="continue"/>
          </w:tcPr>
          <w:p>
            <w:pPr>
              <w:spacing w:after="0"/>
              <w:rPr>
                <w:sz w:val="18"/>
                <w:szCs w:val="18"/>
                <w:color w:val="auto"/>
              </w:rPr>
            </w:pPr>
          </w:p>
        </w:tc>
        <w:tc>
          <w:tcPr>
            <w:tcW w:w="1220" w:type="dxa"/>
            <w:vAlign w:val="bottom"/>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currently rely on a few vendors for substantially all of our inventory purchases.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record charges to adjust our inventory and customer service inventory due to excess and obsolete inventory resulting from lower sales forecasts, product transitioning, or discontinuance. The charges during the three and six months ended January 1, 2021 and December 27, 2019 were classified in cost of product sales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1"/>
                <w:szCs w:val="11"/>
                <w:color w:val="auto"/>
              </w:rPr>
            </w:pPr>
          </w:p>
        </w:tc>
        <w:tc>
          <w:tcPr>
            <w:tcW w:w="1340" w:type="dxa"/>
            <w:vAlign w:val="bottom"/>
          </w:tcPr>
          <w:p>
            <w:pPr>
              <w:jc w:val="right"/>
              <w:ind w:right="277"/>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116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 charges</w:t>
            </w:r>
          </w:p>
        </w:tc>
        <w:tc>
          <w:tcPr>
            <w:tcW w:w="1160" w:type="dxa"/>
            <w:vAlign w:val="bottom"/>
            <w:tcBorders>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consider properties to be Assets held for sale when management approves and commits to a plan to dispose of a property or group of properties.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held for sale prior to the sale date is separately presented on the balance sheet as Assets held for sale.</w:t>
      </w:r>
    </w:p>
    <w:p>
      <w:pPr>
        <w:spacing w:after="0" w:line="15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quarter management initiated the sale of our facility located in the United Kingdom. We expect to complete the sale within the next twelve months. The carrying value of this asset held for sale as of January 1, 2021 of $2.2 million which represents the lower of the carrying value or fair value, net of estimated costs to sell the assets. We performed an analysis and determined the estimated fair value of the assets, less estimated selling costs, is higher than the carrying value of the assets. As a result, no impairment charge was recorded in our statement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property, plant and equipment, net are summarized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3"/>
                <w:szCs w:val="13"/>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00" w:type="dxa"/>
            <w:vAlign w:val="bottom"/>
          </w:tcPr>
          <w:p>
            <w:pPr>
              <w:spacing w:after="0"/>
              <w:rPr>
                <w:sz w:val="13"/>
                <w:szCs w:val="13"/>
                <w:color w:val="auto"/>
              </w:rPr>
            </w:pPr>
          </w:p>
        </w:tc>
        <w:tc>
          <w:tcPr>
            <w:tcW w:w="14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(65,716)</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Included in the total plant, property and equipment above were $0.4 million and $3.5 million of assets in progress which have not been placed in service as of January 1, 2021 and July 3, 2020, respectively. Depreciation and amortization expense related to property, plant and equipment, including amortization of software developed for internal use,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100" w:type="dxa"/>
            <w:vAlign w:val="bottom"/>
            <w:gridSpan w:val="6"/>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150"/>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3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77"/>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682"/>
              <w:spacing w:after="0"/>
              <w:rPr>
                <w:sz w:val="20"/>
                <w:szCs w:val="20"/>
                <w:color w:val="auto"/>
              </w:rPr>
            </w:pPr>
            <w:r>
              <w:rPr>
                <w:rFonts w:ascii="Times New Roman" w:cs="Times New Roman" w:eastAsia="Times New Roman" w:hAnsi="Times New Roman"/>
                <w:sz w:val="18"/>
                <w:szCs w:val="18"/>
                <w:color w:val="auto"/>
                <w:w w:val="98"/>
              </w:rPr>
              <w:t>1,077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accrued expenses are summarized below:</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agent commissions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accrue for the estimated cost to repair or replace products under warranty. Changes in our warranty liability, which are included as a component of accrued expenses in our unaudited condensed consolidated balance sheets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040" w:type="dxa"/>
            <w:vAlign w:val="bottom"/>
            <w:gridSpan w:val="6"/>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130"/>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2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77"/>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Our advance payments and unearned revenue are summarized below:</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advance payments and unearned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$8.3 million and $8.1 million in long-term unearned revenue as of January 1, 2021 and July 3, 2020,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our assets and liabilities that are measured at fair value on a recurring basis as of January 1, 2021 and July 3, 2020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July 3, 2020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58"/>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30"/>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classify items within Level 1 if quoted prices are available in active markets. Our Level 1 items mainly are money market funds. As of January 1, 2021 and July 3, 2020, these money market funds were valued at $1.00 net asset value per share.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1, 2021 and July 3, 2020, we did not have any recurring assets or liabilities that were valued using significant unobservable inputs.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policy is to recognize asset or liability transfers among Level 1, Level 2, and Level 3 as of the actual date of the events or change in circumstances that caused the transfer. During the first six months of fiscal 2021 and 2020, we had no transfers between levels of the fair value hierarchy of our assets or liabilities measured at fair value.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facilities under non-cancelable operating lease agreements. These leases have varying terms that range from one to 20 years and contain leasehold improvement incentives, rent holidays and escalation clauses.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determine if an arrangement contains a lease at inception. These operating leases are included in "Right of use assets"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six months ended January 1,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8"/>
          <w:szCs w:val="18"/>
          <w:color w:val="auto"/>
        </w:rPr>
        <w:t>The following summarizes our lease costs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620" w:type="dxa"/>
            <w:vAlign w:val="bottom"/>
            <w:gridSpan w:val="3"/>
          </w:tcPr>
          <w:p>
            <w:pPr>
              <w:ind w:left="4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280" w:type="dxa"/>
            <w:vAlign w:val="bottom"/>
          </w:tcPr>
          <w:p>
            <w:pPr>
              <w:spacing w:after="0"/>
              <w:rPr>
                <w:sz w:val="11"/>
                <w:szCs w:val="11"/>
                <w:color w:val="auto"/>
              </w:rPr>
            </w:pPr>
          </w:p>
        </w:tc>
        <w:tc>
          <w:tcPr>
            <w:tcW w:w="136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1"/>
                <w:szCs w:val="11"/>
                <w:color w:val="auto"/>
              </w:rPr>
            </w:pPr>
          </w:p>
        </w:tc>
        <w:tc>
          <w:tcPr>
            <w:tcW w:w="14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color w:val="auto"/>
              </w:rPr>
              <w:t>(In thousands)</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4"/>
          </w:tcPr>
          <w:p>
            <w:pPr>
              <w:jc w:val="right"/>
              <w:ind w:right="1094"/>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costs</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our lease term and discount rate for six months ended January 1, 2021:</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years</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38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January 1, 2021, our future minimum lease payments under all non-cancelable operating leases with an initial term in excess of one year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7"/>
        </w:trPr>
        <w:tc>
          <w:tcPr>
            <w:tcW w:w="9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(In thousands)</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Credit Facility and Debt</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May 4, 2020, we entered into Amendment No. 3 to Third Amended and Restated Loan and Security Agreement with Silicon Valley Bank (the “SVB Credit Facility”) which extended the expiration date to June 28, 2021. The SVB Credit Facility provides for a $25.0 million accounts receivable formula-based revolving credit facility that can be borrowed by our U.S. company, with a $25.0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January 1, 2021, available credit under the SVB Credit Facility was $23.5 million, reflecting the lower available limit of $25.0 million less outstanding letters of credit of $1.5 million. As of July 3, 2020, our outstanding debt balance under the SVB Credit Facility, classified as a current liability, was $9.0 million, and the interest rate was 3.75%. We repaid the outstanding debt balance in July 2020.</w:t>
      </w:r>
    </w:p>
    <w:p>
      <w:pPr>
        <w:spacing w:after="0" w:line="14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applicable prime or LIBOR rate. During the first six months of fiscal 2021, the weighted-average interest rate on our outstanding loan was 3.75%.</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January 1, 2021, we were in compliance with the quarterly financial covenants contained in the SVB Credit Facility, as amended.</w:t>
      </w:r>
    </w:p>
    <w:p>
      <w:pPr>
        <w:spacing w:after="0" w:line="13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obtained an uncommitted short-term line of credit of $0.4 million from a bank in New Zealand to support the operations of our New Zealand subsidiary. This line of credit provides for up to $0.3 million in short-term advances at various interest rates, all of which was available as of January 1, 2021 and July 3, 2020. The line of credit also provides for the issuance of standby letters of credit and company credit cards, of which $0.1 million was outstanding as of January 1, 2021 and July 3, 2020. This line of credit may be terminated upon notice, is reviewed annually for renewal or modification, and is supported by a corporate guarantee.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liabilities from contracts with customers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320" w:type="dxa"/>
            <w:vAlign w:val="bottom"/>
          </w:tcPr>
          <w:p>
            <w:pPr>
              <w:spacing w:after="0"/>
              <w:rPr>
                <w:sz w:val="16"/>
                <w:szCs w:val="16"/>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July 3, 2020</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44,661</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commissions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r>
    </w:tbl>
    <w:p>
      <w:pPr>
        <w:spacing w:after="0" w:line="13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January 1, 2021, we had $34.0 million in advance payments and unearned revenue and long-term unearned revenue, of which approximately 50% is expected to be recognized as revenue in the remainder of fiscal 2021 and the balance thereafter. During the six months ended January 1, 2021 we recognized approximately $15.8 million which was included in advance payments and unearned revenue at the beginning of the reporting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amount of transaction price allocated to our unsatisfied (or partially unsatisfied) performance obligations was approximately $77.0 million at January 1, 2021. Of this amount, we expect to recognize approximately 60% as revenue during the next 12 months, with the remaining amount to be recognized as revenue within two to five years.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Segment and Geographic Information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in one reportable business segment: the design, manufacturing, and sale of a range of wireless networking products, solutions, and services. Our financial performance is regularly reviewed by our chief operating decision maker who is our chief executive officer.</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report revenue by region and country based on the location where our customers accept delivery of our products and services. Revenue by region for the three and six months ended January 1, 2021 and December 27, 2019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38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1"/>
                <w:szCs w:val="1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280" w:type="dxa"/>
            <w:vAlign w:val="bottom"/>
          </w:tcPr>
          <w:p>
            <w:pPr>
              <w:spacing w:after="0"/>
              <w:rPr>
                <w:sz w:val="11"/>
                <w:szCs w:val="11"/>
                <w:color w:val="auto"/>
              </w:rPr>
            </w:pPr>
          </w:p>
        </w:tc>
        <w:tc>
          <w:tcPr>
            <w:tcW w:w="138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Pr>
          <w:p>
            <w:pPr>
              <w:spacing w:after="0"/>
              <w:rPr>
                <w:sz w:val="11"/>
                <w:szCs w:val="11"/>
                <w:color w:val="auto"/>
              </w:rPr>
            </w:pPr>
          </w:p>
        </w:tc>
        <w:tc>
          <w:tcPr>
            <w:tcW w:w="1320" w:type="dxa"/>
            <w:vAlign w:val="bottom"/>
          </w:tcPr>
          <w:p>
            <w:pPr>
              <w:jc w:val="right"/>
              <w:ind w:right="275"/>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4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76,239</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19,449</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and Russia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loss of a significant portion of business from any significant customers could adversely affect our unaudited condensed consolidated financial statements.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Customers accounting for 10% or more of our total revenue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3100" w:type="dxa"/>
            <w:vAlign w:val="bottom"/>
            <w:gridSpan w:val="4"/>
          </w:tcPr>
          <w:p>
            <w:pPr>
              <w:jc w:val="center"/>
              <w:ind w:right="1388"/>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ind w:left="44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0" w:type="dxa"/>
            <w:vAlign w:val="bottom"/>
          </w:tcPr>
          <w:p>
            <w:pPr>
              <w:spacing w:after="0"/>
              <w:rPr>
                <w:sz w:val="1"/>
                <w:szCs w:val="1"/>
                <w:color w:val="auto"/>
              </w:rPr>
            </w:pPr>
          </w:p>
        </w:tc>
      </w:tr>
      <w:tr>
        <w:trPr>
          <w:trHeight w:val="189"/>
        </w:trPr>
        <w:tc>
          <w:tcPr>
            <w:tcW w:w="5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 U.S. State Government Customer</w:t>
            </w:r>
          </w:p>
        </w:tc>
        <w:tc>
          <w:tcPr>
            <w:tcW w:w="9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Motorola Solutions, Inc.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80" w:hanging="229"/>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10.0%</w:t>
      </w:r>
    </w:p>
    <w:p>
      <w:pPr>
        <w:spacing w:after="0" w:line="17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accounting for 10% or more of our accounts receivable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July 3, 2020</w:t>
            </w:r>
          </w:p>
        </w:tc>
      </w:tr>
      <w:tr>
        <w:trPr>
          <w:trHeight w:val="228"/>
        </w:trPr>
        <w:tc>
          <w:tcPr>
            <w:tcW w:w="7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 U.S. State Government Customer</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Telephone Networks Group (MTN Group)</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319"/>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Less than 10.0%</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2018, our board of directors approved a stock repurchase program, which does not have an expiration date, for the repurchase of up to $7.5 million of our common stock.</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repurchased shares were retired. As of January 1, 2021, $3.4 million remained available under our stock repurchase program. The repurchase program has been suspended temporarily since February 2020. Therefore, during the first six months of fiscal 2021, we have not repurchased any shares of our common stock in the open market.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January 1, 2021, we had one stock incentive plan for our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8" w:name="page19"/>
    <w:bookmarkEnd w:id="18"/>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January 1, 2021, we granted 55,714 restricted stock units, 35,869 performance restricted stock units and 112,732 stock options to purchase shares of our common stock.</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compensation expense for share-based awards included in our unaudited condensed consolidated statements of operations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1"/>
                <w:szCs w:val="11"/>
                <w:color w:val="auto"/>
              </w:rPr>
            </w:pPr>
          </w:p>
        </w:tc>
        <w:tc>
          <w:tcPr>
            <w:tcW w:w="1340" w:type="dxa"/>
            <w:vAlign w:val="bottom"/>
          </w:tcPr>
          <w:p>
            <w:pPr>
              <w:jc w:val="right"/>
              <w:ind w:right="274"/>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gridSpan w:val="3"/>
            <w:vMerge w:val="continue"/>
          </w:tcPr>
          <w:p>
            <w:pPr>
              <w:spacing w:after="0"/>
              <w:rPr>
                <w:sz w:val="16"/>
                <w:szCs w:val="16"/>
                <w:color w:val="auto"/>
              </w:rPr>
            </w:pPr>
          </w:p>
        </w:tc>
        <w:tc>
          <w:tcPr>
            <w:tcW w:w="11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By Expense Category:</w:t>
            </w:r>
          </w:p>
        </w:tc>
        <w:tc>
          <w:tcPr>
            <w:tcW w:w="29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tcPr>
          <w:p>
            <w:pPr>
              <w:jc w:val="right"/>
              <w:ind w:right="9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6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8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By Types of Award: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68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Restricted and performance stock awards and units</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6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January 1, 2021, there was approximately $1.2 million of total unrecognized compensation expense related to non-vested stock options granted which are expected to be recognized over a weighted-average period of 2.1 years. As of January 1, 2021, there was $2.9 million of total unrecognized compensation expense related to non-vested stock awards which are expected to be recognized over a weighted-average period of 1.8 years.</w:t>
      </w:r>
    </w:p>
    <w:p>
      <w:pPr>
        <w:spacing w:after="0" w:line="12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September 6, 2016, our Board of Directors authorized and declared a dividend distribution of one right (a “Right”) for each outstanding share of our common stock, par value $0.01 per share, to our stockholders of record as of the close of business on September 16, 2016 (the “Record Date”). Each Right entitles the registered holder to purchase from the Company one one-thousandth of a share of Series A Participating Preferred Stock, par value $0.01 per share (the “Preferred Shares”), of the Company at an exercise price of $35.00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 The Plan expired on September 6, 2019. On March 3, 2020, our Board of Directors reauthorized the Plan at the same term with a Record Date of March 13, 2020. On August 27, 2020, we entered into the Amended and Restated Tax Benefit Preservation Plan (the “Amended and Restated Plan”) with Computershare Inc. as Rights Agent.</w:t>
      </w:r>
    </w:p>
    <w:p>
      <w:pPr>
        <w:spacing w:after="0" w:line="13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Amended and Restated Plan, reauthorized by our Board of Directors on March 3, 2020, was approved by our shareholders at our Annual Shareholders’ Meeting held on November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Restructuring Activities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restructuring-related activities: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40" w:type="dxa"/>
            <w:vAlign w:val="bottom"/>
            <w:gridSpan w:val="8"/>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Facilities and</w:t>
            </w:r>
          </w:p>
        </w:tc>
        <w:tc>
          <w:tcPr>
            <w:tcW w:w="220" w:type="dxa"/>
            <w:vAlign w:val="bottom"/>
          </w:tcPr>
          <w:p>
            <w:pPr>
              <w:spacing w:after="0"/>
              <w:rPr>
                <w:sz w:val="13"/>
                <w:szCs w:val="13"/>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8"/>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Q4 2020 Plan</w:t>
            </w:r>
          </w:p>
        </w:tc>
        <w:tc>
          <w:tcPr>
            <w:tcW w:w="106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Q3 2020 Plan</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Fiscal 2018-</w:t>
            </w:r>
          </w:p>
        </w:tc>
        <w:tc>
          <w:tcPr>
            <w:tcW w:w="9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Fiscal 2015-</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4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2019 Plan</w:t>
            </w:r>
          </w:p>
        </w:tc>
        <w:tc>
          <w:tcPr>
            <w:tcW w:w="22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2016 Plan</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July 3, 2020</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impact</w:t>
            </w: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balance, October 2, 2020</w:t>
            </w: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impact</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left="31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72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January 1, 2021</w:t>
            </w: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1, 2021, the accrual balance of $1.4 million was in short-term restructuring liabilities on our unaudited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2020 Plan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2020, our Board of Directors approved a restructuring plan (the “Q4 2020 Plan”) in order to continue to reduce our operating costs and improve profitability to optimize our business model and increase efficiencies. The Q4 2020 Plan is being implemented starting with our fourth fiscal quarter of 2020 through the second fiscal quarter of 2021. Payments related to the accrued restructuring liability balance for this plan are expected to be fully paid in fiscal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2020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2020, our Board of Directors approved a restructuring plan (the “Q3 2020 Plan”) in order to reduce our operating costs and improve profitability to optimize our business model and increase efficiencies. Payments related to the accrued restructuring liability balance for this plan are expected to be fully paid in fiscal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2018-2019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2018, our Board of Directors approved a restructuring plan (the “Fiscal 2018-2019 Plan”) to consolidate back-office support functions and align resources by geography to lower our expense structure. We completed the restructuring activities under the Fiscal 2018-2019 Plan at the end of fiscal 2019. Payments related to the accrued restructuring liability balance for this plan are expected to be fully paid in fiscal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2015-2016 Plan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2018, we reached a settlement with a certain foreign government for grant liabilities which allowed us to reduce our estimated payments relating to prior years’ restructuring plan by $0.3 million. 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included reductions in workforce across the Company, but primarily in operations outside the United States. We completed the restructuring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activities under the Fiscal 2015-2016 Plan as of July 1, 2016. Payments related to the accrued restructuring liability balance for this plan are expected to be paid in fiscal 2021.</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further information, see “Note 7. Restructuring Activities” in Part II, Item 8 of our 2020 Form 10-K.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effective tax rate varies from the U.S. federal statutory rate of 21% primarily due to results of foreign operations that are subject to income taxes at different statutory rates, certain jurisdictions where we cannot recognize tax benefit on current losses, and partial valuation allowance against U.S. federal and state deferred tax assets. During interim periods, we accrue tax expenses for jurisdictions that are anticipated to be profitable for fiscal 2021.</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our income taxes for the six months ended January 1, 2021 and December 27, 2019 was based on our estimated annual effective tax rate adjusted for losses in certain jurisdictions for which no tax benefit can be recognized. Our tax expense for the six months ended January 1, 2021 was primarily due to tax expense related to profitable subsidiaries and $0.4 million of tax expense related to an audit settlement with the Financial Administration of the Republic of Slovenia. The tax expense for the six months ended December 27, 2019 was primarily due to tax expense related to profitable subsidiaries and $0.6 million increase in our reserves for uncertain tax positions.</w:t>
      </w:r>
    </w:p>
    <w:p>
      <w:pPr>
        <w:spacing w:after="0" w:line="1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and a material increase or decrease in net income in the period in which we change our judgment. During the second quarter of fiscal 2021, we did not record any adjustment to valuation allowance on our U.S. deferred tax assets.</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entered into a tax sharing agreement with Harris Corporation (“Harris”) effective on January 26, 2007, the acquisition date of Stratex Networks, Inc. The tax sharing agreement addresses, among other things, the settlement process associated with pre-merger tax liabilities and tax attributes that were attributable to the Microwave Communication Division when it was a division of Harris. There have been no settlement payments recorded since the acquisition date. To the extent we become more profitable in the U.S. in the future, we may be required to make certain payments to Harris which is currently not estimable.</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number of open income tax audits covering various tax years, which vary from jurisdiction to jurisdiction. Our major tax jurisdictions that are open and subject to potential audits include the U.S., Singapore, Nigeria, Saudi Arabia and the Ivory Coast. The earliest years for these jurisdictions are as follows: U.S. - 2003; Singapore - 2015; Nigeria - 2006; Saudi Arabia - 2019, and Ivory Coast - 2017.</w:t>
      </w:r>
    </w:p>
    <w:p>
      <w:pPr>
        <w:spacing w:after="0" w:line="12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we received a tax refund of $1.2 million from the Federal Revenue of Brazil related to our withholding tax refund claim and recorded minimal tax expense related to interest as a discrete item.</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second quarter of 2021, we effectively settled a tax audit with the Financial Administration of the Republic of Slovenia for fiscal years 2016 to 2018 and recorded $0.4 million of tax expense related to the denial of research and development tax relief as a discrete item. During the second quarter of 2021, we effectively settled a tax audit with the General Authority of Zakat and Tax in Saudi Arabia for fiscal years 2016 to 2018 and recorded minimal tax benefit related to the release of previously recorded ASC 740-10 reserve as a discrete item.</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account for interest and penalties related to unrecognized tax benefits as part of our provision for federal, foreign and state income taxes. Such interest expense was not material for the three and six months ended January 1, 2021 and December 27, 2019.</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27, 2020, the U.S. enacted the Coronavirus Aid, Relief, and Economic Security (“CARES”) Act which provided certain tax relief measures including, but not limited to, (1) a five-year net operating loss carryback, (2) changes in the deduction of interest, (3) acceleration of alternative minimum tax credit (“AMT”) refunds, and (4) a technical correction to allow accelerated deductions for qualified improvement property. The Tax Cuts and Jobs Act repealed the corporate AMT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credit and allowed taxpayers to claim any unused AMT credit over four tax years beginning in tax year 2018. The CARES Act allows for acceleration of the refundable AMT credit up to 100% of the AMT credit to be refunded in tax year 2018. During the third quarter of fiscal 2020, in connection with our analysis of the impact of the CARES Act, we reclassified the refundable AMT credit of $3.4 million from a long-term to short-term receivable and recorded no income tax effects on the other tax relief measures of the CARES Act.</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27, 2020, the US enacted the Consolidated Appropriations Act of 2021 (CAA) which extended and expanded certain tax relief measures created by the CARES Act, including, but not limited to, (1) second round of Payroll Protection Program loans, and (2) the Employer Retention Credit for 2021. We continue to examine the elements of CARES Act and CAA and the impact they may have on our future business.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(Loss) Per Share of Common Stock</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income (loss)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94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55"/>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75"/>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 outstanding:</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(loss) per share calculations since they were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86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jc w:val="center"/>
              <w:ind w:left="328"/>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68"/>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ind w:left="4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40" w:type="dxa"/>
            <w:vAlign w:val="bottom"/>
          </w:tcPr>
          <w:p>
            <w:pPr>
              <w:jc w:val="right"/>
              <w:ind w:right="217"/>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4840" w:type="dxa"/>
            <w:vAlign w:val="bottom"/>
            <w:vMerge w:val="continue"/>
          </w:tcPr>
          <w:p>
            <w:pPr>
              <w:spacing w:after="0"/>
              <w:rPr>
                <w:sz w:val="16"/>
                <w:szCs w:val="16"/>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2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406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140" w:type="dxa"/>
            <w:vAlign w:val="bottom"/>
          </w:tcPr>
          <w:p>
            <w:pPr>
              <w:spacing w:after="0"/>
              <w:rPr>
                <w:sz w:val="19"/>
                <w:szCs w:val="19"/>
                <w:color w:val="auto"/>
              </w:rPr>
            </w:pPr>
          </w:p>
        </w:tc>
        <w:tc>
          <w:tcPr>
            <w:tcW w:w="1720" w:type="dxa"/>
            <w:vAlign w:val="bottom"/>
            <w:gridSpan w:val="3"/>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171</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January 1, 2021, we had outstanding purchase obligations with our suppliers or contract manufacturers of $25.8 million. In addition, we had contractual obligations of approximately $1.2 million associated with software licenses as of January 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January 1, 2021, we had no guarantees applicable to our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January 1, 2021, we had commercial commitments of $59.7 million outstanding that were not recorded on our unaudited condensed consolidated balance sheets. We do not believe, based on historical experience and information currently available, that it is probable that any significant amounts will be required to be paid on these performance guarantees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January 1, 2021,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January 1, 2021, we had not recorded any liabilities related to these indemnifications.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from time to time to disputes with customers concerning our products and services. In May 2016, we received notification of a claim for damages from a customer alleging that certain of our products were defective. Although we believe that we have numerous contractual and legal defenses to these disputes, at this time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operations, and cash flows could be adversely affected. The actual liability in any such matters may be materially different from our estimates, if any.</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4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significant.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4" w:name="page25"/>
    <w:bookmarkEnd w:id="24"/>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impact to our supply chain lead times and ability to fulfill orders was minimal for the three and six months ended January 1, 2021.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continue to monitor, assess and adapt to the situation and prepare for implications to our business, supply chain and customer demand. We expect these challenges to continue until business and economic activities return to more normal levels. The financial results for the three and six months ended January 1, 2021 reflect some of the reduced activity experienced during the period in various locations around the world and are not necessarily indicative of the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spacing w:after="0" w:line="2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COVID-19 on our business, operations and cash flows;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price and margin erosion as a result of increased competition in the microwave transmission industry;</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volume, timing, and customer, product, and geographic mix of our product orders;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financial covenant requirements which could impact, among other things, our liquidity;</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of our receipt of payment for products or services from our customers;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projected new product development dates or anticipated cost reductions of new products;</w:t>
      </w:r>
    </w:p>
    <w:p>
      <w:pPr>
        <w:spacing w:after="0" w:line="103" w:lineRule="exact"/>
        <w:rPr>
          <w:rFonts w:ascii="Times New Roman" w:cs="Times New Roman" w:eastAsia="Times New Roman" w:hAnsi="Times New Roman"/>
          <w:sz w:val="18"/>
          <w:szCs w:val="18"/>
          <w:i w:val="1"/>
          <w:iCs w:val="1"/>
          <w:color w:val="auto"/>
        </w:rPr>
      </w:pPr>
    </w:p>
    <w:p>
      <w:pPr>
        <w:ind w:left="980" w:right="140" w:hanging="324"/>
        <w:spacing w:after="0" w:line="360" w:lineRule="auto"/>
        <w:tabs>
          <w:tab w:leader="none" w:pos="97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suppliers’ inability to perform and deliver on time as a result of their financial condition, component shortages, the effects of COVID-19 or other supply chain constraints;</w:t>
      </w: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customer acceptance of new products;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subcontractors to timely perform;</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weakness in the global economy affecting customer spending;</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retention of our key personnel;</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manage and maintain key customer relationships;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economic conditions in the telecommunications sector combined with operator and supplier consolidation;</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protect our intellectual property rights or defend against intellectual property infringement claims by others;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results of our restructuring efforts;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preserve and use our net operating loss carryforwards;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currency and interest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ind w:left="980" w:right="360" w:hanging="324"/>
        <w:spacing w:after="0" w:line="360"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current and future government regulations, including the effects of current restrictions on various commercial and economic activities in response to the COVID-19 pandemic;</w:t>
      </w:r>
    </w:p>
    <w:p>
      <w:pPr>
        <w:ind w:left="980" w:right="220" w:hanging="324"/>
        <w:spacing w:after="0" w:line="360"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 economic conditions, including uncertainty regarding the timing, pace and extent of an economic recovery in the United States and other countries where we conduct business;</w:t>
      </w:r>
    </w:p>
    <w:p>
      <w:pPr>
        <w:ind w:left="980" w:hanging="324"/>
        <w:spacing w:after="0"/>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conduct of unethical business practices in developing countries;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political turmoil in countries where we have significant business;</w:t>
      </w:r>
    </w:p>
    <w:p>
      <w:pPr>
        <w:spacing w:after="0" w:line="103" w:lineRule="exact"/>
        <w:rPr>
          <w:rFonts w:ascii="Times New Roman" w:cs="Times New Roman" w:eastAsia="Times New Roman" w:hAnsi="Times New Roman"/>
          <w:sz w:val="18"/>
          <w:szCs w:val="18"/>
          <w:i w:val="1"/>
          <w:iCs w:val="1"/>
          <w:color w:val="auto"/>
        </w:rPr>
      </w:pPr>
    </w:p>
    <w:p>
      <w:pPr>
        <w:ind w:left="980" w:right="260" w:hanging="324"/>
        <w:spacing w:after="0" w:line="360"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ind w:left="980" w:hanging="324"/>
        <w:spacing w:after="0"/>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implement our stock repurchase program or that it will enhance long-term stockholder value.</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factors besides those listed here also could adversely affect us. See “Item 1A. Risk Factors” in our fiscal 2020 Annual Report on Form 10-K filed with the SEC on August 27, 2020 for more information regarding factors that may cause our results to differ materially from those expressed or implied by the forward-looking statements contained in this Quarterly Report on Form 10-Q.</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2021 and 2020 Results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2, 2021 is referred to as “fiscal 2021” or “2021” and our fiscal year ended July 3, 2020 is referred to as “fiscal 2020” or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anticipate growth in revenue in fiscal 2021. We have a healthy backlog entering fiscal 2021 and we anticipate continuing our strong momentum across all verticals. We have made inroads into the U.S. rural broadband and wireless internet service provider areas and there is now further evidence of investment to support 5G deployments with our U.S. service provider customers. Internationally, we are continuing a more conservative view of our revenue opportunity based on a variety of factors that have led to an overall capital spending decline and increased competitive intensity.</w:t>
      </w:r>
    </w:p>
    <w:p>
      <w:pPr>
        <w:spacing w:after="0" w:line="12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had and is likely to continue to have an impact on our operations, supply chains and distribution systems. The COVID-19 pandemic has led to an increase in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including the ongoing vaccination efforts and how quickly and to what extent normal economic and operating activities can resume. Management is actively monitoring the impact of the COVID-19 pandemic on our financial condition, liquidity, operations, suppliers, industry, and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7" w:name="page28"/>
    <w:bookmarkEnd w:id="2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impact to our supply chain lead times and ability to fulfill orders was minimal for the three and six months ended January 1, 2021.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are monitoring, assessing and adapting to the situation and preparing for implications to our business, supply chain and customer demand. We expect these challenges to continue until business and economic activities return to more normal levels. The financial results for the three and six months ended January 1, 2021 reflect some of the reduced activity experienced during the period in various locations around the world and are not necessarily indicative of the results for the full year.</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for mobile backhaul continued to be our primary addressable market segment globally in the first half of fiscal 2021.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Annual Report on Form 10-K filed with the SEC on August 27, 2020, a number of factors could prevent us from achieving our objectives, including ongoing pricing pressures attributable to competition and macroeconomic conditions in the geographic markets that we service.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six months ended January 1, 2021 and December 27, 2019 and the related changes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4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1"/>
                <w:szCs w:val="11"/>
                <w:color w:val="auto"/>
              </w:rPr>
            </w:pPr>
          </w:p>
        </w:tc>
        <w:tc>
          <w:tcPr>
            <w:tcW w:w="8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4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1"/>
                <w:szCs w:val="11"/>
                <w:color w:val="auto"/>
              </w:rPr>
            </w:pPr>
          </w:p>
        </w:tc>
        <w:tc>
          <w:tcPr>
            <w:tcW w:w="8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10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36,472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76,239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18,418</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19,449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and Russia</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Latin America and Asia</w:t>
            </w:r>
          </w:p>
        </w:tc>
        <w:tc>
          <w:tcPr>
            <w:tcW w:w="3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8,251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13,098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0" w:type="dxa"/>
            <w:vAlign w:val="bottom"/>
          </w:tcPr>
          <w:p>
            <w:pPr>
              <w:spacing w:after="0"/>
              <w:rPr>
                <w:sz w:val="1"/>
                <w:szCs w:val="1"/>
                <w:color w:val="auto"/>
              </w:rPr>
            </w:pPr>
          </w:p>
        </w:tc>
      </w:tr>
      <w:tr>
        <w:trPr>
          <w:trHeight w:val="213"/>
        </w:trPr>
        <w:tc>
          <w:tcPr>
            <w:tcW w:w="1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Pacific</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55,997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114,611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in North America increased by $12.7 million, or 34.8%, during the second quarter of fiscal 2021 compared with the same period of fiscal 2020. Revenue in North America increased by $18.4 million, or 24.2%, during the first six months of fiscal 2021 compared with the same period of fiscal 2020. The increase in North America revenue during the three and six months of fiscal 2021 was primarily due to an increase in the number of private network projects.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in Africa and the Middle East increased by $1.8 million or 20.4% during the second quarter of fiscal 2021 compared with the same period of fiscal 2020. Revenue in Africa and the Middle East increased by $1.8 million, or 9.2%, during the first six months of fiscal 2021 compared with the same period of fiscal 2020. This increase in revenue during the three and six months of fiscal 2021 was primarily due to increased sales to mobile operators in the region.</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 Europe and Russia decreased by $0.9 million, or 37.5%, for the second quarter of fiscal 2021 compared with the same period of fiscal 2020. Revenue in Europe and Russia decreased by $2.1 million, or 35.2%, during the first six months of fiscal 2021 compared with the same period of fiscal 2020. This decrease during the three and six months of fiscal 2021 was primarily due to lower sales to mobile operators in the region.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 Latin America and Asia Pacific increased by $0.9 million, or 11.5%, during the second quarter of fiscal 2021 compared with the same period of fiscal 2020. Revenue in Latin America and Asia Pacific increased by $4.1 million, or 31.0%, during the first six months of fiscal 2021 compared with the same period of fiscal 2020. This increase during the three and six months of fiscal 2021 was primarily due to increased sales to mobile operators in the region.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4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1"/>
                <w:szCs w:val="11"/>
                <w:color w:val="auto"/>
              </w:rPr>
            </w:pPr>
          </w:p>
        </w:tc>
        <w:tc>
          <w:tcPr>
            <w:tcW w:w="8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4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1"/>
                <w:szCs w:val="11"/>
                <w:color w:val="auto"/>
              </w:rPr>
            </w:pPr>
          </w:p>
        </w:tc>
        <w:tc>
          <w:tcPr>
            <w:tcW w:w="8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10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34,152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70,746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0" w:type="dxa"/>
            <w:vAlign w:val="bottom"/>
          </w:tcPr>
          <w:p>
            <w:pPr>
              <w:spacing w:after="0"/>
              <w:rPr>
                <w:sz w:val="1"/>
                <w:szCs w:val="1"/>
                <w:color w:val="auto"/>
              </w:rPr>
            </w:pPr>
          </w:p>
        </w:tc>
      </w:tr>
      <w:tr>
        <w:trPr>
          <w:trHeight w:val="213"/>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21,845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43,865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55,997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114,611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from product sales increased by $12.5 million, or 36.7%, for the second quarter of fiscal 2021 compared with the same quarter of fiscal 2020. Product sales increased compared to the same period in fiscal 2020 in North America, Africa and the Middle East, and in Latin America, with small declines in the other regions. Our services revenue increased by $2.0 million, or 9.1%, during the second quarter of fiscal 2021 compared with the same quarter of fiscal 2020. Services revenue increased in North America and Latin America and Asia Pacific, offset by lesser declines in Africa and the Middle East and Europe and Russia.</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from product sales increased by $20.4 million, or 28.8%, for the first six months of fiscal 2021 compared with the same period of fiscal 2020. Product sales increased for all regions, except for Europe and Russia compared to the same period in fiscal 2020. Our services revenue increased by $1.8 million, or 4.1%, during the first six months of fiscal 2021 compared with the same period of fiscal 2020. Service sales increased for all regions, except for Europe and Russia and Africa and the Middle East compared to the same period in fiscal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00" w:type="dxa"/>
            <w:vAlign w:val="bottom"/>
          </w:tcPr>
          <w:p>
            <w:pPr>
              <w:spacing w:after="0"/>
              <w:rPr>
                <w:sz w:val="12"/>
                <w:szCs w:val="12"/>
                <w:color w:val="auto"/>
              </w:rPr>
            </w:pPr>
          </w:p>
        </w:tc>
        <w:tc>
          <w:tcPr>
            <w:tcW w:w="10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140" w:type="dxa"/>
            <w:vAlign w:val="bottom"/>
          </w:tcPr>
          <w:p>
            <w:pPr>
              <w:spacing w:after="0"/>
              <w:rPr>
                <w:sz w:val="12"/>
                <w:szCs w:val="12"/>
                <w:color w:val="auto"/>
              </w:rPr>
            </w:pPr>
          </w:p>
        </w:tc>
        <w:tc>
          <w:tcPr>
            <w:tcW w:w="8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06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percentages)</w:t>
            </w: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70,531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55,997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14,534</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136,821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114,611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0" w:type="dxa"/>
            <w:vAlign w:val="bottom"/>
          </w:tcPr>
          <w:p>
            <w:pPr>
              <w:spacing w:after="0"/>
              <w:rPr>
                <w:sz w:val="1"/>
                <w:szCs w:val="1"/>
                <w:color w:val="auto"/>
              </w:rPr>
            </w:pPr>
          </w:p>
        </w:tc>
      </w:tr>
      <w:tr>
        <w:trPr>
          <w:trHeight w:val="213"/>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43,622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37,678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85,663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73,736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26,909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18,319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51,158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40,875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38.2 %</w:t>
            </w:r>
          </w:p>
        </w:tc>
        <w:tc>
          <w:tcPr>
            <w:tcW w:w="232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rPr>
              <w:t>32.7 %</w:t>
            </w:r>
          </w:p>
        </w:tc>
        <w:tc>
          <w:tcPr>
            <w:tcW w:w="24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37.4 %</w:t>
            </w:r>
          </w:p>
        </w:tc>
        <w:tc>
          <w:tcPr>
            <w:tcW w:w="3120" w:type="dxa"/>
            <w:vAlign w:val="bottom"/>
          </w:tcPr>
          <w:p>
            <w:pPr>
              <w:jc w:val="right"/>
              <w:ind w:right="2139"/>
              <w:spacing w:after="0"/>
              <w:rPr>
                <w:sz w:val="20"/>
                <w:szCs w:val="20"/>
                <w:color w:val="auto"/>
              </w:rPr>
            </w:pPr>
            <w:r>
              <w:rPr>
                <w:rFonts w:ascii="Times New Roman" w:cs="Times New Roman" w:eastAsia="Times New Roman" w:hAnsi="Times New Roman"/>
                <w:sz w:val="16"/>
                <w:szCs w:val="16"/>
                <w:color w:val="auto"/>
              </w:rPr>
              <w:t>35.7 %</w:t>
            </w:r>
          </w:p>
        </w:tc>
      </w:tr>
      <w:tr>
        <w:trPr>
          <w:trHeight w:val="219"/>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Product margin %</w:t>
            </w:r>
          </w:p>
        </w:tc>
        <w:tc>
          <w:tcPr>
            <w:tcW w:w="14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41.2 %</w:t>
            </w:r>
          </w:p>
        </w:tc>
        <w:tc>
          <w:tcPr>
            <w:tcW w:w="232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rPr>
              <w:t>32.7 %</w:t>
            </w:r>
          </w:p>
        </w:tc>
        <w:tc>
          <w:tcPr>
            <w:tcW w:w="24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39.3 %</w:t>
            </w:r>
          </w:p>
        </w:tc>
        <w:tc>
          <w:tcPr>
            <w:tcW w:w="3120" w:type="dxa"/>
            <w:vAlign w:val="bottom"/>
            <w:shd w:val="clear" w:color="auto" w:fill="CCEEFF"/>
          </w:tcPr>
          <w:p>
            <w:pPr>
              <w:jc w:val="right"/>
              <w:ind w:right="2139"/>
              <w:spacing w:after="0"/>
              <w:rPr>
                <w:sz w:val="20"/>
                <w:szCs w:val="20"/>
                <w:color w:val="auto"/>
              </w:rPr>
            </w:pPr>
            <w:r>
              <w:rPr>
                <w:rFonts w:ascii="Times New Roman" w:cs="Times New Roman" w:eastAsia="Times New Roman" w:hAnsi="Times New Roman"/>
                <w:sz w:val="16"/>
                <w:szCs w:val="16"/>
                <w:color w:val="auto"/>
              </w:rPr>
              <w:t>38.1 %</w:t>
            </w:r>
          </w:p>
        </w:tc>
      </w:tr>
      <w:tr>
        <w:trPr>
          <w:trHeight w:val="210"/>
        </w:trPr>
        <w:tc>
          <w:tcPr>
            <w:tcW w:w="1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margin %</w:t>
            </w: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32.2 %</w:t>
            </w:r>
          </w:p>
        </w:tc>
        <w:tc>
          <w:tcPr>
            <w:tcW w:w="232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rPr>
              <w:t>32.7 %</w:t>
            </w:r>
          </w:p>
        </w:tc>
        <w:tc>
          <w:tcPr>
            <w:tcW w:w="24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33.7 %</w:t>
            </w:r>
          </w:p>
        </w:tc>
        <w:tc>
          <w:tcPr>
            <w:tcW w:w="3120" w:type="dxa"/>
            <w:vAlign w:val="bottom"/>
          </w:tcPr>
          <w:p>
            <w:pPr>
              <w:jc w:val="right"/>
              <w:ind w:right="2139"/>
              <w:spacing w:after="0"/>
              <w:rPr>
                <w:sz w:val="20"/>
                <w:szCs w:val="20"/>
                <w:color w:val="auto"/>
              </w:rPr>
            </w:pPr>
            <w:r>
              <w:rPr>
                <w:rFonts w:ascii="Times New Roman" w:cs="Times New Roman" w:eastAsia="Times New Roman" w:hAnsi="Times New Roman"/>
                <w:sz w:val="16"/>
                <w:szCs w:val="16"/>
                <w:color w:val="auto"/>
              </w:rPr>
              <w:t>31.7 %</w:t>
            </w:r>
          </w:p>
        </w:tc>
      </w:tr>
    </w:tbl>
    <w:p>
      <w:pPr>
        <w:spacing w:after="0" w:line="14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margin for the second quarter of fiscal 2021 increased by $8.6 million, or 46.9% compared with the same quarter of fiscal 2020. Gross margin for the first six months of fiscal 2021 increased by $10.3 million, or 25.2%. For the three and six months of fiscal 2021, gross margin improved over the same period in fiscal 2020 primarily due to higher volume and increased profitability of product and service businesses, mainly in North America.</w:t>
      </w:r>
    </w:p>
    <w:p>
      <w:pPr>
        <w:spacing w:after="0" w:line="12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Product margin as a percentage of product revenue increased in the second quarter of fiscal 2021 compared with the same period of fiscal 2020 primarily due to improved margins in North America. Service margin as a percentage of service revenue decreased in the second quarter of fiscal 2021 compared with the same period in fiscal 2020 primarily due to regional and service mix.</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Product margin and service margin as a percentage of product revenue and service revenue, respectively, improved in the first six months of fiscal 2021 compared with the same period of fiscal 2020 due to improved product and service margins in all regions, except Europe and Russia.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00" w:type="dxa"/>
            <w:vAlign w:val="bottom"/>
            <w:vMerge w:val="restart"/>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0"/>
                <w:szCs w:val="10"/>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00" w:type="dxa"/>
            <w:vAlign w:val="bottom"/>
            <w:vMerge w:val="restart"/>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0"/>
                <w:szCs w:val="10"/>
                <w:color w:val="auto"/>
              </w:rPr>
            </w:pPr>
          </w:p>
        </w:tc>
        <w:tc>
          <w:tcPr>
            <w:tcW w:w="106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5,419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shd w:val="clear" w:color="auto" w:fill="CCEEFF"/>
          </w:tcPr>
          <w:p>
            <w:pPr>
              <w:spacing w:after="0"/>
              <w:rPr>
                <w:sz w:val="12"/>
                <w:szCs w:val="12"/>
                <w:color w:val="auto"/>
              </w:rPr>
            </w:pPr>
          </w:p>
        </w:tc>
        <w:tc>
          <w:tcPr>
            <w:tcW w:w="1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1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10,266</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10,194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by $0.4 million, or 8.9%, in the second quarter of fiscal 2021 compared with the same period of fiscal 2020 primarily due to increased product development activities. Our research and development expenses were relatively flat for the six months of fiscal 2021 compared to the comparable periods of fiscal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00" w:type="dxa"/>
            <w:vAlign w:val="bottom"/>
            <w:vMerge w:val="restart"/>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10"/>
                <w:szCs w:val="10"/>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00" w:type="dxa"/>
            <w:vAlign w:val="bottom"/>
            <w:vMerge w:val="restart"/>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0"/>
                <w:szCs w:val="10"/>
                <w:color w:val="auto"/>
              </w:rPr>
            </w:pPr>
          </w:p>
        </w:tc>
        <w:tc>
          <w:tcPr>
            <w:tcW w:w="106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Selling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13,612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14,457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shd w:val="clear" w:color="auto" w:fill="CCEEFF"/>
          </w:tcPr>
          <w:p>
            <w:pPr>
              <w:spacing w:after="0"/>
              <w:rPr>
                <w:sz w:val="12"/>
                <w:szCs w:val="12"/>
                <w:color w:val="auto"/>
              </w:rPr>
            </w:pPr>
          </w:p>
        </w:tc>
        <w:tc>
          <w:tcPr>
            <w:tcW w:w="1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1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26,449</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29,101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1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selling and administrative expenses decreased by $0.8 million, or 5.8%, in the second quarter of fiscal 2021 compared with the same period in fiscal 2020. Our selling and administrative expenses decreased by $2.7 million, or 9.1%, for the six months of fiscal 2021 compared with the same period in fiscal 2020. The decreases for the three and six months of fiscal 2021 compared to comparable periods of fiscal 2020 were primarily due to lower travel expenses and restructuring savings.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7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40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400" w:type="dxa"/>
            <w:vAlign w:val="bottom"/>
            <w:gridSpan w:val="4"/>
            <w:vMerge w:val="continue"/>
          </w:tcPr>
          <w:p>
            <w:pPr>
              <w:spacing w:after="0"/>
              <w:rPr>
                <w:sz w:val="16"/>
                <w:szCs w:val="16"/>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104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1,558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2020 and the first six months of fiscal 2020, we recognized restructuring charges of $0.4 million and $1.6 million, respectively, related to the Fiscal 2020 Plan, which was primarily to consolidate product development, right size our resources to support our international business and other support functions.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7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520" w:type="dxa"/>
            <w:vAlign w:val="bottom"/>
            <w:tcBorders>
              <w:top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reflected interest earned on our cash equivalents, which were comprised of money market funds and bank certificates of deposit.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was primarily related to interest associated with borrowings under the SVB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2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(loss) before</w:t>
            </w:r>
          </w:p>
        </w:tc>
        <w:tc>
          <w:tcPr>
            <w:tcW w:w="420" w:type="dxa"/>
            <w:vAlign w:val="bottom"/>
            <w:tcBorders>
              <w:top w:val="single" w:sz="8" w:color="auto"/>
            </w:tcBorders>
            <w:vMerge w:val="restart"/>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14,292</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6,380.4 %</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Provision for income</w:t>
            </w:r>
          </w:p>
        </w:tc>
        <w:tc>
          <w:tcPr>
            <w:tcW w:w="42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335.2 %</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1,841</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4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tax expense for the first six months of fiscal 2021 and the comparable periods in fiscal 2020 was primarily due to tax expense related to profitable subsidiaries and $0.4 million of tax expense related to an audit settlement with the Financial Administration of the Republic of Slovenia. The tax expense for the first six months of fiscal 2020 was primarily due to tax expense related to profitable subsidiaries and certain withholding taxes as well as a $0.6 million increase in our reserves for uncertain tax positions.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we received a tax refund of $1.2 million from the Federal Revenue of Brazil related to our withholding tax refund claim and recorded minimal tax expense related to interest as a discrete item.</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second quarter of 2021, we effectively settled a tax audit with the Financial Administration of the Republic of Slovenia for fiscal years 2016 to 2018 and recorded $0.4 million of tax expense related to the denial of research and development tax relief as a discrete item. During the second quarter of 2021, we effectively settled a tax audit with the General Authority of Zakat and Tax in Saudi Arabia for fiscal years 2016 to 2018 and recorded minimal tax benefit related to the release of previously recorded ASC 740-10 reserve as a discrete item.</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and a material increase or decrease in net income in the period in which we change our judgment. During the second quarter of fiscal 2021, we did not record any adjustment to valuation allowance on our U.S. deferred tax assets.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January 1, 2021, our total cash and cash equivalents were $43.0 million. Approximately $27.0 million, or 62.6%, was held in the United States. The remaining balance of $16.1 million, or 37.4%, was held by entities outside the United States. Of the amount of cash and cash equivalents held by our foreign subsidiaries on January 1, 2021, $15.5 million was held in jurisdictions where our undistributed earnings are indefinitely reinvested, and if repatriated, would be subject to foreign withholding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Cash provided by or used in operating activities is presented as net income adjusted for non-cash items and changes in operating assets and liabilities. Net cash provided by operating activities was $10.2 million for the first six months of fiscal 2021, compared to $10.8 million for the first six months of fiscal 2020; this difference was primarily related to a net change in Accounts receivable and partially offset by the net change in Net income. Net cash provided by noncash items was $5.7 million for the first six months of both 2021 and 2020. The net changes in operating assets and liabilities resulted in a net use of cash of $8.0 million for the first six months of fiscal 2021, compared to net cash provided by operating activities of $7.2 million for the same period in fiscal 2020.</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in operating assets and liabilities resulted in a net use of cash for the first six months of fiscal 2021 primarily related to Accounts receivable that fluctuate from period to period, depending on the amount, timing of sales and billing activities and cash collections; and the timing of Accrued expenses. The use of cash from assets and liabilities was partially offset by cash provided by the timing of payments of Accounts payable and changes in Inventory due to demand and our focus on inventory management.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$1.4 million and $2.4 million for the first six months of fiscal 2021 and 2020, respectively, which consisted of capital expenditures. During the remainder of fiscal year 2021, we expect to spend approximately $3.5 million for capital expenditures, primarily on equipment for development and manufacturing of new products and IT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Financing cash flows consist primarily of proceeds from and repayments of short-term debt, repurchase of stock and proceeds from the sale of shares of common stock through employee equity plans. Net cash used in financing activities was $7.7 million for the first six months of fiscal 2021, primarily due to $9.0 million repayment of short-term debt partially offset by cash proceeds from the issuance of common stock under employee stock plans of $1.5 million. Net cash used in financing activities was $2.1 million for the first six months of fiscal 2020, primarily due to repurchases of common stock of $1.4 million and the payments for taxes related to net settlement of equity awards of $0.7 million.</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January 1, 2021, our principal sources of liquidity consisted of $43.0 million in cash and cash equivalents; $23.5 million of available credit under our $25.0 million credit facility with Silicon Valley Bank (“SVB Credit Facility”), which matures on June 28, 2021,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4, 2020, we entered into Amendment No. 3 to Third Amended and Restated Loan and Security Agreement which extended the maturity date of the SVB Credit Facility to June 28, 2021. While we intend to continue to renew the SVB Credit Facility annually, there can be no assurance that the SVB Credit Facility will be renewed. In addition, there can be no assurance that our business will generate cash flow from operations, that we will be in compliance with the quarterly financial covenants contained in the SVB Credit Facility, or that we will have a sufficient borrowing base under such facility. If we are not in compliance with the financial covenants or do not have sufficient eligible accounts receivable to support our borrowing base, borrowings under the SVB Credit Facility may not be available or our borrowing base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1, 2021, we were in compliance with the quarterly financial covenants, as amended, contained in the SVB Credit Facility and there was no amount outstanding.</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January 1, 2021 and July 3, 2020. The line of credit also provides for the issuance of standby letters of credit and company credit cards, of which $0.1 million was outstanding as of January 1, 2021 and July 3, 2020. This facility may be terminated upon notice, is reviewed annually for renewal or modification, and is supported by a corporate guarantee.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had liabilities for restructuring activities totaling $1.4 million as of January 1, 2021, which were classified as current liabilities and expected to be paid out in cash over the next 12 months. We expect to fund these future payments with available cash and cash provided by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amounts disclosed in our fiscal 2020 Annual Report on Form 10-K filed with the SEC on August 27, 2020 include our commercial commitments and contractual obligations. During the first six months of fiscal 2021, no material changes occurred in our contractual obligations to purchase goods and services or to make payments under operating leases or our contingent liabilities on outstanding letters of credit, guarantees, and other arrangements as disclosed in our fiscal 2020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the definition under SEC rules (Item 303(a)(4)(ii) of Regulation S-K), any of the following qualify as off-balance sheet arrangements:</w:t>
      </w:r>
    </w:p>
    <w:p>
      <w:pPr>
        <w:spacing w:after="0" w:line="108" w:lineRule="exact"/>
        <w:rPr>
          <w:sz w:val="20"/>
          <w:szCs w:val="20"/>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under certain guarantee contracts;</w:t>
      </w:r>
    </w:p>
    <w:p>
      <w:pPr>
        <w:spacing w:after="0" w:line="171"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10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including a contingent obligation, under certain derivative instruments; and</w:t>
      </w:r>
    </w:p>
    <w:p>
      <w:pPr>
        <w:spacing w:after="0" w:line="171"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January 1, 2021,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1, 2021, we had commercial commitments of $59.7 million.</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Please refer to “Note 12 Commitments and Contingencies” of the Notes to unaudited condensed consolidated financial statements in this Quarterly Report on Form 10-Q for Contractual Obligations and Off-Balance Sheet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about our critical accounting estimates, see the “Critical Accounting Estimates” section of “Item 7. Management’s Discussion and Analysis of Financial Condition and Results of Operations” in our fiscal 2020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use foreign exchange forward contracts to hedge forecasted foreign currency transactions relating to forecasted sales and purchase transactions. The foreign exchange hedges do not qualify as cash flow hedges. The changes in fair value related to the hedges were recorded in income or expenses line items on our statements of operations.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period. Changes in the fair value of these derivatives are largely offset by re-measurement of the underlying assets and liabilities.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1, 2021, we had no foreign currency forward contracts.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foreign exchange expense recorded in our unaudited condensed consolidated statements of operations during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2021 and December 27, 2019 was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jc w:val="center"/>
              <w:ind w:left="304"/>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82"/>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1"/>
                <w:szCs w:val="11"/>
                <w:color w:val="auto"/>
              </w:rPr>
            </w:pPr>
          </w:p>
        </w:tc>
        <w:tc>
          <w:tcPr>
            <w:tcW w:w="1340" w:type="dxa"/>
            <w:vAlign w:val="bottom"/>
          </w:tcPr>
          <w:p>
            <w:pPr>
              <w:jc w:val="center"/>
              <w:ind w:right="142"/>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included in costs of revenues</w:t>
            </w:r>
          </w:p>
        </w:tc>
        <w:tc>
          <w:tcPr>
            <w:tcW w:w="116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our international business is transacted in non-U.S. dollar currency. As discussed above, we utilize foreign currency hedging instruments to minimize the currency risk of international transactions. The impact of translating the assets and liabilities of foreign operations to U.S. dollars for the first six months of fiscal 2021 and 2020 was $0.6 million and $0.1 million, respectively, and was included as a component of stockholders’ equity. As of January 1, 2021 and July 3, 2020, the cumulative translation adjustment decreased our equity by $14.4 million and $15.0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equivalents and borrowings under our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had $43.0 million in total cash and cash equivalents as of January 1, 2021. Cash equivalents totaled $27.4 million as of January 1, 2021 and were comprised of money market funds and bank certificates of deposit. Cash equivalents investments have been recorded at fair value on our balance sheet.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cash equivalents earn interest at fixed rates; therefore, changes in interest rates will not generate a gain or loss on these investments unless they are sold prior to maturity. The weighted-average days to maturity for cash equivalents held as of January 1, 2021 was 38 days, and these investments had an average yield of approximately 3.84% per annum. A 10% change in interest rates on our cash equivalents is not expected to have a material impact on our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borrowings under the SVB Credit Facility incurred interest at the prime rate plus a spread of 0.50% to 1.50% with such spread determined based on our adjusted quick ratio. During the first six months of fiscal 2021, our weighted-average interest rate was 3.75%, and the interest expense on these borrowings was insignificant.</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management’s evaluation, with the participation of our President and Chief Executive Officer (“CEO”), and Chief Financial Officer (“CFO”), as of the end of the period covered by this report, our CEO and CFO have concluded that our disclosure controls and procedures, as defined in Rules 13a-15(e) and 15d-15(e) under the Exchange Act, as of January 1, 2021,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CEO and CFO,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were no changes to our internal controls over financial reporting as defined in Rules 13a-15(f) or 15d-15(f) that occurred during the quarter ended January 1, 2021 that have materially affected, or are reasonably likely to materially affect, our internal controls over financial reporting.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significant.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5" w:name="page36"/>
    <w:bookmarkEnd w:id="35"/>
    <w:p>
      <w:pPr>
        <w:spacing w:after="0" w:line="200" w:lineRule="exact"/>
        <w:rPr>
          <w:sz w:val="20"/>
          <w:szCs w:val="20"/>
          <w:color w:val="auto"/>
        </w:rPr>
      </w:pP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legal proceedings as of January 1, 2021, please refer to “Legal Proceedings” and “Contingent Liabilities” under “Note 12 Commitments and Contingencies” of the Notes to unaudited condensed consolidated financial statements in this Quarterly Report on Form 10-Q, which are incorporated into this item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2020 Annual Report on Form 10-K filed with the SEC on August 27, 2020.</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May 2018, our board of directors approved a stock repurchase program, which does not have an expiration date, for the repurchase of up to $7.5 million of our common stock. The repurchase program has been suspended temporarily since February 2020; therefore, during the first six months of fiscal 2021, we have not repurchased any shares of our common stock in the open market. As of January 1, 2021, $3.4 million remained available under our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by reference to exhibits previously filed with the SEC: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57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187"/>
        </w:trPr>
        <w:tc>
          <w:tcPr>
            <w:tcW w:w="114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00" w:type="dxa"/>
            <w:vAlign w:val="bottom"/>
            <w:tcBorders>
              <w:top w:val="single" w:sz="8" w:color="auto"/>
            </w:tcBorders>
            <w:gridSpan w:val="5"/>
            <w:shd w:val="clear" w:color="auto" w:fill="CCEEFF"/>
          </w:tcPr>
          <w:p>
            <w:pPr>
              <w:spacing w:after="0" w:line="188"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Certificate of Incorporation of Aviat Networks, Inc., as amended (incorporated by reference to Exhibit 3.1 to the</w:t>
              </w:r>
            </w:hyperlink>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Current Report on Form 10-Q filed with the SEC on February 10, 2017, File No. 001-33278)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5"/>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Bylaws of Aviat Networks, Inc. (incorporated by reference to Exhibit 3.1 to the Current Report on Form 8-K filed</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with the SEC on September 24, 2020, File No. 001-33278)</w:t>
              </w:r>
            </w:hyperlink>
          </w:p>
        </w:tc>
        <w:tc>
          <w:tcPr>
            <w:tcW w:w="2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Borders>
              <w:top w:val="single" w:sz="8" w:color="0000FF"/>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Rule 13a-14(a)/15d-14(a) Certification of President and Chief Executive Officer</w:t>
              </w:r>
            </w:hyperlink>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5"/>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Rule 13a-14(a)/15d-14(a) Certification of Chief Financial Officer</w:t>
              </w:r>
            </w:hyperlink>
          </w:p>
        </w:tc>
      </w:tr>
      <w:tr>
        <w:trPr>
          <w:trHeight w:val="23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Section 1350 Certification of Chief Executive Officer and Chief Financial Officer</w:t>
              </w:r>
            </w:hyperlink>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60" w:hanging="1234"/>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 w:lineRule="exact"/>
        <w:rPr>
          <w:sz w:val="20"/>
          <w:szCs w:val="20"/>
          <w:color w:val="auto"/>
        </w:rPr>
      </w:pPr>
    </w:p>
    <w:p>
      <w:pPr>
        <w:ind w:left="1260" w:hanging="1234"/>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AVIAT NETWORKS, INC.</w:t>
      </w: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200" w:lineRule="exact"/>
        <w:rPr>
          <w:sz w:val="20"/>
          <w:szCs w:val="20"/>
          <w:color w:val="auto"/>
        </w:rPr>
      </w:pPr>
    </w:p>
    <w:p>
      <w:pPr>
        <w:spacing w:after="0" w:line="201"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3265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4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Eric Chang</w:t>
      </w:r>
    </w:p>
    <w:p>
      <w:pPr>
        <w:ind w:left="6120"/>
        <w:spacing w:after="0" w:line="203" w:lineRule="auto"/>
        <w:rPr>
          <w:sz w:val="20"/>
          <w:szCs w:val="20"/>
          <w:color w:val="auto"/>
        </w:rPr>
      </w:pPr>
      <w:r>
        <w:rPr>
          <w:rFonts w:ascii="Times New Roman" w:cs="Times New Roman" w:eastAsia="Times New Roman" w:hAnsi="Times New Roman"/>
          <w:sz w:val="18"/>
          <w:szCs w:val="18"/>
          <w:color w:val="auto"/>
        </w:rPr>
        <w:t>Senior Vice President and Chief Financial Officer (duly authorized</w:t>
      </w:r>
    </w:p>
    <w:p>
      <w:pPr>
        <w:ind w:left="61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3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Smith.,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January 1, 2021,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2021</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Smith</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Peter Smith</w:t>
            </w:r>
          </w:p>
        </w:tc>
      </w:tr>
      <w:tr>
        <w:trPr>
          <w:trHeight w:val="234"/>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Chang,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January 1, 2021,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2021</w:t>
            </w:r>
          </w:p>
        </w:tc>
        <w:tc>
          <w:tcPr>
            <w:tcW w:w="5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Eric Chang</w:t>
            </w:r>
          </w:p>
        </w:tc>
      </w:tr>
      <w:tr>
        <w:trPr>
          <w:trHeight w:val="218"/>
        </w:trPr>
        <w:tc>
          <w:tcPr>
            <w:tcW w:w="56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Eric Chang</w:t>
            </w:r>
          </w:p>
        </w:tc>
      </w:tr>
      <w:tr>
        <w:trPr>
          <w:trHeight w:val="234"/>
        </w:trPr>
        <w:tc>
          <w:tcPr>
            <w:tcW w:w="56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bl>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6" w:lineRule="exact"/>
        <w:rPr>
          <w:sz w:val="20"/>
          <w:szCs w:val="20"/>
          <w:color w:val="auto"/>
        </w:rPr>
      </w:pPr>
    </w:p>
    <w:p>
      <w:pPr>
        <w:jc w:val="center"/>
        <w:spacing w:after="0" w:line="325"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January 1, 2021, as filed with the Securities and Exchange Commission on the date hereof (the “Report”), we, Peter Smith, President and Chief Executive Officer of Aviat Networks, and Eric Chang, Senior Vice President, Chief Financial Officer of Aviat Networks, hereby certify, pursuant to Section 906 of the Sarbanes-Oxley Act of 2002, 18 U.S.C. §1350, that:</w:t>
      </w:r>
    </w:p>
    <w:p>
      <w:pPr>
        <w:spacing w:after="0" w:line="13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3, 2021</w:t>
            </w:r>
          </w:p>
        </w:tc>
        <w:tc>
          <w:tcPr>
            <w:tcW w:w="2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Smith</w:t>
            </w:r>
          </w:p>
        </w:tc>
        <w:tc>
          <w:tcPr>
            <w:tcW w:w="20" w:type="dxa"/>
            <w:vAlign w:val="bottom"/>
          </w:tcPr>
          <w:p>
            <w:pPr>
              <w:spacing w:after="0"/>
              <w:rPr>
                <w:sz w:val="20"/>
                <w:szCs w:val="20"/>
                <w:color w:val="auto"/>
              </w:rPr>
            </w:pPr>
          </w:p>
        </w:tc>
      </w:tr>
      <w:tr>
        <w:trPr>
          <w:trHeight w:val="218"/>
        </w:trPr>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Name: Peter Smith</w:t>
            </w:r>
          </w:p>
        </w:tc>
        <w:tc>
          <w:tcPr>
            <w:tcW w:w="2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20" w:type="dxa"/>
            <w:vAlign w:val="bottom"/>
          </w:tcPr>
          <w:p>
            <w:pPr>
              <w:spacing w:after="0"/>
              <w:rPr>
                <w:sz w:val="20"/>
                <w:szCs w:val="20"/>
                <w:color w:val="auto"/>
              </w:rPr>
            </w:pPr>
          </w:p>
        </w:tc>
      </w:tr>
      <w:tr>
        <w:trPr>
          <w:trHeight w:val="50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5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February 3, 2021</w:t>
            </w:r>
          </w:p>
        </w:tc>
        <w:tc>
          <w:tcPr>
            <w:tcW w:w="2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Chang</w:t>
            </w:r>
          </w:p>
        </w:tc>
        <w:tc>
          <w:tcPr>
            <w:tcW w:w="20" w:type="dxa"/>
            <w:vAlign w:val="bottom"/>
            <w:tcBorders>
              <w:bottom w:val="single" w:sz="8" w:color="auto"/>
            </w:tcBorders>
          </w:tcPr>
          <w:p>
            <w:pPr>
              <w:spacing w:after="0"/>
              <w:rPr>
                <w:sz w:val="20"/>
                <w:szCs w:val="20"/>
                <w:color w:val="auto"/>
              </w:rPr>
            </w:pPr>
          </w:p>
        </w:tc>
      </w:tr>
      <w:tr>
        <w:trPr>
          <w:trHeight w:val="218"/>
        </w:trPr>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Eric Chang</w:t>
            </w:r>
          </w:p>
        </w:tc>
        <w:tc>
          <w:tcPr>
            <w:tcW w:w="2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Senior Vice President, Chief Financial 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2" Type="http://schemas.openxmlformats.org/officeDocument/2006/relationships/hyperlink" Target="http://www.sec.gov/Archives/edgar/data/1377789/000137778917000022/avnwexhibit31amendedandres.htm" TargetMode="External"/><Relationship Id="rId53" Type="http://schemas.openxmlformats.org/officeDocument/2006/relationships/hyperlink" Target="http://www.sec.gov/Archives/edgar/data/1377789/000137778920000079/bylawupdate923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2021-02-03T15:10:15Z</dcterms:created>
  <dcterms:modified xsi:type="dcterms:W3CDTF">2021-02-03T15:10:15Z</dcterms:modified>
</cp:coreProperties>
</file>