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(Rule 13d-101)</w:t>
      </w:r>
    </w:p>
    <w:p>
      <w:pPr>
        <w:spacing w:after="0" w:line="21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TO § 240.13d-1(a) AND AMENDMENTS THERETO FILED PURSUANT TO</w:t>
      </w:r>
    </w:p>
    <w:p>
      <w:pPr>
        <w:spacing w:after="0" w:line="9" w:lineRule="exact"/>
        <w:rPr>
          <w:sz w:val="24"/>
          <w:szCs w:val="24"/>
          <w:color w:val="auto"/>
        </w:rPr>
      </w:pPr>
    </w:p>
    <w:p>
      <w:pPr>
        <w:ind w:left="5000" w:right="4920" w:firstLine="179"/>
        <w:spacing w:after="0" w:line="422" w:lineRule="auto"/>
        <w:tabs>
          <w:tab w:leader="none" w:pos="5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240.13d-2(a) (Amendment No. )</w:t>
      </w:r>
      <w:r>
        <w:rPr>
          <w:rFonts w:ascii="Arial" w:cs="Arial" w:eastAsia="Arial" w:hAnsi="Arial"/>
          <w:sz w:val="26"/>
          <w:szCs w:val="26"/>
          <w:color w:val="auto"/>
          <w:vertAlign w:val="superscript"/>
        </w:rPr>
        <w:t>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Aviat Networks,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Common Stock, par value $0.01</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05366Y102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Warren G. Lichtenstein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Steel Partners Holdings 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590 Madison Avenue, 32nd Floor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(212) 520-2300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July 14, 2014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1" w:lineRule="exact"/>
        <w:rPr>
          <w:sz w:val="24"/>
          <w:szCs w:val="24"/>
          <w:color w:val="auto"/>
        </w:rPr>
      </w:pPr>
    </w:p>
    <w:p>
      <w:pPr>
        <w:ind w:right="180" w:firstLine="8"/>
        <w:spacing w:after="0" w:line="194" w:lineRule="auto"/>
        <w:tabs>
          <w:tab w:leader="none" w:pos="649"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499" w:right="2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4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NAME OF REPORTING PERSONS</w:t>
            </w:r>
          </w:p>
        </w:tc>
        <w:tc>
          <w:tcPr>
            <w:tcW w:w="74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STEEL EXCEL INC.</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460" w:type="dxa"/>
            <w:vAlign w:val="bottom"/>
            <w:gridSpan w:val="3"/>
          </w:tcPr>
          <w:p>
            <w:pPr>
              <w:ind w:left="1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740" w:type="dxa"/>
            <w:vAlign w:val="bottom"/>
            <w:tcBorders>
              <w:right w:val="single" w:sz="8" w:color="auto"/>
            </w:tcBorders>
          </w:tcPr>
          <w:p>
            <w:pPr>
              <w:ind w:left="1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WC</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w:t>
            </w:r>
          </w:p>
        </w:tc>
        <w:tc>
          <w:tcPr>
            <w:tcW w:w="84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40" w:type="dxa"/>
            <w:vAlign w:val="bottom"/>
            <w:tcBorders>
              <w:right w:val="single" w:sz="8" w:color="auto"/>
            </w:tcBorders>
            <w:vMerge w:val="restart"/>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continue"/>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8"/>
                <w:szCs w:val="18"/>
                <w:color w:val="auto"/>
              </w:rPr>
              <w:t>2(e)</w:t>
            </w:r>
          </w:p>
        </w:tc>
        <w:tc>
          <w:tcPr>
            <w:tcW w:w="10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68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DELAWARE</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580" w:type="dxa"/>
            <w:vAlign w:val="bottom"/>
          </w:tcPr>
          <w:p>
            <w:pPr>
              <w:ind w:left="160"/>
              <w:spacing w:after="0" w:line="195" w:lineRule="exact"/>
              <w:rPr>
                <w:sz w:val="20"/>
                <w:szCs w:val="20"/>
                <w:color w:val="auto"/>
              </w:rPr>
            </w:pPr>
            <w:r>
              <w:rPr>
                <w:rFonts w:ascii="Arial" w:cs="Arial" w:eastAsia="Arial" w:hAnsi="Arial"/>
                <w:sz w:val="18"/>
                <w:szCs w:val="18"/>
                <w:color w:val="auto"/>
              </w:rPr>
              <w:t>7</w:t>
            </w:r>
          </w:p>
        </w:tc>
        <w:tc>
          <w:tcPr>
            <w:tcW w:w="100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SOLE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580" w:type="dxa"/>
            <w:vAlign w:val="bottom"/>
          </w:tcPr>
          <w:p>
            <w:pPr>
              <w:ind w:left="160"/>
              <w:spacing w:after="0" w:line="195" w:lineRule="exact"/>
              <w:rPr>
                <w:sz w:val="20"/>
                <w:szCs w:val="20"/>
                <w:color w:val="auto"/>
              </w:rPr>
            </w:pPr>
            <w:r>
              <w:rPr>
                <w:rFonts w:ascii="Arial" w:cs="Arial" w:eastAsia="Arial" w:hAnsi="Arial"/>
                <w:sz w:val="18"/>
                <w:szCs w:val="18"/>
                <w:color w:val="auto"/>
              </w:rPr>
              <w:t>8</w:t>
            </w:r>
          </w:p>
        </w:tc>
        <w:tc>
          <w:tcPr>
            <w:tcW w:w="100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580" w:type="dxa"/>
            <w:vAlign w:val="bottom"/>
          </w:tcPr>
          <w:p>
            <w:pPr>
              <w:ind w:left="160"/>
              <w:spacing w:after="0"/>
              <w:rPr>
                <w:sz w:val="20"/>
                <w:szCs w:val="20"/>
                <w:color w:val="auto"/>
              </w:rPr>
            </w:pPr>
            <w:r>
              <w:rPr>
                <w:rFonts w:ascii="Arial" w:cs="Arial" w:eastAsia="Arial" w:hAnsi="Arial"/>
                <w:sz w:val="18"/>
                <w:szCs w:val="18"/>
                <w:color w:val="auto"/>
              </w:rPr>
              <w:t>9</w:t>
            </w:r>
          </w:p>
        </w:tc>
        <w:tc>
          <w:tcPr>
            <w:tcW w:w="100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spacing w:after="0"/>
              <w:rPr>
                <w:sz w:val="19"/>
                <w:szCs w:val="19"/>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10</w:t>
            </w:r>
          </w:p>
        </w:tc>
        <w:tc>
          <w:tcPr>
            <w:tcW w:w="100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3,229,894</w:t>
            </w:r>
          </w:p>
        </w:tc>
        <w:tc>
          <w:tcPr>
            <w:tcW w:w="68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40" w:type="dxa"/>
            <w:vAlign w:val="bottom"/>
            <w:tcBorders>
              <w:right w:val="single" w:sz="8" w:color="auto"/>
            </w:tcBorders>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gridSpan w:val="3"/>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5.2%</w:t>
            </w:r>
          </w:p>
        </w:tc>
        <w:tc>
          <w:tcPr>
            <w:tcW w:w="68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20" w:type="dxa"/>
            <w:vAlign w:val="bottom"/>
            <w:tcBorders>
              <w:left w:val="single" w:sz="8" w:color="808080"/>
              <w:right w:val="single" w:sz="8" w:color="808080"/>
            </w:tcBorders>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5" w:right="19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4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NAME OF REPORTING PERSONS</w:t>
            </w:r>
          </w:p>
        </w:tc>
        <w:tc>
          <w:tcPr>
            <w:tcW w:w="74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STEEL PARTNERS HOLDINGS L.P.</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460" w:type="dxa"/>
            <w:vAlign w:val="bottom"/>
            <w:gridSpan w:val="3"/>
          </w:tcPr>
          <w:p>
            <w:pPr>
              <w:ind w:left="1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740" w:type="dxa"/>
            <w:vAlign w:val="bottom"/>
            <w:tcBorders>
              <w:right w:val="single" w:sz="8" w:color="auto"/>
            </w:tcBorders>
          </w:tcPr>
          <w:p>
            <w:pPr>
              <w:ind w:left="1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AF</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w:t>
            </w:r>
          </w:p>
        </w:tc>
        <w:tc>
          <w:tcPr>
            <w:tcW w:w="84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40" w:type="dxa"/>
            <w:vAlign w:val="bottom"/>
            <w:tcBorders>
              <w:right w:val="single" w:sz="8" w:color="auto"/>
            </w:tcBorders>
            <w:vMerge w:val="restart"/>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2(e)</w:t>
            </w:r>
          </w:p>
        </w:tc>
        <w:tc>
          <w:tcPr>
            <w:tcW w:w="9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68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DELAWARE</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7</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SOLE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8</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Pr>
          <w:p>
            <w:pPr>
              <w:ind w:left="160"/>
              <w:spacing w:after="0"/>
              <w:rPr>
                <w:sz w:val="20"/>
                <w:szCs w:val="20"/>
                <w:color w:val="auto"/>
              </w:rPr>
            </w:pPr>
            <w:r>
              <w:rPr>
                <w:rFonts w:ascii="Arial" w:cs="Arial" w:eastAsia="Arial" w:hAnsi="Arial"/>
                <w:sz w:val="18"/>
                <w:szCs w:val="18"/>
                <w:color w:val="auto"/>
              </w:rPr>
              <w:t>9</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spacing w:after="0"/>
              <w:rPr>
                <w:sz w:val="19"/>
                <w:szCs w:val="19"/>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10</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40" w:type="dxa"/>
            <w:vAlign w:val="bottom"/>
            <w:tcBorders>
              <w:right w:val="single" w:sz="8" w:color="auto"/>
            </w:tcBorders>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gridSpan w:val="3"/>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5.2%</w:t>
            </w:r>
          </w:p>
        </w:tc>
        <w:tc>
          <w:tcPr>
            <w:tcW w:w="68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PN</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5" w:right="19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4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NAME OF REPORTING PERSONS</w:t>
            </w:r>
          </w:p>
        </w:tc>
        <w:tc>
          <w:tcPr>
            <w:tcW w:w="74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SPH GROUP LLC</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460" w:type="dxa"/>
            <w:vAlign w:val="bottom"/>
            <w:gridSpan w:val="3"/>
          </w:tcPr>
          <w:p>
            <w:pPr>
              <w:ind w:left="1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740" w:type="dxa"/>
            <w:vAlign w:val="bottom"/>
            <w:tcBorders>
              <w:right w:val="single" w:sz="8" w:color="auto"/>
            </w:tcBorders>
          </w:tcPr>
          <w:p>
            <w:pPr>
              <w:ind w:left="1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AF</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w:t>
            </w:r>
          </w:p>
        </w:tc>
        <w:tc>
          <w:tcPr>
            <w:tcW w:w="84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40" w:type="dxa"/>
            <w:vAlign w:val="bottom"/>
            <w:tcBorders>
              <w:right w:val="single" w:sz="8" w:color="auto"/>
            </w:tcBorders>
            <w:vMerge w:val="restart"/>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2(e)</w:t>
            </w:r>
          </w:p>
        </w:tc>
        <w:tc>
          <w:tcPr>
            <w:tcW w:w="9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68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DELAWARE</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7</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SOLE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8</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Pr>
          <w:p>
            <w:pPr>
              <w:ind w:left="160"/>
              <w:spacing w:after="0"/>
              <w:rPr>
                <w:sz w:val="20"/>
                <w:szCs w:val="20"/>
                <w:color w:val="auto"/>
              </w:rPr>
            </w:pPr>
            <w:r>
              <w:rPr>
                <w:rFonts w:ascii="Arial" w:cs="Arial" w:eastAsia="Arial" w:hAnsi="Arial"/>
                <w:sz w:val="18"/>
                <w:szCs w:val="18"/>
                <w:color w:val="auto"/>
              </w:rPr>
              <w:t>9</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spacing w:after="0"/>
              <w:rPr>
                <w:sz w:val="19"/>
                <w:szCs w:val="19"/>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right w:val="single" w:sz="8" w:color="auto"/>
            </w:tcBorders>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880" w:type="dxa"/>
            <w:vAlign w:val="bottom"/>
            <w:vMerge w:val="restart"/>
          </w:tcPr>
          <w:p>
            <w:pPr>
              <w:ind w:left="760"/>
              <w:spacing w:after="0"/>
              <w:rPr>
                <w:sz w:val="20"/>
                <w:szCs w:val="20"/>
                <w:color w:val="auto"/>
              </w:rPr>
            </w:pPr>
            <w:r>
              <w:rPr>
                <w:rFonts w:ascii="Arial" w:cs="Arial" w:eastAsia="Arial" w:hAnsi="Arial"/>
                <w:sz w:val="18"/>
                <w:szCs w:val="18"/>
                <w:color w:val="auto"/>
              </w:rPr>
              <w:t>3,229,894</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40" w:type="dxa"/>
            <w:vAlign w:val="bottom"/>
            <w:tcBorders>
              <w:right w:val="single" w:sz="8" w:color="auto"/>
            </w:tcBorders>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gridSpan w:val="3"/>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5.2%</w:t>
            </w:r>
          </w:p>
        </w:tc>
        <w:tc>
          <w:tcPr>
            <w:tcW w:w="68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5" w:right="19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4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NAME OF REPORTING PERSONS</w:t>
            </w:r>
          </w:p>
        </w:tc>
        <w:tc>
          <w:tcPr>
            <w:tcW w:w="74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SPH GROUP HOLDINGS LLC</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460" w:type="dxa"/>
            <w:vAlign w:val="bottom"/>
            <w:gridSpan w:val="3"/>
          </w:tcPr>
          <w:p>
            <w:pPr>
              <w:ind w:left="1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740" w:type="dxa"/>
            <w:vAlign w:val="bottom"/>
            <w:tcBorders>
              <w:right w:val="single" w:sz="8" w:color="auto"/>
            </w:tcBorders>
          </w:tcPr>
          <w:p>
            <w:pPr>
              <w:ind w:left="1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AF</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w:t>
            </w:r>
          </w:p>
        </w:tc>
        <w:tc>
          <w:tcPr>
            <w:tcW w:w="84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40" w:type="dxa"/>
            <w:vAlign w:val="bottom"/>
            <w:tcBorders>
              <w:right w:val="single" w:sz="8" w:color="auto"/>
            </w:tcBorders>
            <w:vMerge w:val="restart"/>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2(e)</w:t>
            </w:r>
          </w:p>
        </w:tc>
        <w:tc>
          <w:tcPr>
            <w:tcW w:w="9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68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DELAWARE</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7</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SOLE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8</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Pr>
          <w:p>
            <w:pPr>
              <w:ind w:left="160"/>
              <w:spacing w:after="0"/>
              <w:rPr>
                <w:sz w:val="20"/>
                <w:szCs w:val="20"/>
                <w:color w:val="auto"/>
              </w:rPr>
            </w:pPr>
            <w:r>
              <w:rPr>
                <w:rFonts w:ascii="Arial" w:cs="Arial" w:eastAsia="Arial" w:hAnsi="Arial"/>
                <w:sz w:val="18"/>
                <w:szCs w:val="18"/>
                <w:color w:val="auto"/>
              </w:rPr>
              <w:t>9</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spacing w:after="0"/>
              <w:rPr>
                <w:sz w:val="19"/>
                <w:szCs w:val="19"/>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right w:val="single" w:sz="8" w:color="auto"/>
            </w:tcBorders>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880" w:type="dxa"/>
            <w:vAlign w:val="bottom"/>
            <w:vMerge w:val="restart"/>
          </w:tcPr>
          <w:p>
            <w:pPr>
              <w:ind w:left="760"/>
              <w:spacing w:after="0"/>
              <w:rPr>
                <w:sz w:val="20"/>
                <w:szCs w:val="20"/>
                <w:color w:val="auto"/>
              </w:rPr>
            </w:pPr>
            <w:r>
              <w:rPr>
                <w:rFonts w:ascii="Arial" w:cs="Arial" w:eastAsia="Arial" w:hAnsi="Arial"/>
                <w:sz w:val="18"/>
                <w:szCs w:val="18"/>
                <w:color w:val="auto"/>
              </w:rPr>
              <w:t>3,229,894</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40" w:type="dxa"/>
            <w:vAlign w:val="bottom"/>
            <w:tcBorders>
              <w:right w:val="single" w:sz="8" w:color="auto"/>
            </w:tcBorders>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gridSpan w:val="3"/>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5.2%</w:t>
            </w:r>
          </w:p>
        </w:tc>
        <w:tc>
          <w:tcPr>
            <w:tcW w:w="68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5" w:right="19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846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NAME OF REPORTING PERSONS</w:t>
            </w:r>
          </w:p>
        </w:tc>
        <w:tc>
          <w:tcPr>
            <w:tcW w:w="74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STEEL PARTNERS HOLDINGS GP INC.</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22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99"/>
              </w:rPr>
              <w:t>2</w:t>
            </w:r>
          </w:p>
        </w:tc>
        <w:tc>
          <w:tcPr>
            <w:tcW w:w="8460" w:type="dxa"/>
            <w:vAlign w:val="bottom"/>
            <w:gridSpan w:val="3"/>
          </w:tcPr>
          <w:p>
            <w:pPr>
              <w:ind w:left="16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740" w:type="dxa"/>
            <w:vAlign w:val="bottom"/>
            <w:tcBorders>
              <w:right w:val="single" w:sz="8" w:color="auto"/>
            </w:tcBorders>
          </w:tcPr>
          <w:p>
            <w:pPr>
              <w:ind w:left="1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20" w:type="dxa"/>
            <w:vAlign w:val="bottom"/>
            <w:tcBorders>
              <w:left w:val="single" w:sz="8" w:color="auto"/>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AF</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5</w:t>
            </w:r>
          </w:p>
        </w:tc>
        <w:tc>
          <w:tcPr>
            <w:tcW w:w="84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40" w:type="dxa"/>
            <w:vAlign w:val="bottom"/>
            <w:tcBorders>
              <w:right w:val="single" w:sz="8" w:color="auto"/>
            </w:tcBorders>
            <w:vMerge w:val="restart"/>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tcBorders>
              <w:left w:val="single" w:sz="8" w:color="auto"/>
              <w:right w:val="single" w:sz="8" w:color="auto"/>
            </w:tcBorders>
            <w:vMerge w:val="continue"/>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2(e)</w:t>
            </w:r>
          </w:p>
        </w:tc>
        <w:tc>
          <w:tcPr>
            <w:tcW w:w="9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68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DELAWARE</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NUMBER OF</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7</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SOLE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OWNED BY</w:t>
            </w:r>
          </w:p>
        </w:tc>
        <w:tc>
          <w:tcPr>
            <w:tcW w:w="640" w:type="dxa"/>
            <w:vAlign w:val="bottom"/>
          </w:tcPr>
          <w:p>
            <w:pPr>
              <w:ind w:left="160"/>
              <w:spacing w:after="0" w:line="195" w:lineRule="exact"/>
              <w:rPr>
                <w:sz w:val="20"/>
                <w:szCs w:val="20"/>
                <w:color w:val="auto"/>
              </w:rPr>
            </w:pPr>
            <w:r>
              <w:rPr>
                <w:rFonts w:ascii="Arial" w:cs="Arial" w:eastAsia="Arial" w:hAnsi="Arial"/>
                <w:sz w:val="18"/>
                <w:szCs w:val="18"/>
                <w:color w:val="auto"/>
              </w:rPr>
              <w:t>8</w:t>
            </w:r>
          </w:p>
        </w:tc>
        <w:tc>
          <w:tcPr>
            <w:tcW w:w="940" w:type="dxa"/>
            <w:vAlign w:val="bottom"/>
            <w:tcBorders>
              <w:right w:val="single" w:sz="8" w:color="auto"/>
            </w:tcBorders>
          </w:tcPr>
          <w:p>
            <w:pPr>
              <w:spacing w:after="0"/>
              <w:rPr>
                <w:sz w:val="16"/>
                <w:szCs w:val="16"/>
                <w:color w:val="auto"/>
              </w:rPr>
            </w:pPr>
          </w:p>
        </w:tc>
        <w:tc>
          <w:tcPr>
            <w:tcW w:w="6880" w:type="dxa"/>
            <w:vAlign w:val="bottom"/>
          </w:tcPr>
          <w:p>
            <w:pPr>
              <w:ind w:left="160"/>
              <w:spacing w:after="0" w:line="195" w:lineRule="exact"/>
              <w:rPr>
                <w:sz w:val="20"/>
                <w:szCs w:val="20"/>
                <w:color w:val="auto"/>
              </w:rPr>
            </w:pPr>
            <w:r>
              <w:rPr>
                <w:rFonts w:ascii="Arial" w:cs="Arial" w:eastAsia="Arial" w:hAnsi="Arial"/>
                <w:sz w:val="18"/>
                <w:szCs w:val="18"/>
                <w:color w:val="auto"/>
              </w:rPr>
              <w:t>SHARED VOTING POWER</w:t>
            </w:r>
          </w:p>
        </w:tc>
        <w:tc>
          <w:tcPr>
            <w:tcW w:w="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6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Pr>
          <w:p>
            <w:pPr>
              <w:ind w:left="160"/>
              <w:spacing w:after="0"/>
              <w:rPr>
                <w:sz w:val="20"/>
                <w:szCs w:val="20"/>
                <w:color w:val="auto"/>
              </w:rPr>
            </w:pPr>
            <w:r>
              <w:rPr>
                <w:rFonts w:ascii="Arial" w:cs="Arial" w:eastAsia="Arial" w:hAnsi="Arial"/>
                <w:sz w:val="18"/>
                <w:szCs w:val="18"/>
                <w:color w:val="auto"/>
              </w:rPr>
              <w:t>9</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- 0 -</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spacing w:after="0"/>
              <w:rPr>
                <w:sz w:val="19"/>
                <w:szCs w:val="19"/>
                <w:color w:val="auto"/>
              </w:rPr>
            </w:pP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940" w:type="dxa"/>
            <w:vAlign w:val="bottom"/>
            <w:tcBorders>
              <w:right w:val="single" w:sz="8" w:color="auto"/>
            </w:tcBorders>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20" w:type="dxa"/>
            <w:vAlign w:val="bottom"/>
            <w:tcBorders>
              <w:left w:val="single" w:sz="8" w:color="auto"/>
              <w:right w:val="single" w:sz="8" w:color="auto"/>
            </w:tcBorders>
          </w:tcPr>
          <w:p>
            <w:pPr>
              <w:spacing w:after="0"/>
              <w:rPr>
                <w:sz w:val="17"/>
                <w:szCs w:val="17"/>
                <w:color w:val="auto"/>
              </w:rPr>
            </w:pPr>
          </w:p>
        </w:tc>
        <w:tc>
          <w:tcPr>
            <w:tcW w:w="640" w:type="dxa"/>
            <w:vAlign w:val="bottom"/>
            <w:vMerge w:val="continue"/>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6880" w:type="dxa"/>
            <w:vAlign w:val="bottom"/>
            <w:vMerge w:val="restart"/>
          </w:tcPr>
          <w:p>
            <w:pPr>
              <w:ind w:left="760"/>
              <w:spacing w:after="0"/>
              <w:rPr>
                <w:sz w:val="20"/>
                <w:szCs w:val="20"/>
                <w:color w:val="auto"/>
              </w:rPr>
            </w:pPr>
            <w:r>
              <w:rPr>
                <w:rFonts w:ascii="Arial" w:cs="Arial" w:eastAsia="Arial" w:hAnsi="Arial"/>
                <w:sz w:val="18"/>
                <w:szCs w:val="18"/>
                <w:color w:val="auto"/>
              </w:rPr>
              <w:t>3,229,894</w:t>
            </w:r>
          </w:p>
        </w:tc>
        <w:tc>
          <w:tcPr>
            <w:tcW w:w="7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3,229,894</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40" w:type="dxa"/>
            <w:vAlign w:val="bottom"/>
            <w:tcBorders>
              <w:right w:val="single" w:sz="8" w:color="auto"/>
            </w:tcBorders>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gridSpan w:val="3"/>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5.2%</w:t>
            </w:r>
          </w:p>
        </w:tc>
        <w:tc>
          <w:tcPr>
            <w:tcW w:w="688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46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w:t>
            </w:r>
          </w:p>
        </w:tc>
        <w:tc>
          <w:tcPr>
            <w:tcW w:w="7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7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220" w:type="dxa"/>
            <w:vAlign w:val="bottom"/>
            <w:tcBorders>
              <w:left w:val="single" w:sz="8" w:color="808080"/>
              <w:right w:val="single" w:sz="8" w:color="808080"/>
            </w:tcBorders>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8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5" w:right="199" w:bottom="1440" w:gutter="0" w:footer="0" w:header="0"/>
        </w:sectPr>
      </w:pPr>
    </w:p>
    <w:bookmarkStart w:id="6" w:name="page7"/>
    <w:bookmarkEnd w:id="6"/>
    <w:p>
      <w:pPr>
        <w:ind w:left="82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2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This statement relates to the Common Stock, par value $0.01 per share (the “Shares”), of Aviat Networks, Inc. (the “Issuer”). The address of the principal executive offices of the Issuer is 5200 Great America Parkway, Santa Clara, California 95054.</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jc w:val="both"/>
        <w:ind w:firstLine="818"/>
        <w:spacing w:after="0" w:line="259" w:lineRule="auto"/>
        <w:tabs>
          <w:tab w:leader="none" w:pos="13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 Steel Excel Inc., a Delaware corporation (“Steel Excel”), Steel Partners Holdings L.P., a Delaware limited partnership (“Steel Holdings”), SPH Group LLC, a Delaware limited liability company (“SPHG”), SPH Group Holdings LLC, a Delaware limited liability company (“SPHG Holdings”), and Steel Partners Holdings GP Inc., a Delaware corporation (“Steel Holdings GP”). Each of the foregoing is referred to as a “Reporting Person” and collectively as the “Reporting Persons.”</w:t>
      </w:r>
    </w:p>
    <w:p>
      <w:pPr>
        <w:spacing w:after="0" w:line="187" w:lineRule="exact"/>
        <w:rPr>
          <w:sz w:val="20"/>
          <w:szCs w:val="20"/>
          <w:color w:val="auto"/>
        </w:rPr>
      </w:pPr>
    </w:p>
    <w:p>
      <w:pPr>
        <w:jc w:val="both"/>
        <w:ind w:firstLine="810"/>
        <w:spacing w:after="0" w:line="297" w:lineRule="auto"/>
        <w:rPr>
          <w:sz w:val="20"/>
          <w:szCs w:val="20"/>
          <w:color w:val="auto"/>
        </w:rPr>
      </w:pPr>
      <w:r>
        <w:rPr>
          <w:rFonts w:ascii="Arial" w:cs="Arial" w:eastAsia="Arial" w:hAnsi="Arial"/>
          <w:sz w:val="16"/>
          <w:szCs w:val="16"/>
          <w:color w:val="auto"/>
        </w:rPr>
        <w:t>SPHG Holdings beneficially owns approximately 51% of the outstanding shares of Common Stock of Steel Excel. Steel Holdings owns 99% of the membership interests of SPHG. SPHG is the sole member of SPHG Holdings. Steel Holdings GP is the general partner of Steel Holdings, the managing member of SPHG and the manager of SPHG Holdings. Accordingly, for purposes of this Schedule 13D, each of SPHG Holdings, SPHG, Steel Holdings and Steel Holdings GP may be deemed to beneficially own the Shares owned directly by Steel Excel. Each of SPHG Holdings, SPHG, Steel Holdings and Steel Holdings GP disclaims beneficial ownership of the Shares owned directly by Steel Excel except to the extent of their pecuniary interest therein.</w:t>
      </w:r>
    </w:p>
    <w:p>
      <w:pPr>
        <w:spacing w:after="0" w:line="158"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Set forth on Schedule A annexed hereto (“Schedule A”) is the name and present principal business, occupation or employment and the name, principal business and address of any corporation or other organization in which such employment is conducted of (i) the executive officers and directors of Steel Excel and (ii) the executive officers and directors of Steel Holdings GP. To the best of the Reporting Persons’ knowledge, except as otherwise set forth herein, none of the persons listed on Schedule A beneficially owns any securities of the Issuer or is a party to any contract, agreement or understanding required to be disclosed herein.</w:t>
      </w:r>
    </w:p>
    <w:p>
      <w:pPr>
        <w:spacing w:after="0" w:line="188" w:lineRule="exact"/>
        <w:rPr>
          <w:sz w:val="20"/>
          <w:szCs w:val="20"/>
          <w:color w:val="auto"/>
        </w:rPr>
      </w:pPr>
    </w:p>
    <w:p>
      <w:pPr>
        <w:ind w:firstLine="868"/>
        <w:spacing w:after="0" w:line="308" w:lineRule="auto"/>
        <w:tabs>
          <w:tab w:leader="none" w:pos="1317"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principal business address of each Reporting Person other than Steel Excel is 590 Madison Avenue, 32nd Floor, New York, New York 10022. The principal business address of Steel Excel is 1133 Westchester Avenue, Suite N222, White Plains, New York 10604.</w:t>
      </w:r>
    </w:p>
    <w:p>
      <w:pPr>
        <w:spacing w:after="0" w:line="146" w:lineRule="exact"/>
        <w:rPr>
          <w:rFonts w:ascii="Arial" w:cs="Arial" w:eastAsia="Arial" w:hAnsi="Arial"/>
          <w:sz w:val="17"/>
          <w:szCs w:val="17"/>
          <w:color w:val="auto"/>
        </w:rPr>
      </w:pPr>
    </w:p>
    <w:p>
      <w:pPr>
        <w:jc w:val="both"/>
        <w:ind w:firstLine="818"/>
        <w:spacing w:after="0" w:line="293" w:lineRule="auto"/>
        <w:tabs>
          <w:tab w:leader="none" w:pos="1286" w:val="left"/>
        </w:tabs>
        <w:numPr>
          <w:ilvl w:val="0"/>
          <w:numId w:val="5"/>
        </w:numPr>
        <w:rPr>
          <w:rFonts w:ascii="Arial" w:cs="Arial" w:eastAsia="Arial" w:hAnsi="Arial"/>
          <w:sz w:val="16"/>
          <w:szCs w:val="16"/>
          <w:color w:val="auto"/>
        </w:rPr>
      </w:pPr>
      <w:r>
        <w:rPr>
          <w:rFonts w:ascii="Arial" w:cs="Arial" w:eastAsia="Arial" w:hAnsi="Arial"/>
          <w:sz w:val="16"/>
          <w:szCs w:val="16"/>
          <w:color w:val="auto"/>
        </w:rPr>
        <w:t>Steel Excel is a company whose business consists primarily of capital redeployment and identification of new, profitable operations in the oilfield services, sports, training, education, entertainment and lifestyle businesses. Steel Holdings is a global diversified holding company that engages or has interests in a variety of operating businesses through its subsidiary companies. Steel Holdings may seek to obtain majority or primary control, board representation or other significant influence over the businesses in which it holds an interest. The principal business of SPHG Holdings is holding securities for the account of Steel Holdings. The principal business of SPHG is serving as the sole member of SPHG Holdings and other affiliates. The principal business of Steel Holdings GP is serving as the general partner of Steel Holdings, the managing member of SPHG and the manager of SPHG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firstLine="818"/>
        <w:spacing w:after="0" w:line="277" w:lineRule="auto"/>
        <w:tabs>
          <w:tab w:leader="none" w:pos="1253"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818"/>
        <w:spacing w:after="0" w:line="286" w:lineRule="auto"/>
        <w:tabs>
          <w:tab w:leader="none" w:pos="1298"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Reporting Person nor any person listed on Schedule A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firstLine="818"/>
        <w:spacing w:after="0" w:line="277" w:lineRule="auto"/>
        <w:tabs>
          <w:tab w:leader="none" w:pos="1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entities who are Reporting Persons are organized under the laws of the State of Delaware. Each of the individuals who are listed on Schedule A other than Gary W. Ullman are citizens of the United States of America. Gary W. Ullman is a citizen of Canada.</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p>
    <w:p>
      <w:pPr>
        <w:spacing w:after="0" w:line="22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The aggregate purchase price of the 3,229,894 Shares owned directly by Steel Excel is approximately $5,433,333, including brokerage commissions. The Shares owned directly by Steel Excel were acquired with the working capital of Steel Excel.</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jc w:val="both"/>
        <w:ind w:firstLine="810"/>
        <w:spacing w:after="0" w:line="276" w:lineRule="auto"/>
        <w:rPr>
          <w:sz w:val="20"/>
          <w:szCs w:val="20"/>
          <w:color w:val="auto"/>
        </w:rPr>
      </w:pPr>
      <w:r>
        <w:rPr>
          <w:rFonts w:ascii="Arial" w:cs="Arial" w:eastAsia="Arial" w:hAnsi="Arial"/>
          <w:sz w:val="17"/>
          <w:szCs w:val="17"/>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w:t>
      </w:r>
    </w:p>
    <w:p>
      <w:pPr>
        <w:spacing w:after="0" w:line="173"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color w:val="auto"/>
        </w:rPr>
        <w:t>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and others about the Issuer and the Reporting Persons’ investment, including in connection with making recommendations or proposals to the Issuer concerning changes to the capitalization, corporate structure, ownership structure,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jc w:val="both"/>
        <w:ind w:firstLine="818"/>
        <w:spacing w:after="0" w:line="264"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62,149,780 Shares outstanding, which is the total number of Shares outstanding as of April 30, 2014, as reported in the Issuer’s Quarterly Report on Form 10-Q filed with the Securities and Exchange Commission on May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right="20" w:firstLine="810"/>
        <w:spacing w:after="0" w:line="264" w:lineRule="auto"/>
        <w:rPr>
          <w:sz w:val="20"/>
          <w:szCs w:val="20"/>
          <w:color w:val="auto"/>
        </w:rPr>
      </w:pPr>
      <w:r>
        <w:rPr>
          <w:rFonts w:ascii="Arial" w:cs="Arial" w:eastAsia="Arial" w:hAnsi="Arial"/>
          <w:sz w:val="18"/>
          <w:szCs w:val="18"/>
          <w:color w:val="auto"/>
        </w:rPr>
        <w:t>As of the close of business on July 23, 2014, Steel Excel owned directly 3,229,894 Shares, constituting approximately 5.2% of the Shares outstanding. By virtue of their relationships with Steel Excel discussed in further detail in Item 2, each of SPHG Holdings, Steel Holdings, SPHG and Steel Holdings GP may be deemed to beneficially own the Shares owned directly by Steel Excel.</w:t>
      </w:r>
    </w:p>
    <w:p>
      <w:pPr>
        <w:spacing w:after="0" w:line="181" w:lineRule="exact"/>
        <w:rPr>
          <w:sz w:val="20"/>
          <w:szCs w:val="20"/>
          <w:color w:val="auto"/>
        </w:rPr>
      </w:pPr>
    </w:p>
    <w:p>
      <w:pPr>
        <w:ind w:firstLine="818"/>
        <w:spacing w:after="0" w:line="277" w:lineRule="auto"/>
        <w:tabs>
          <w:tab w:leader="none" w:pos="1267"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Steel Excel, SPHG Holdings, SPHG, Steel Holdings and Steel Holdings GP is deemed to have shared power to vote and dispose of the Shares owned directly by Steel Excel.</w:t>
      </w:r>
    </w:p>
    <w:p>
      <w:pPr>
        <w:spacing w:after="0" w:line="170" w:lineRule="exact"/>
        <w:rPr>
          <w:rFonts w:ascii="Arial" w:cs="Arial" w:eastAsia="Arial" w:hAnsi="Arial"/>
          <w:sz w:val="18"/>
          <w:szCs w:val="18"/>
          <w:color w:val="auto"/>
        </w:rPr>
      </w:pPr>
    </w:p>
    <w:p>
      <w:pPr>
        <w:ind w:firstLine="818"/>
        <w:spacing w:after="0" w:line="277" w:lineRule="auto"/>
        <w:tabs>
          <w:tab w:leader="none" w:pos="1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Schedule B annexed hereto (“Schedule B”) lists all transactions in the Shares of the Issuer during the past sixty days by the Reporting Persons. All of such transactions were effected in the open market.</w:t>
      </w:r>
    </w:p>
    <w:p>
      <w:pPr>
        <w:spacing w:after="0" w:line="170" w:lineRule="exact"/>
        <w:rPr>
          <w:rFonts w:ascii="Arial" w:cs="Arial" w:eastAsia="Arial" w:hAnsi="Arial"/>
          <w:sz w:val="18"/>
          <w:szCs w:val="18"/>
          <w:color w:val="auto"/>
        </w:rPr>
      </w:pPr>
    </w:p>
    <w:p>
      <w:pPr>
        <w:ind w:right="20" w:firstLine="818"/>
        <w:spacing w:after="0" w:line="277" w:lineRule="auto"/>
        <w:tabs>
          <w:tab w:leader="none" w:pos="1299"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240" w:hanging="422"/>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p>
    <w:p>
      <w:pPr>
        <w:spacing w:after="0" w:line="22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Rule 13d-1(k) promulgated under the Exchange Act, the Reporting Persons have entered into an agreement with respect to the joint filing of this statement, and any amendment or amendments thereto.</w:t>
      </w:r>
    </w:p>
    <w:p>
      <w:pPr>
        <w:spacing w:after="0" w:line="170"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Except as set forth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p>
    <w:p>
      <w:pPr>
        <w:spacing w:after="0" w:line="279" w:lineRule="exact"/>
        <w:rPr>
          <w:sz w:val="20"/>
          <w:szCs w:val="20"/>
          <w:color w:val="auto"/>
        </w:rPr>
      </w:pPr>
    </w:p>
    <w:p>
      <w:pPr>
        <w:ind w:left="600" w:right="120" w:hanging="453"/>
        <w:spacing w:after="0" w:line="277" w:lineRule="auto"/>
        <w:rPr>
          <w:sz w:val="20"/>
          <w:szCs w:val="20"/>
          <w:color w:val="auto"/>
        </w:rPr>
      </w:pPr>
      <w:r>
        <w:rPr>
          <w:rFonts w:ascii="Arial" w:cs="Arial" w:eastAsia="Arial" w:hAnsi="Arial"/>
          <w:sz w:val="18"/>
          <w:szCs w:val="18"/>
          <w:color w:val="auto"/>
        </w:rPr>
        <w:t>99.1 Joint Filing Agreement by and among Steel Excel Inc., Steel Partners Holdings L.P., SPH Group LLC, SPH Group Holdings LLC and Steel Partners Holdings GP Inc., dated July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Dated:July 24, 2014</w:t>
            </w:r>
          </w:p>
        </w:tc>
        <w:tc>
          <w:tcPr>
            <w:tcW w:w="8000" w:type="dxa"/>
            <w:vAlign w:val="bottom"/>
            <w:gridSpan w:val="2"/>
          </w:tcPr>
          <w:p>
            <w:pPr>
              <w:ind w:left="1940"/>
              <w:spacing w:after="0"/>
              <w:rPr>
                <w:sz w:val="20"/>
                <w:szCs w:val="20"/>
                <w:color w:val="auto"/>
              </w:rPr>
            </w:pPr>
            <w:r>
              <w:rPr>
                <w:rFonts w:ascii="Arial" w:cs="Arial" w:eastAsia="Arial" w:hAnsi="Arial"/>
                <w:sz w:val="18"/>
                <w:szCs w:val="18"/>
                <w:color w:val="auto"/>
              </w:rPr>
              <w:t>STEEL EXCEL INC.</w:t>
            </w:r>
          </w:p>
        </w:tc>
        <w:tc>
          <w:tcPr>
            <w:tcW w:w="4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McCabe, Jr.</w:t>
            </w:r>
          </w:p>
        </w:tc>
        <w:tc>
          <w:tcPr>
            <w:tcW w:w="4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James F. McCabe, Jr., Chief Financial Officer</w:t>
            </w:r>
          </w:p>
        </w:tc>
        <w:tc>
          <w:tcPr>
            <w:tcW w:w="40" w:type="dxa"/>
            <w:vAlign w:val="bottom"/>
          </w:tcPr>
          <w:p>
            <w:pPr>
              <w:spacing w:after="0"/>
              <w:rPr>
                <w:sz w:val="19"/>
                <w:szCs w:val="19"/>
                <w:color w:val="auto"/>
              </w:rPr>
            </w:pPr>
          </w:p>
        </w:tc>
      </w:tr>
      <w:tr>
        <w:trPr>
          <w:trHeight w:val="634"/>
        </w:trPr>
        <w:tc>
          <w:tcPr>
            <w:tcW w:w="3420" w:type="dxa"/>
            <w:vAlign w:val="bottom"/>
          </w:tcPr>
          <w:p>
            <w:pPr>
              <w:spacing w:after="0"/>
              <w:rPr>
                <w:sz w:val="24"/>
                <w:szCs w:val="24"/>
                <w:color w:val="auto"/>
              </w:rPr>
            </w:pPr>
          </w:p>
        </w:tc>
        <w:tc>
          <w:tcPr>
            <w:tcW w:w="8000" w:type="dxa"/>
            <w:vAlign w:val="bottom"/>
            <w:gridSpan w:val="2"/>
          </w:tcPr>
          <w:p>
            <w:pPr>
              <w:ind w:left="1940"/>
              <w:spacing w:after="0"/>
              <w:rPr>
                <w:sz w:val="20"/>
                <w:szCs w:val="20"/>
                <w:color w:val="auto"/>
              </w:rPr>
            </w:pPr>
            <w:r>
              <w:rPr>
                <w:rFonts w:ascii="Arial" w:cs="Arial" w:eastAsia="Arial" w:hAnsi="Arial"/>
                <w:sz w:val="18"/>
                <w:szCs w:val="18"/>
                <w:color w:val="auto"/>
              </w:rPr>
              <w:t>STEEL PARTNERS HOLDINGS L.P.</w:t>
            </w:r>
          </w:p>
        </w:tc>
        <w:tc>
          <w:tcPr>
            <w:tcW w:w="40" w:type="dxa"/>
            <w:vAlign w:val="bottom"/>
          </w:tcPr>
          <w:p>
            <w:pPr>
              <w:spacing w:after="0"/>
              <w:rPr>
                <w:sz w:val="24"/>
                <w:szCs w:val="24"/>
                <w:color w:val="auto"/>
              </w:rPr>
            </w:pPr>
          </w:p>
        </w:tc>
      </w:tr>
      <w:tr>
        <w:trPr>
          <w:trHeight w:val="418"/>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Pr>
          <w:p>
            <w:pPr>
              <w:spacing w:after="0"/>
              <w:rPr>
                <w:sz w:val="20"/>
                <w:szCs w:val="20"/>
                <w:color w:val="auto"/>
              </w:rPr>
            </w:pPr>
            <w:r>
              <w:rPr>
                <w:rFonts w:ascii="Arial" w:cs="Arial" w:eastAsia="Arial" w:hAnsi="Arial"/>
                <w:sz w:val="18"/>
                <w:szCs w:val="18"/>
                <w:color w:val="auto"/>
              </w:rPr>
              <w:t>Steel Partners Holdings GP Inc.</w:t>
            </w:r>
          </w:p>
        </w:tc>
        <w:tc>
          <w:tcPr>
            <w:tcW w:w="4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Partner</w:t>
            </w:r>
          </w:p>
        </w:tc>
        <w:tc>
          <w:tcPr>
            <w:tcW w:w="4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c>
          <w:tcPr>
            <w:tcW w:w="4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c>
          <w:tcPr>
            <w:tcW w:w="40" w:type="dxa"/>
            <w:vAlign w:val="bottom"/>
          </w:tcPr>
          <w:p>
            <w:pPr>
              <w:spacing w:after="0"/>
              <w:rPr>
                <w:sz w:val="19"/>
                <w:szCs w:val="19"/>
                <w:color w:val="auto"/>
              </w:rPr>
            </w:pPr>
          </w:p>
        </w:tc>
      </w:tr>
      <w:tr>
        <w:trPr>
          <w:trHeight w:val="634"/>
        </w:trPr>
        <w:tc>
          <w:tcPr>
            <w:tcW w:w="3420" w:type="dxa"/>
            <w:vAlign w:val="bottom"/>
          </w:tcPr>
          <w:p>
            <w:pPr>
              <w:spacing w:after="0"/>
              <w:rPr>
                <w:sz w:val="24"/>
                <w:szCs w:val="24"/>
                <w:color w:val="auto"/>
              </w:rPr>
            </w:pPr>
          </w:p>
        </w:tc>
        <w:tc>
          <w:tcPr>
            <w:tcW w:w="8000" w:type="dxa"/>
            <w:vAlign w:val="bottom"/>
            <w:gridSpan w:val="2"/>
          </w:tcPr>
          <w:p>
            <w:pPr>
              <w:ind w:left="1940"/>
              <w:spacing w:after="0"/>
              <w:rPr>
                <w:sz w:val="20"/>
                <w:szCs w:val="20"/>
                <w:color w:val="auto"/>
              </w:rPr>
            </w:pPr>
            <w:r>
              <w:rPr>
                <w:rFonts w:ascii="Arial" w:cs="Arial" w:eastAsia="Arial" w:hAnsi="Arial"/>
                <w:sz w:val="18"/>
                <w:szCs w:val="18"/>
                <w:color w:val="auto"/>
              </w:rPr>
              <w:t>SPH GROUP LLC</w:t>
            </w:r>
          </w:p>
        </w:tc>
        <w:tc>
          <w:tcPr>
            <w:tcW w:w="40" w:type="dxa"/>
            <w:vAlign w:val="bottom"/>
          </w:tcPr>
          <w:p>
            <w:pPr>
              <w:spacing w:after="0"/>
              <w:rPr>
                <w:sz w:val="24"/>
                <w:szCs w:val="24"/>
                <w:color w:val="auto"/>
              </w:rPr>
            </w:pPr>
          </w:p>
        </w:tc>
      </w:tr>
      <w:tr>
        <w:trPr>
          <w:trHeight w:val="418"/>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Pr>
          <w:p>
            <w:pPr>
              <w:spacing w:after="0"/>
              <w:rPr>
                <w:sz w:val="20"/>
                <w:szCs w:val="20"/>
                <w:color w:val="auto"/>
              </w:rPr>
            </w:pPr>
            <w:r>
              <w:rPr>
                <w:rFonts w:ascii="Arial" w:cs="Arial" w:eastAsia="Arial" w:hAnsi="Arial"/>
                <w:sz w:val="18"/>
                <w:szCs w:val="18"/>
                <w:color w:val="auto"/>
              </w:rPr>
              <w:t>Steel Partners Holdings GP Inc.</w:t>
            </w:r>
          </w:p>
        </w:tc>
        <w:tc>
          <w:tcPr>
            <w:tcW w:w="4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Managing Member</w:t>
            </w:r>
          </w:p>
        </w:tc>
        <w:tc>
          <w:tcPr>
            <w:tcW w:w="4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c>
          <w:tcPr>
            <w:tcW w:w="4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c>
          <w:tcPr>
            <w:tcW w:w="40" w:type="dxa"/>
            <w:vAlign w:val="bottom"/>
          </w:tcPr>
          <w:p>
            <w:pPr>
              <w:spacing w:after="0"/>
              <w:rPr>
                <w:sz w:val="19"/>
                <w:szCs w:val="19"/>
                <w:color w:val="auto"/>
              </w:rPr>
            </w:pPr>
          </w:p>
        </w:tc>
      </w:tr>
      <w:tr>
        <w:trPr>
          <w:trHeight w:val="634"/>
        </w:trPr>
        <w:tc>
          <w:tcPr>
            <w:tcW w:w="3420" w:type="dxa"/>
            <w:vAlign w:val="bottom"/>
          </w:tcPr>
          <w:p>
            <w:pPr>
              <w:spacing w:after="0"/>
              <w:rPr>
                <w:sz w:val="24"/>
                <w:szCs w:val="24"/>
                <w:color w:val="auto"/>
              </w:rPr>
            </w:pPr>
          </w:p>
        </w:tc>
        <w:tc>
          <w:tcPr>
            <w:tcW w:w="8000" w:type="dxa"/>
            <w:vAlign w:val="bottom"/>
            <w:gridSpan w:val="2"/>
          </w:tcPr>
          <w:p>
            <w:pPr>
              <w:ind w:left="1940"/>
              <w:spacing w:after="0"/>
              <w:rPr>
                <w:sz w:val="20"/>
                <w:szCs w:val="20"/>
                <w:color w:val="auto"/>
              </w:rPr>
            </w:pPr>
            <w:r>
              <w:rPr>
                <w:rFonts w:ascii="Arial" w:cs="Arial" w:eastAsia="Arial" w:hAnsi="Arial"/>
                <w:sz w:val="18"/>
                <w:szCs w:val="18"/>
                <w:color w:val="auto"/>
              </w:rPr>
              <w:t>SPH GROUP HOLDINGS LLC</w:t>
            </w:r>
          </w:p>
        </w:tc>
        <w:tc>
          <w:tcPr>
            <w:tcW w:w="40" w:type="dxa"/>
            <w:vAlign w:val="bottom"/>
          </w:tcPr>
          <w:p>
            <w:pPr>
              <w:spacing w:after="0"/>
              <w:rPr>
                <w:sz w:val="24"/>
                <w:szCs w:val="24"/>
                <w:color w:val="auto"/>
              </w:rPr>
            </w:pPr>
          </w:p>
        </w:tc>
      </w:tr>
      <w:tr>
        <w:trPr>
          <w:trHeight w:val="418"/>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Pr>
          <w:p>
            <w:pPr>
              <w:spacing w:after="0"/>
              <w:rPr>
                <w:sz w:val="20"/>
                <w:szCs w:val="20"/>
                <w:color w:val="auto"/>
              </w:rPr>
            </w:pPr>
            <w:r>
              <w:rPr>
                <w:rFonts w:ascii="Arial" w:cs="Arial" w:eastAsia="Arial" w:hAnsi="Arial"/>
                <w:sz w:val="18"/>
                <w:szCs w:val="18"/>
                <w:color w:val="auto"/>
              </w:rPr>
              <w:t>Steel Partners Holdings GP Inc.</w:t>
            </w:r>
          </w:p>
        </w:tc>
        <w:tc>
          <w:tcPr>
            <w:tcW w:w="4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Manager</w:t>
            </w:r>
          </w:p>
        </w:tc>
        <w:tc>
          <w:tcPr>
            <w:tcW w:w="4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c>
          <w:tcPr>
            <w:tcW w:w="4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c>
          <w:tcPr>
            <w:tcW w:w="40" w:type="dxa"/>
            <w:vAlign w:val="bottom"/>
          </w:tcPr>
          <w:p>
            <w:pPr>
              <w:spacing w:after="0"/>
              <w:rPr>
                <w:sz w:val="19"/>
                <w:szCs w:val="19"/>
                <w:color w:val="auto"/>
              </w:rPr>
            </w:pPr>
          </w:p>
        </w:tc>
      </w:tr>
      <w:tr>
        <w:trPr>
          <w:trHeight w:val="634"/>
        </w:trPr>
        <w:tc>
          <w:tcPr>
            <w:tcW w:w="3420" w:type="dxa"/>
            <w:vAlign w:val="bottom"/>
          </w:tcPr>
          <w:p>
            <w:pPr>
              <w:spacing w:after="0"/>
              <w:rPr>
                <w:sz w:val="24"/>
                <w:szCs w:val="24"/>
                <w:color w:val="auto"/>
              </w:rPr>
            </w:pPr>
          </w:p>
        </w:tc>
        <w:tc>
          <w:tcPr>
            <w:tcW w:w="8000" w:type="dxa"/>
            <w:vAlign w:val="bottom"/>
            <w:gridSpan w:val="2"/>
          </w:tcPr>
          <w:p>
            <w:pPr>
              <w:ind w:left="1940"/>
              <w:spacing w:after="0"/>
              <w:rPr>
                <w:sz w:val="20"/>
                <w:szCs w:val="20"/>
                <w:color w:val="auto"/>
              </w:rPr>
            </w:pPr>
            <w:r>
              <w:rPr>
                <w:rFonts w:ascii="Arial" w:cs="Arial" w:eastAsia="Arial" w:hAnsi="Arial"/>
                <w:sz w:val="18"/>
                <w:szCs w:val="18"/>
                <w:color w:val="auto"/>
              </w:rPr>
              <w:t>STEEL PARTNERS HOLDINGS GP INC.</w:t>
            </w:r>
          </w:p>
        </w:tc>
        <w:tc>
          <w:tcPr>
            <w:tcW w:w="40" w:type="dxa"/>
            <w:vAlign w:val="bottom"/>
          </w:tcPr>
          <w:p>
            <w:pPr>
              <w:spacing w:after="0"/>
              <w:rPr>
                <w:sz w:val="24"/>
                <w:szCs w:val="24"/>
                <w:color w:val="auto"/>
              </w:rPr>
            </w:pPr>
          </w:p>
        </w:tc>
      </w:tr>
      <w:tr>
        <w:trPr>
          <w:trHeight w:val="432"/>
        </w:trPr>
        <w:tc>
          <w:tcPr>
            <w:tcW w:w="342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c>
          <w:tcPr>
            <w:tcW w:w="4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c>
          <w:tcPr>
            <w:tcW w:w="40" w:type="dxa"/>
            <w:vAlign w:val="bottom"/>
          </w:tcPr>
          <w:p>
            <w:pPr>
              <w:spacing w:after="0"/>
              <w:rPr>
                <w:sz w:val="19"/>
                <w:szCs w:val="19"/>
                <w:color w:val="auto"/>
              </w:rPr>
            </w:pPr>
          </w:p>
        </w:tc>
      </w:tr>
      <w:tr>
        <w:trPr>
          <w:trHeight w:val="766"/>
        </w:trPr>
        <w:tc>
          <w:tcPr>
            <w:tcW w:w="3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342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5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SCHEDULE A</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00" w:type="dxa"/>
            <w:vAlign w:val="bottom"/>
            <w:gridSpan w:val="7"/>
          </w:tcPr>
          <w:p>
            <w:pPr>
              <w:jc w:val="center"/>
              <w:ind w:right="3780"/>
              <w:spacing w:after="0"/>
              <w:rPr>
                <w:sz w:val="20"/>
                <w:szCs w:val="20"/>
                <w:color w:val="auto"/>
              </w:rPr>
            </w:pPr>
            <w:r>
              <w:rPr>
                <w:rFonts w:ascii="Arial" w:cs="Arial" w:eastAsia="Arial" w:hAnsi="Arial"/>
                <w:sz w:val="18"/>
                <w:szCs w:val="18"/>
                <w:b w:val="1"/>
                <w:bCs w:val="1"/>
                <w:color w:val="auto"/>
                <w:w w:val="89"/>
              </w:rPr>
              <w:t>Executive Officers and Directors of Steel Excel Inc.</w:t>
            </w:r>
          </w:p>
        </w:tc>
      </w:tr>
      <w:tr>
        <w:trPr>
          <w:trHeight w:val="412"/>
        </w:trPr>
        <w:tc>
          <w:tcPr>
            <w:tcW w:w="2920" w:type="dxa"/>
            <w:vAlign w:val="bottom"/>
            <w:gridSpan w:val="3"/>
          </w:tcPr>
          <w:p>
            <w:pPr>
              <w:ind w:left="760"/>
              <w:spacing w:after="0"/>
              <w:rPr>
                <w:sz w:val="20"/>
                <w:szCs w:val="20"/>
                <w:color w:val="auto"/>
              </w:rPr>
            </w:pPr>
            <w:r>
              <w:rPr>
                <w:rFonts w:ascii="Arial" w:cs="Arial" w:eastAsia="Arial" w:hAnsi="Arial"/>
                <w:sz w:val="18"/>
                <w:szCs w:val="18"/>
                <w:color w:val="auto"/>
              </w:rPr>
              <w:t>Name and Position</w:t>
            </w:r>
          </w:p>
        </w:tc>
        <w:tc>
          <w:tcPr>
            <w:tcW w:w="840" w:type="dxa"/>
            <w:vAlign w:val="bottom"/>
          </w:tcPr>
          <w:p>
            <w:pPr>
              <w:spacing w:after="0"/>
              <w:rPr>
                <w:sz w:val="24"/>
                <w:szCs w:val="24"/>
                <w:color w:val="auto"/>
              </w:rPr>
            </w:pPr>
          </w:p>
        </w:tc>
        <w:tc>
          <w:tcPr>
            <w:tcW w:w="350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Present Principal Occupation</w:t>
            </w:r>
          </w:p>
        </w:tc>
        <w:tc>
          <w:tcPr>
            <w:tcW w:w="420" w:type="dxa"/>
            <w:vAlign w:val="bottom"/>
            <w:tcBorders>
              <w:top w:val="single" w:sz="8" w:color="auto"/>
            </w:tcBorders>
          </w:tcPr>
          <w:p>
            <w:pPr>
              <w:spacing w:after="0"/>
              <w:rPr>
                <w:sz w:val="24"/>
                <w:szCs w:val="24"/>
                <w:color w:val="auto"/>
              </w:rPr>
            </w:pPr>
          </w:p>
        </w:tc>
        <w:tc>
          <w:tcPr>
            <w:tcW w:w="3780" w:type="dxa"/>
            <w:vAlign w:val="bottom"/>
            <w:gridSpan w:val="3"/>
          </w:tcPr>
          <w:p>
            <w:pPr>
              <w:ind w:left="1040"/>
              <w:spacing w:after="0"/>
              <w:rPr>
                <w:sz w:val="20"/>
                <w:szCs w:val="20"/>
                <w:color w:val="auto"/>
              </w:rPr>
            </w:pPr>
            <w:r>
              <w:rPr>
                <w:rFonts w:ascii="Arial" w:cs="Arial" w:eastAsia="Arial" w:hAnsi="Arial"/>
                <w:sz w:val="18"/>
                <w:szCs w:val="18"/>
                <w:color w:val="auto"/>
              </w:rPr>
              <w:t>Business Address</w:t>
            </w:r>
          </w:p>
        </w:tc>
      </w:tr>
      <w:tr>
        <w:trPr>
          <w:trHeight w:val="20"/>
        </w:trPr>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15"/>
        </w:trPr>
        <w:tc>
          <w:tcPr>
            <w:tcW w:w="2920" w:type="dxa"/>
            <w:vAlign w:val="bottom"/>
            <w:gridSpan w:val="3"/>
          </w:tcPr>
          <w:p>
            <w:pPr>
              <w:spacing w:after="0"/>
              <w:rPr>
                <w:sz w:val="20"/>
                <w:szCs w:val="20"/>
                <w:color w:val="auto"/>
              </w:rPr>
            </w:pPr>
            <w:r>
              <w:rPr>
                <w:rFonts w:ascii="Arial" w:cs="Arial" w:eastAsia="Arial" w:hAnsi="Arial"/>
                <w:sz w:val="18"/>
                <w:szCs w:val="18"/>
                <w:color w:val="auto"/>
              </w:rPr>
              <w:t>Warren G. Lichtenstein, Director</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6"/>
              </w:rPr>
              <w:t>Chairman and Chief Executive Officer of Steel Partners</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c/o Steel Partners LLC</w:t>
            </w:r>
          </w:p>
        </w:tc>
      </w:tr>
      <w:tr>
        <w:trPr>
          <w:trHeight w:val="239"/>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5"/>
              </w:rPr>
              <w:t>Holdings GP Inc., the General Partner of Steel Partners</w:t>
            </w:r>
          </w:p>
        </w:tc>
        <w:tc>
          <w:tcPr>
            <w:tcW w:w="4200" w:type="dxa"/>
            <w:vAlign w:val="bottom"/>
            <w:gridSpan w:val="4"/>
          </w:tcPr>
          <w:p>
            <w:pPr>
              <w:ind w:left="60"/>
              <w:spacing w:after="0" w:line="240" w:lineRule="exact"/>
              <w:rPr>
                <w:sz w:val="20"/>
                <w:szCs w:val="20"/>
                <w:color w:val="auto"/>
              </w:rPr>
            </w:pPr>
            <w:r>
              <w:rPr>
                <w:rFonts w:ascii="Arial" w:cs="Arial" w:eastAsia="Arial" w:hAnsi="Arial"/>
                <w:sz w:val="17"/>
                <w:szCs w:val="17"/>
                <w:color w:val="auto"/>
              </w:rPr>
              <w:t>590 Madison Avenue, 32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Holdings L.P., a global diversified holding company</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New York, NY 10022</w:t>
            </w:r>
          </w:p>
        </w:tc>
      </w:tr>
      <w:tr>
        <w:trPr>
          <w:trHeight w:val="395"/>
        </w:trPr>
        <w:tc>
          <w:tcPr>
            <w:tcW w:w="2920" w:type="dxa"/>
            <w:vAlign w:val="bottom"/>
            <w:gridSpan w:val="3"/>
          </w:tcPr>
          <w:p>
            <w:pPr>
              <w:spacing w:after="0"/>
              <w:rPr>
                <w:sz w:val="20"/>
                <w:szCs w:val="20"/>
                <w:color w:val="auto"/>
              </w:rPr>
            </w:pPr>
            <w:r>
              <w:rPr>
                <w:rFonts w:ascii="Arial" w:cs="Arial" w:eastAsia="Arial" w:hAnsi="Arial"/>
                <w:sz w:val="18"/>
                <w:szCs w:val="18"/>
                <w:color w:val="auto"/>
              </w:rPr>
              <w:t>Jack L. Howard, Vice Chairman,</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2"/>
              </w:rPr>
              <w:t>President of Steel Partners Holdings GP Inc., the General</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c/o Steel Partners LLC</w:t>
            </w:r>
          </w:p>
        </w:tc>
      </w:tr>
      <w:tr>
        <w:trPr>
          <w:trHeight w:val="239"/>
        </w:trPr>
        <w:tc>
          <w:tcPr>
            <w:tcW w:w="2920" w:type="dxa"/>
            <w:vAlign w:val="bottom"/>
            <w:gridSpan w:val="3"/>
          </w:tcPr>
          <w:p>
            <w:pPr>
              <w:spacing w:after="0"/>
              <w:rPr>
                <w:sz w:val="20"/>
                <w:szCs w:val="20"/>
                <w:color w:val="auto"/>
              </w:rPr>
            </w:pPr>
            <w:r>
              <w:rPr>
                <w:rFonts w:ascii="Arial" w:cs="Arial" w:eastAsia="Arial" w:hAnsi="Arial"/>
                <w:sz w:val="18"/>
                <w:szCs w:val="18"/>
                <w:color w:val="auto"/>
                <w:w w:val="95"/>
              </w:rPr>
              <w:t>principal executive officer and Director</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Partner of Steel Partners Holdings L.P., a global</w:t>
            </w:r>
          </w:p>
        </w:tc>
        <w:tc>
          <w:tcPr>
            <w:tcW w:w="4200" w:type="dxa"/>
            <w:vAlign w:val="bottom"/>
            <w:gridSpan w:val="4"/>
          </w:tcPr>
          <w:p>
            <w:pPr>
              <w:ind w:left="60"/>
              <w:spacing w:after="0" w:line="240" w:lineRule="exact"/>
              <w:rPr>
                <w:sz w:val="20"/>
                <w:szCs w:val="20"/>
                <w:color w:val="auto"/>
              </w:rPr>
            </w:pPr>
            <w:r>
              <w:rPr>
                <w:rFonts w:ascii="Arial" w:cs="Arial" w:eastAsia="Arial" w:hAnsi="Arial"/>
                <w:sz w:val="17"/>
                <w:szCs w:val="17"/>
                <w:color w:val="auto"/>
              </w:rPr>
              <w:t>590 Madison Avenue, 32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9"/>
              </w:rPr>
              <w:t>diversified holding company, and a principal of Mutual</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New York, NY 10022</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Securities, Inc., a registered broker dealer</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5"/>
        </w:trPr>
        <w:tc>
          <w:tcPr>
            <w:tcW w:w="2920" w:type="dxa"/>
            <w:vAlign w:val="bottom"/>
            <w:gridSpan w:val="3"/>
          </w:tcPr>
          <w:p>
            <w:pPr>
              <w:spacing w:after="0"/>
              <w:rPr>
                <w:sz w:val="20"/>
                <w:szCs w:val="20"/>
                <w:color w:val="auto"/>
              </w:rPr>
            </w:pPr>
            <w:r>
              <w:rPr>
                <w:rFonts w:ascii="Arial" w:cs="Arial" w:eastAsia="Arial" w:hAnsi="Arial"/>
                <w:sz w:val="18"/>
                <w:szCs w:val="18"/>
                <w:color w:val="auto"/>
              </w:rPr>
              <w:t>John J. Quicke, Director</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1"/>
              </w:rPr>
              <w:t>Managing Director and operating partner of Steel Partners</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c/o Steel Partners LLC</w:t>
            </w:r>
          </w:p>
        </w:tc>
      </w:tr>
      <w:tr>
        <w:trPr>
          <w:trHeight w:val="239"/>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LLC, a subsidiary of Steel Partners Holdings L.P., a</w:t>
            </w:r>
          </w:p>
        </w:tc>
        <w:tc>
          <w:tcPr>
            <w:tcW w:w="4200" w:type="dxa"/>
            <w:vAlign w:val="bottom"/>
            <w:gridSpan w:val="4"/>
          </w:tcPr>
          <w:p>
            <w:pPr>
              <w:ind w:left="60"/>
              <w:spacing w:after="0" w:line="240" w:lineRule="exact"/>
              <w:rPr>
                <w:sz w:val="20"/>
                <w:szCs w:val="20"/>
                <w:color w:val="auto"/>
              </w:rPr>
            </w:pPr>
            <w:r>
              <w:rPr>
                <w:rFonts w:ascii="Arial" w:cs="Arial" w:eastAsia="Arial" w:hAnsi="Arial"/>
                <w:sz w:val="17"/>
                <w:szCs w:val="17"/>
                <w:color w:val="auto"/>
              </w:rPr>
              <w:t>590 Madison Avenue, 32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global diversified holding company</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New York, NY 10022</w:t>
            </w:r>
          </w:p>
        </w:tc>
      </w:tr>
      <w:tr>
        <w:trPr>
          <w:trHeight w:val="418"/>
        </w:trPr>
        <w:tc>
          <w:tcPr>
            <w:tcW w:w="2920" w:type="dxa"/>
            <w:vAlign w:val="bottom"/>
            <w:gridSpan w:val="3"/>
          </w:tcPr>
          <w:p>
            <w:pPr>
              <w:spacing w:after="0"/>
              <w:rPr>
                <w:sz w:val="20"/>
                <w:szCs w:val="20"/>
                <w:color w:val="auto"/>
              </w:rPr>
            </w:pPr>
            <w:r>
              <w:rPr>
                <w:rFonts w:ascii="Arial" w:cs="Arial" w:eastAsia="Arial" w:hAnsi="Arial"/>
                <w:sz w:val="18"/>
                <w:szCs w:val="18"/>
                <w:color w:val="auto"/>
              </w:rPr>
              <w:t>Gary W. Ullman, Director</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Chief Executive Officer of Connies Naturals, a</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420 Woodland Acres, Maple,</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1"/>
              </w:rPr>
              <w:t>corporation that delivers pre-made food products to sports</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Ontario, Canada L6A1G2</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stadiums, theme parks and the military</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8"/>
        </w:trPr>
        <w:tc>
          <w:tcPr>
            <w:tcW w:w="2920" w:type="dxa"/>
            <w:vAlign w:val="bottom"/>
            <w:gridSpan w:val="3"/>
          </w:tcPr>
          <w:p>
            <w:pPr>
              <w:spacing w:after="0"/>
              <w:rPr>
                <w:sz w:val="20"/>
                <w:szCs w:val="20"/>
                <w:color w:val="auto"/>
              </w:rPr>
            </w:pPr>
            <w:r>
              <w:rPr>
                <w:rFonts w:ascii="Arial" w:cs="Arial" w:eastAsia="Arial" w:hAnsi="Arial"/>
                <w:sz w:val="18"/>
                <w:szCs w:val="18"/>
                <w:color w:val="auto"/>
              </w:rPr>
              <w:t>John Mutch, Director</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9"/>
              </w:rPr>
              <w:t>President and Chief Executive Officer of BeyondTrust</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c/o Beyond Trust</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Software, a privately held security software company</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2173 Salk Avenue</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Carlsbad, CA 92008</w:t>
            </w:r>
          </w:p>
        </w:tc>
      </w:tr>
      <w:tr>
        <w:trPr>
          <w:trHeight w:val="418"/>
        </w:trPr>
        <w:tc>
          <w:tcPr>
            <w:tcW w:w="2920" w:type="dxa"/>
            <w:vAlign w:val="bottom"/>
            <w:gridSpan w:val="3"/>
          </w:tcPr>
          <w:p>
            <w:pPr>
              <w:spacing w:after="0"/>
              <w:rPr>
                <w:sz w:val="20"/>
                <w:szCs w:val="20"/>
                <w:color w:val="auto"/>
              </w:rPr>
            </w:pPr>
            <w:r>
              <w:rPr>
                <w:rFonts w:ascii="Arial" w:cs="Arial" w:eastAsia="Arial" w:hAnsi="Arial"/>
                <w:sz w:val="18"/>
                <w:szCs w:val="18"/>
                <w:color w:val="auto"/>
              </w:rPr>
              <w:t>Robert J. Valentine, Director</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Sports commentator and owner of Bobby V’s Sports</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225 Main Street</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Gallery Café</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Stamford, Connecticut 06901</w:t>
            </w:r>
          </w:p>
        </w:tc>
      </w:tr>
      <w:tr>
        <w:trPr>
          <w:trHeight w:val="395"/>
        </w:trPr>
        <w:tc>
          <w:tcPr>
            <w:tcW w:w="2920" w:type="dxa"/>
            <w:vAlign w:val="bottom"/>
            <w:gridSpan w:val="3"/>
          </w:tcPr>
          <w:p>
            <w:pPr>
              <w:spacing w:after="0"/>
              <w:rPr>
                <w:sz w:val="20"/>
                <w:szCs w:val="20"/>
                <w:color w:val="auto"/>
              </w:rPr>
            </w:pPr>
            <w:r>
              <w:rPr>
                <w:rFonts w:ascii="Arial" w:cs="Arial" w:eastAsia="Arial" w:hAnsi="Arial"/>
                <w:sz w:val="18"/>
                <w:szCs w:val="18"/>
                <w:color w:val="auto"/>
                <w:w w:val="94"/>
              </w:rPr>
              <w:t>James F. McCabe, Jr., Vice President,</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Chief Financial Officer of Steel Excel Inc., Handy &amp;</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c/o Steel Partners LLC</w:t>
            </w:r>
          </w:p>
        </w:tc>
      </w:tr>
      <w:tr>
        <w:trPr>
          <w:trHeight w:val="239"/>
        </w:trPr>
        <w:tc>
          <w:tcPr>
            <w:tcW w:w="2920" w:type="dxa"/>
            <w:vAlign w:val="bottom"/>
            <w:gridSpan w:val="3"/>
          </w:tcPr>
          <w:p>
            <w:pPr>
              <w:spacing w:after="0"/>
              <w:rPr>
                <w:sz w:val="20"/>
                <w:szCs w:val="20"/>
                <w:color w:val="auto"/>
              </w:rPr>
            </w:pPr>
            <w:r>
              <w:rPr>
                <w:rFonts w:ascii="Arial" w:cs="Arial" w:eastAsia="Arial" w:hAnsi="Arial"/>
                <w:sz w:val="18"/>
                <w:szCs w:val="18"/>
                <w:color w:val="auto"/>
                <w:w w:val="99"/>
              </w:rPr>
              <w:t>Chief Financial Officer and Assistant</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Harman Ltd. and Steel Partners Holdings GP Inc.</w:t>
            </w:r>
          </w:p>
        </w:tc>
        <w:tc>
          <w:tcPr>
            <w:tcW w:w="4200" w:type="dxa"/>
            <w:vAlign w:val="bottom"/>
            <w:gridSpan w:val="4"/>
          </w:tcPr>
          <w:p>
            <w:pPr>
              <w:ind w:left="60"/>
              <w:spacing w:after="0" w:line="240" w:lineRule="exact"/>
              <w:rPr>
                <w:sz w:val="20"/>
                <w:szCs w:val="20"/>
                <w:color w:val="auto"/>
              </w:rPr>
            </w:pPr>
            <w:r>
              <w:rPr>
                <w:rFonts w:ascii="Arial" w:cs="Arial" w:eastAsia="Arial" w:hAnsi="Arial"/>
                <w:sz w:val="17"/>
                <w:szCs w:val="17"/>
                <w:color w:val="auto"/>
              </w:rPr>
              <w:t>590 Madison Avenue, 32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Secretary</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President of SP Corporate Services LLC.</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New York, NY 10022</w:t>
            </w:r>
          </w:p>
        </w:tc>
      </w:tr>
      <w:tr>
        <w:trPr>
          <w:trHeight w:val="395"/>
        </w:trPr>
        <w:tc>
          <w:tcPr>
            <w:tcW w:w="2920" w:type="dxa"/>
            <w:vAlign w:val="bottom"/>
            <w:gridSpan w:val="3"/>
          </w:tcPr>
          <w:p>
            <w:pPr>
              <w:spacing w:after="0"/>
              <w:rPr>
                <w:sz w:val="20"/>
                <w:szCs w:val="20"/>
                <w:color w:val="auto"/>
              </w:rPr>
            </w:pPr>
            <w:r>
              <w:rPr>
                <w:rFonts w:ascii="Arial" w:cs="Arial" w:eastAsia="Arial" w:hAnsi="Arial"/>
                <w:sz w:val="18"/>
                <w:szCs w:val="18"/>
                <w:color w:val="auto"/>
              </w:rPr>
              <w:t>Leonard J. McGill, Vice President,</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3"/>
              </w:rPr>
              <w:t>Senior Vice President, General Counsel and Secretary of</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c/o Steel Partners LLC</w:t>
            </w:r>
          </w:p>
        </w:tc>
      </w:tr>
      <w:tr>
        <w:trPr>
          <w:trHeight w:val="239"/>
        </w:trPr>
        <w:tc>
          <w:tcPr>
            <w:tcW w:w="2920" w:type="dxa"/>
            <w:vAlign w:val="bottom"/>
            <w:gridSpan w:val="3"/>
          </w:tcPr>
          <w:p>
            <w:pPr>
              <w:spacing w:after="0"/>
              <w:rPr>
                <w:sz w:val="20"/>
                <w:szCs w:val="20"/>
                <w:color w:val="auto"/>
              </w:rPr>
            </w:pPr>
            <w:r>
              <w:rPr>
                <w:rFonts w:ascii="Arial" w:cs="Arial" w:eastAsia="Arial" w:hAnsi="Arial"/>
                <w:sz w:val="18"/>
                <w:szCs w:val="18"/>
                <w:color w:val="auto"/>
              </w:rPr>
              <w:t>General Counsel and Secretary</w:t>
            </w: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6"/>
              </w:rPr>
              <w:t>Steel Partners Holdings GP Inc. Senior Vice President,</w:t>
            </w:r>
          </w:p>
        </w:tc>
        <w:tc>
          <w:tcPr>
            <w:tcW w:w="4200" w:type="dxa"/>
            <w:vAlign w:val="bottom"/>
            <w:gridSpan w:val="4"/>
          </w:tcPr>
          <w:p>
            <w:pPr>
              <w:ind w:left="60"/>
              <w:spacing w:after="0" w:line="240" w:lineRule="exact"/>
              <w:rPr>
                <w:sz w:val="20"/>
                <w:szCs w:val="20"/>
                <w:color w:val="auto"/>
              </w:rPr>
            </w:pPr>
            <w:r>
              <w:rPr>
                <w:rFonts w:ascii="Arial" w:cs="Arial" w:eastAsia="Arial" w:hAnsi="Arial"/>
                <w:sz w:val="17"/>
                <w:szCs w:val="17"/>
                <w:color w:val="auto"/>
              </w:rPr>
              <w:t>590 Madison Avenue, 32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w w:val="96"/>
              </w:rPr>
              <w:t>Chief Legal Officer and Assistant Secretary of Handy &amp;</w:t>
            </w:r>
          </w:p>
        </w:tc>
        <w:tc>
          <w:tcPr>
            <w:tcW w:w="4200" w:type="dxa"/>
            <w:vAlign w:val="bottom"/>
            <w:gridSpan w:val="4"/>
          </w:tcPr>
          <w:p>
            <w:pPr>
              <w:ind w:left="60"/>
              <w:spacing w:after="0"/>
              <w:rPr>
                <w:sz w:val="20"/>
                <w:szCs w:val="20"/>
                <w:color w:val="auto"/>
              </w:rPr>
            </w:pPr>
            <w:r>
              <w:rPr>
                <w:rFonts w:ascii="Arial" w:cs="Arial" w:eastAsia="Arial" w:hAnsi="Arial"/>
                <w:sz w:val="18"/>
                <w:szCs w:val="18"/>
                <w:color w:val="auto"/>
              </w:rPr>
              <w:t>New York, NY 10022</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340" w:type="dxa"/>
            <w:vAlign w:val="bottom"/>
            <w:gridSpan w:val="4"/>
          </w:tcPr>
          <w:p>
            <w:pPr>
              <w:ind w:left="80"/>
              <w:spacing w:after="0"/>
              <w:rPr>
                <w:sz w:val="20"/>
                <w:szCs w:val="20"/>
                <w:color w:val="auto"/>
              </w:rPr>
            </w:pPr>
            <w:r>
              <w:rPr>
                <w:rFonts w:ascii="Arial" w:cs="Arial" w:eastAsia="Arial" w:hAnsi="Arial"/>
                <w:sz w:val="18"/>
                <w:szCs w:val="18"/>
                <w:color w:val="auto"/>
              </w:rPr>
              <w:t>Harman Ltd.</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780"/>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1"/>
        </w:trPr>
        <w:tc>
          <w:tcPr>
            <w:tcW w:w="7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1" w:name="page12"/>
    <w:bookmarkEnd w:id="11"/>
    <w:p>
      <w:pPr>
        <w:ind w:left="3120"/>
        <w:spacing w:after="0"/>
        <w:rPr>
          <w:sz w:val="20"/>
          <w:szCs w:val="20"/>
          <w:color w:val="auto"/>
        </w:rPr>
      </w:pPr>
      <w:r>
        <w:rPr>
          <w:rFonts w:ascii="Arial" w:cs="Arial" w:eastAsia="Arial" w:hAnsi="Arial"/>
          <w:sz w:val="16"/>
          <w:szCs w:val="16"/>
          <w:b w:val="1"/>
          <w:bCs w:val="1"/>
          <w:u w:val="single" w:color="auto"/>
          <w:color w:val="auto"/>
        </w:rPr>
        <w:t>Executive Officers and Directors of Steel Partners Holdings GP Inc.</w:t>
      </w:r>
    </w:p>
    <w:p>
      <w:pPr>
        <w:sectPr>
          <w:pgSz w:w="11900" w:h="16838" w:orient="portrait"/>
          <w:cols w:equalWidth="0" w:num="1">
            <w:col w:w="10219"/>
          </w:cols>
          <w:pgMar w:left="240" w:top="580" w:right="1440"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ind w:left="760"/>
              <w:spacing w:after="0"/>
              <w:rPr>
                <w:sz w:val="20"/>
                <w:szCs w:val="20"/>
                <w:color w:val="auto"/>
              </w:rPr>
            </w:pPr>
            <w:r>
              <w:rPr>
                <w:rFonts w:ascii="Arial" w:cs="Arial" w:eastAsia="Arial" w:hAnsi="Arial"/>
                <w:sz w:val="18"/>
                <w:szCs w:val="18"/>
                <w:color w:val="auto"/>
              </w:rPr>
              <w:t>Name and Position</w:t>
            </w:r>
          </w:p>
        </w:tc>
        <w:tc>
          <w:tcPr>
            <w:tcW w:w="4280" w:type="dxa"/>
            <w:vAlign w:val="bottom"/>
            <w:gridSpan w:val="3"/>
          </w:tcPr>
          <w:p>
            <w:pPr>
              <w:ind w:left="1120"/>
              <w:spacing w:after="0"/>
              <w:rPr>
                <w:sz w:val="20"/>
                <w:szCs w:val="20"/>
                <w:color w:val="auto"/>
              </w:rPr>
            </w:pPr>
            <w:r>
              <w:rPr>
                <w:rFonts w:ascii="Arial" w:cs="Arial" w:eastAsia="Arial" w:hAnsi="Arial"/>
                <w:sz w:val="18"/>
                <w:szCs w:val="18"/>
                <w:color w:val="auto"/>
              </w:rPr>
              <w:t>Present Principal Occupation</w:t>
            </w:r>
          </w:p>
        </w:tc>
      </w:tr>
      <w:tr>
        <w:trPr>
          <w:trHeight w:val="20"/>
        </w:trPr>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38"/>
        </w:trPr>
        <w:tc>
          <w:tcPr>
            <w:tcW w:w="2920" w:type="dxa"/>
            <w:vAlign w:val="bottom"/>
            <w:gridSpan w:val="3"/>
          </w:tcPr>
          <w:p>
            <w:pPr>
              <w:spacing w:after="0"/>
              <w:rPr>
                <w:sz w:val="20"/>
                <w:szCs w:val="20"/>
                <w:color w:val="auto"/>
              </w:rPr>
            </w:pPr>
            <w:r>
              <w:rPr>
                <w:rFonts w:ascii="Arial" w:cs="Arial" w:eastAsia="Arial" w:hAnsi="Arial"/>
                <w:sz w:val="18"/>
                <w:szCs w:val="18"/>
                <w:color w:val="auto"/>
              </w:rPr>
              <w:t>Warren G. Lichtenstein, Chairman,</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w w:val="94"/>
              </w:rPr>
              <w:t>Chairman and Chief Executive Officer of Steel Partners</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Chief Executive Officer and Director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w w:val="94"/>
              </w:rPr>
              <w:t>Holdings GP Inc., the General Partner of Steel Partners</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Holdings L.P., a global diversified holding company</w:t>
            </w:r>
          </w:p>
        </w:tc>
      </w:tr>
      <w:tr>
        <w:trPr>
          <w:trHeight w:val="418"/>
        </w:trPr>
        <w:tc>
          <w:tcPr>
            <w:tcW w:w="2920" w:type="dxa"/>
            <w:vAlign w:val="bottom"/>
            <w:gridSpan w:val="3"/>
          </w:tcPr>
          <w:p>
            <w:pPr>
              <w:spacing w:after="0"/>
              <w:rPr>
                <w:sz w:val="20"/>
                <w:szCs w:val="20"/>
                <w:color w:val="auto"/>
              </w:rPr>
            </w:pPr>
            <w:r>
              <w:rPr>
                <w:rFonts w:ascii="Arial" w:cs="Arial" w:eastAsia="Arial" w:hAnsi="Arial"/>
                <w:sz w:val="18"/>
                <w:szCs w:val="18"/>
                <w:color w:val="auto"/>
                <w:w w:val="92"/>
              </w:rPr>
              <w:t>Jack L. Howard, President and Director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w w:val="91"/>
              </w:rPr>
              <w:t>President of Steel Partners Holdings GP Inc., the General</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Partner of Steel Partners Holdings L.P., a global</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w w:val="97"/>
              </w:rPr>
              <w:t>diversified holding company, and a principal of Mutual</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Securities, Inc., a registered broker dealer</w:t>
            </w:r>
          </w:p>
        </w:tc>
      </w:tr>
      <w:tr>
        <w:trPr>
          <w:trHeight w:val="418"/>
        </w:trPr>
        <w:tc>
          <w:tcPr>
            <w:tcW w:w="2920" w:type="dxa"/>
            <w:vAlign w:val="bottom"/>
            <w:gridSpan w:val="3"/>
          </w:tcPr>
          <w:p>
            <w:pPr>
              <w:spacing w:after="0"/>
              <w:rPr>
                <w:sz w:val="20"/>
                <w:szCs w:val="20"/>
                <w:color w:val="auto"/>
              </w:rPr>
            </w:pPr>
            <w:r>
              <w:rPr>
                <w:rFonts w:ascii="Arial" w:cs="Arial" w:eastAsia="Arial" w:hAnsi="Arial"/>
                <w:sz w:val="18"/>
                <w:szCs w:val="18"/>
                <w:color w:val="auto"/>
              </w:rPr>
              <w:t>James F. McCabe, Jr.,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w w:val="99"/>
              </w:rPr>
              <w:t>Chief Financial Officer of Steel Partners Holdings GP</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w w:val="89"/>
              </w:rPr>
              <w:t>Inc., the General Partner of Steel Partners Holdings L.P., a</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global diversified holding company</w:t>
            </w:r>
          </w:p>
        </w:tc>
      </w:tr>
      <w:tr>
        <w:trPr>
          <w:trHeight w:val="418"/>
        </w:trPr>
        <w:tc>
          <w:tcPr>
            <w:tcW w:w="2920" w:type="dxa"/>
            <w:vAlign w:val="bottom"/>
            <w:gridSpan w:val="3"/>
          </w:tcPr>
          <w:p>
            <w:pPr>
              <w:spacing w:after="0"/>
              <w:rPr>
                <w:sz w:val="20"/>
                <w:szCs w:val="20"/>
                <w:color w:val="auto"/>
              </w:rPr>
            </w:pPr>
            <w:r>
              <w:rPr>
                <w:rFonts w:ascii="Arial" w:cs="Arial" w:eastAsia="Arial" w:hAnsi="Arial"/>
                <w:sz w:val="18"/>
                <w:szCs w:val="18"/>
                <w:color w:val="auto"/>
              </w:rPr>
              <w:t>Anthony Bergamo, Director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Vice Chairman of MB Real Estate, a property</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management company</w:t>
            </w:r>
          </w:p>
        </w:tc>
      </w:tr>
      <w:tr>
        <w:trPr>
          <w:trHeight w:val="634"/>
        </w:trPr>
        <w:tc>
          <w:tcPr>
            <w:tcW w:w="2920" w:type="dxa"/>
            <w:vAlign w:val="bottom"/>
            <w:gridSpan w:val="3"/>
          </w:tcPr>
          <w:p>
            <w:pPr>
              <w:spacing w:after="0"/>
              <w:rPr>
                <w:sz w:val="20"/>
                <w:szCs w:val="20"/>
                <w:color w:val="auto"/>
              </w:rPr>
            </w:pPr>
            <w:r>
              <w:rPr>
                <w:rFonts w:ascii="Arial" w:cs="Arial" w:eastAsia="Arial" w:hAnsi="Arial"/>
                <w:sz w:val="18"/>
                <w:szCs w:val="18"/>
                <w:color w:val="auto"/>
              </w:rPr>
              <w:t>John P. McNiff, Director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Partner of Mera Capital Management LP, a private</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investment partnership</w:t>
            </w:r>
          </w:p>
        </w:tc>
      </w:tr>
      <w:tr>
        <w:trPr>
          <w:trHeight w:val="634"/>
        </w:trPr>
        <w:tc>
          <w:tcPr>
            <w:tcW w:w="2920" w:type="dxa"/>
            <w:vAlign w:val="bottom"/>
            <w:gridSpan w:val="3"/>
          </w:tcPr>
          <w:p>
            <w:pPr>
              <w:spacing w:after="0"/>
              <w:rPr>
                <w:sz w:val="20"/>
                <w:szCs w:val="20"/>
                <w:color w:val="auto"/>
              </w:rPr>
            </w:pPr>
            <w:r>
              <w:rPr>
                <w:rFonts w:ascii="Arial" w:cs="Arial" w:eastAsia="Arial" w:hAnsi="Arial"/>
                <w:sz w:val="18"/>
                <w:szCs w:val="18"/>
                <w:color w:val="auto"/>
              </w:rPr>
              <w:t>Joseph L. Mullen, Director</w:t>
            </w: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Managing Partner of Li Moran International, Inc., a</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management consulting company</w:t>
            </w: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400"/>
        <w:spacing w:after="0"/>
        <w:rPr>
          <w:sz w:val="20"/>
          <w:szCs w:val="20"/>
          <w:color w:val="auto"/>
        </w:rPr>
      </w:pPr>
      <w:r>
        <w:rPr>
          <w:rFonts w:ascii="Arial" w:cs="Arial" w:eastAsia="Arial" w:hAnsi="Arial"/>
          <w:sz w:val="15"/>
          <w:szCs w:val="15"/>
          <w:u w:val="single" w:color="auto"/>
          <w:color w:val="auto"/>
        </w:rPr>
        <w:t>Business Address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 Steel Partners LLC</w:t>
      </w:r>
    </w:p>
    <w:p>
      <w:pPr>
        <w:ind w:right="519"/>
        <w:spacing w:after="0" w:line="199" w:lineRule="auto"/>
        <w:rPr>
          <w:sz w:val="20"/>
          <w:szCs w:val="20"/>
          <w:color w:val="auto"/>
        </w:rPr>
      </w:pPr>
      <w:r>
        <w:rPr>
          <w:rFonts w:ascii="Arial" w:cs="Arial" w:eastAsia="Arial" w:hAnsi="Arial"/>
          <w:sz w:val="18"/>
          <w:szCs w:val="18"/>
          <w:color w:val="auto"/>
        </w:rPr>
        <w:t>590 Madison Avenue,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 Steel Partners LLC</w:t>
      </w:r>
    </w:p>
    <w:p>
      <w:pPr>
        <w:ind w:right="519"/>
        <w:spacing w:after="0" w:line="199" w:lineRule="auto"/>
        <w:rPr>
          <w:sz w:val="20"/>
          <w:szCs w:val="20"/>
          <w:color w:val="auto"/>
        </w:rPr>
      </w:pPr>
      <w:r>
        <w:rPr>
          <w:rFonts w:ascii="Arial" w:cs="Arial" w:eastAsia="Arial" w:hAnsi="Arial"/>
          <w:sz w:val="18"/>
          <w:szCs w:val="18"/>
          <w:color w:val="auto"/>
        </w:rPr>
        <w:t>590 Madison Avenue,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line="218" w:lineRule="exact"/>
        <w:rPr>
          <w:sz w:val="20"/>
          <w:szCs w:val="20"/>
          <w:color w:val="auto"/>
        </w:rPr>
      </w:pPr>
    </w:p>
    <w:p>
      <w:pPr>
        <w:ind w:right="519"/>
        <w:spacing w:after="0" w:line="238" w:lineRule="auto"/>
        <w:rPr>
          <w:sz w:val="20"/>
          <w:szCs w:val="20"/>
          <w:color w:val="auto"/>
        </w:rPr>
      </w:pPr>
      <w:r>
        <w:rPr>
          <w:rFonts w:ascii="Arial" w:cs="Arial" w:eastAsia="Arial" w:hAnsi="Arial"/>
          <w:sz w:val="16"/>
          <w:szCs w:val="16"/>
          <w:color w:val="auto"/>
        </w:rPr>
        <w:t>c/o Steel Partners Holdings L.P. 590 Madison Avenue,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NY 10022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 MB Real Estate</w:t>
      </w:r>
    </w:p>
    <w:p>
      <w:pPr>
        <w:ind w:right="539"/>
        <w:spacing w:after="0" w:line="199" w:lineRule="auto"/>
        <w:rPr>
          <w:sz w:val="20"/>
          <w:szCs w:val="20"/>
          <w:color w:val="auto"/>
        </w:rPr>
      </w:pPr>
      <w:r>
        <w:rPr>
          <w:rFonts w:ascii="Arial" w:cs="Arial" w:eastAsia="Arial" w:hAnsi="Arial"/>
          <w:sz w:val="18"/>
          <w:szCs w:val="18"/>
          <w:color w:val="auto"/>
        </w:rPr>
        <w:t>335 Madison Avenue,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202" w:lineRule="exact"/>
        <w:rPr>
          <w:sz w:val="20"/>
          <w:szCs w:val="20"/>
          <w:color w:val="auto"/>
        </w:rPr>
      </w:pPr>
    </w:p>
    <w:p>
      <w:pPr>
        <w:jc w:val="both"/>
        <w:ind w:right="399"/>
        <w:spacing w:after="0" w:line="286" w:lineRule="auto"/>
        <w:rPr>
          <w:sz w:val="20"/>
          <w:szCs w:val="20"/>
          <w:color w:val="auto"/>
        </w:rPr>
      </w:pPr>
      <w:r>
        <w:rPr>
          <w:rFonts w:ascii="Arial" w:cs="Arial" w:eastAsia="Arial" w:hAnsi="Arial"/>
          <w:sz w:val="17"/>
          <w:szCs w:val="17"/>
          <w:color w:val="auto"/>
        </w:rPr>
        <w:t>c/o Mera Capital Management LP 161 Washington Street, Suite 1560 Conshohocken, PA 19428</w:t>
      </w:r>
    </w:p>
    <w:p>
      <w:pPr>
        <w:spacing w:after="0" w:line="166" w:lineRule="exact"/>
        <w:rPr>
          <w:sz w:val="20"/>
          <w:szCs w:val="20"/>
          <w:color w:val="auto"/>
        </w:rPr>
      </w:pPr>
    </w:p>
    <w:p>
      <w:pPr>
        <w:ind w:right="999"/>
        <w:spacing w:after="0" w:line="312" w:lineRule="auto"/>
        <w:rPr>
          <w:sz w:val="20"/>
          <w:szCs w:val="20"/>
          <w:color w:val="auto"/>
        </w:rPr>
      </w:pPr>
      <w:r>
        <w:rPr>
          <w:rFonts w:ascii="Arial" w:cs="Arial" w:eastAsia="Arial" w:hAnsi="Arial"/>
          <w:sz w:val="16"/>
          <w:szCs w:val="16"/>
          <w:color w:val="auto"/>
        </w:rPr>
        <w:t>c/o Li Moran International 611 Broadway, Suite 722 New York, NY 10012</w:t>
      </w:r>
    </w:p>
    <w:p>
      <w:pPr>
        <w:spacing w:after="0" w:line="147" w:lineRule="exact"/>
        <w:rPr>
          <w:sz w:val="20"/>
          <w:szCs w:val="20"/>
          <w:color w:val="auto"/>
        </w:rPr>
      </w:pPr>
    </w:p>
    <w:p>
      <w:pPr>
        <w:sectPr>
          <w:pgSz w:w="11900" w:h="16838" w:orient="portrait"/>
          <w:cols w:equalWidth="0" w:num="2">
            <w:col w:w="7200" w:space="120"/>
            <w:col w:w="2899"/>
          </w:cols>
          <w:pgMar w:left="240" w:top="580" w:right="1440" w:bottom="1440" w:gutter="0" w:footer="0" w:header="0"/>
          <w:type w:val="continuous"/>
        </w:sectPr>
      </w:pPr>
    </w:p>
    <w:p>
      <w:pPr>
        <w:spacing w:after="0"/>
        <w:tabs>
          <w:tab w:leader="none" w:pos="2980" w:val="left"/>
        </w:tabs>
        <w:rPr>
          <w:sz w:val="20"/>
          <w:szCs w:val="20"/>
          <w:color w:val="auto"/>
        </w:rPr>
      </w:pPr>
      <w:r>
        <w:rPr>
          <w:rFonts w:ascii="Arial" w:cs="Arial" w:eastAsia="Arial" w:hAnsi="Arial"/>
          <w:sz w:val="18"/>
          <w:szCs w:val="18"/>
          <w:color w:val="auto"/>
        </w:rPr>
        <w:t>General Richard I. Neal, Director</w:t>
      </w:r>
      <w:r>
        <w:rPr>
          <w:sz w:val="20"/>
          <w:szCs w:val="20"/>
          <w:color w:val="auto"/>
        </w:rPr>
        <w:tab/>
      </w:r>
      <w:r>
        <w:rPr>
          <w:rFonts w:ascii="Arial" w:cs="Arial" w:eastAsia="Arial" w:hAnsi="Arial"/>
          <w:sz w:val="16"/>
          <w:szCs w:val="16"/>
          <w:color w:val="auto"/>
        </w:rPr>
        <w:t>President of Sisvel US, Inc. and Audio MPEG, Inc.,</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licensors of intellectual property</w:t>
      </w:r>
    </w:p>
    <w:p>
      <w:pPr>
        <w:spacing w:after="0" w:line="200" w:lineRule="exact"/>
        <w:rPr>
          <w:sz w:val="20"/>
          <w:szCs w:val="20"/>
          <w:color w:val="auto"/>
        </w:rPr>
      </w:pPr>
    </w:p>
    <w:p>
      <w:pPr>
        <w:spacing w:after="0" w:line="227"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Allan R. Tessler, Director</w:t>
      </w:r>
      <w:r>
        <w:rPr>
          <w:sz w:val="20"/>
          <w:szCs w:val="20"/>
          <w:color w:val="auto"/>
        </w:rPr>
        <w:tab/>
      </w:r>
      <w:r>
        <w:rPr>
          <w:rFonts w:ascii="Arial" w:cs="Arial" w:eastAsia="Arial" w:hAnsi="Arial"/>
          <w:sz w:val="16"/>
          <w:szCs w:val="16"/>
          <w:color w:val="auto"/>
        </w:rPr>
        <w:t>Chairman and Chief Executive Officer of International</w:t>
      </w:r>
    </w:p>
    <w:p>
      <w:pPr>
        <w:spacing w:after="0" w:line="23" w:lineRule="exact"/>
        <w:rPr>
          <w:sz w:val="20"/>
          <w:szCs w:val="20"/>
          <w:color w:val="auto"/>
        </w:rPr>
      </w:pPr>
    </w:p>
    <w:p>
      <w:pPr>
        <w:ind w:left="3000"/>
        <w:spacing w:after="0" w:line="261" w:lineRule="auto"/>
        <w:rPr>
          <w:sz w:val="20"/>
          <w:szCs w:val="20"/>
          <w:color w:val="auto"/>
        </w:rPr>
      </w:pPr>
      <w:r>
        <w:rPr>
          <w:rFonts w:ascii="Arial" w:cs="Arial" w:eastAsia="Arial" w:hAnsi="Arial"/>
          <w:sz w:val="18"/>
          <w:szCs w:val="18"/>
          <w:color w:val="auto"/>
        </w:rPr>
        <w:t>Financial Group, Inc., an international merchant banking firm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 Sisvel US, Inc.</w:t>
      </w:r>
    </w:p>
    <w:p>
      <w:pPr>
        <w:spacing w:after="0" w:line="23" w:lineRule="exact"/>
        <w:rPr>
          <w:sz w:val="20"/>
          <w:szCs w:val="20"/>
          <w:color w:val="auto"/>
        </w:rPr>
      </w:pPr>
    </w:p>
    <w:p>
      <w:pPr>
        <w:ind w:right="519"/>
        <w:spacing w:after="0" w:line="261" w:lineRule="auto"/>
        <w:rPr>
          <w:sz w:val="20"/>
          <w:szCs w:val="20"/>
          <w:color w:val="auto"/>
        </w:rPr>
      </w:pPr>
      <w:r>
        <w:rPr>
          <w:rFonts w:ascii="Arial" w:cs="Arial" w:eastAsia="Arial" w:hAnsi="Arial"/>
          <w:sz w:val="18"/>
          <w:szCs w:val="18"/>
          <w:color w:val="auto"/>
        </w:rPr>
        <w:t>66 Canal Center Plaza, Suite 750 Alexandria, VA 22314</w:t>
      </w:r>
    </w:p>
    <w:p>
      <w:pPr>
        <w:spacing w:after="0" w:line="184" w:lineRule="exact"/>
        <w:rPr>
          <w:sz w:val="20"/>
          <w:szCs w:val="20"/>
          <w:color w:val="auto"/>
        </w:rPr>
      </w:pPr>
    </w:p>
    <w:p>
      <w:pPr>
        <w:ind w:right="139"/>
        <w:spacing w:after="0" w:line="264" w:lineRule="auto"/>
        <w:rPr>
          <w:sz w:val="20"/>
          <w:szCs w:val="20"/>
          <w:color w:val="auto"/>
        </w:rPr>
      </w:pPr>
      <w:r>
        <w:rPr>
          <w:rFonts w:ascii="Arial" w:cs="Arial" w:eastAsia="Arial" w:hAnsi="Arial"/>
          <w:sz w:val="18"/>
          <w:szCs w:val="18"/>
          <w:color w:val="auto"/>
        </w:rPr>
        <w:t>c/o International Financial Group, Inc. 2500 North Moose Wilson Road Wilson, WY 83014</w:t>
      </w:r>
    </w:p>
    <w:p>
      <w:pPr>
        <w:spacing w:after="0" w:line="181" w:lineRule="exact"/>
        <w:rPr>
          <w:sz w:val="20"/>
          <w:szCs w:val="20"/>
          <w:color w:val="auto"/>
        </w:rPr>
      </w:pPr>
    </w:p>
    <w:p>
      <w:pPr>
        <w:sectPr>
          <w:pgSz w:w="11900" w:h="16838" w:orient="portrait"/>
          <w:cols w:equalWidth="0" w:num="2">
            <w:col w:w="7080" w:space="240"/>
            <w:col w:w="2899"/>
          </w:cols>
          <w:pgMar w:left="240" w:top="580" w:right="1440" w:bottom="1440" w:gutter="0" w:footer="0" w:header="0"/>
          <w:type w:val="continuous"/>
        </w:sectPr>
      </w:pPr>
    </w:p>
    <w:p>
      <w:pPr>
        <w:spacing w:after="0"/>
        <w:tabs>
          <w:tab w:leader="none" w:pos="2980" w:val="left"/>
        </w:tabs>
        <w:rPr>
          <w:sz w:val="20"/>
          <w:szCs w:val="20"/>
          <w:color w:val="auto"/>
        </w:rPr>
      </w:pPr>
      <w:r>
        <w:rPr>
          <w:rFonts w:ascii="Arial" w:cs="Arial" w:eastAsia="Arial" w:hAnsi="Arial"/>
          <w:sz w:val="18"/>
          <w:szCs w:val="18"/>
          <w:color w:val="auto"/>
        </w:rPr>
        <w:t>Leonard J. McGill, Senior Vice</w:t>
      </w:r>
      <w:r>
        <w:rPr>
          <w:sz w:val="20"/>
          <w:szCs w:val="20"/>
          <w:color w:val="auto"/>
        </w:rPr>
        <w:tab/>
      </w:r>
      <w:r>
        <w:rPr>
          <w:rFonts w:ascii="Arial" w:cs="Arial" w:eastAsia="Arial" w:hAnsi="Arial"/>
          <w:sz w:val="16"/>
          <w:szCs w:val="16"/>
          <w:color w:val="auto"/>
        </w:rPr>
        <w:t>Senior Vice President, General Counsel and Secretary of</w:t>
      </w:r>
    </w:p>
    <w:p>
      <w:pPr>
        <w:spacing w:after="0" w:line="2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President, General Counsel and</w:t>
      </w:r>
      <w:r>
        <w:rPr>
          <w:sz w:val="20"/>
          <w:szCs w:val="20"/>
          <w:color w:val="auto"/>
        </w:rPr>
        <w:tab/>
      </w:r>
      <w:r>
        <w:rPr>
          <w:rFonts w:ascii="Arial" w:cs="Arial" w:eastAsia="Arial" w:hAnsi="Arial"/>
          <w:sz w:val="16"/>
          <w:szCs w:val="16"/>
          <w:color w:val="auto"/>
        </w:rPr>
        <w:t>Steel Partners Holdings GP Inc., the General Partner of</w:t>
      </w:r>
    </w:p>
    <w:p>
      <w:pPr>
        <w:spacing w:after="0" w:line="9"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Secretary</w:t>
      </w:r>
      <w:r>
        <w:rPr>
          <w:sz w:val="20"/>
          <w:szCs w:val="20"/>
          <w:color w:val="auto"/>
        </w:rPr>
        <w:tab/>
      </w:r>
      <w:r>
        <w:rPr>
          <w:rFonts w:ascii="Arial" w:cs="Arial" w:eastAsia="Arial" w:hAnsi="Arial"/>
          <w:sz w:val="16"/>
          <w:szCs w:val="16"/>
          <w:color w:val="auto"/>
        </w:rPr>
        <w:t>Steel Partners Holdings L.P., a global diversified holding</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19"/>
        <w:spacing w:after="0" w:line="238" w:lineRule="auto"/>
        <w:rPr>
          <w:sz w:val="20"/>
          <w:szCs w:val="20"/>
          <w:color w:val="auto"/>
        </w:rPr>
      </w:pPr>
      <w:r>
        <w:rPr>
          <w:rFonts w:ascii="Arial" w:cs="Arial" w:eastAsia="Arial" w:hAnsi="Arial"/>
          <w:sz w:val="16"/>
          <w:szCs w:val="16"/>
          <w:color w:val="auto"/>
        </w:rPr>
        <w:t>c/o Steel Partners Holdings L.P. 590 Madison Avenue,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NY 10022</w:t>
      </w:r>
    </w:p>
    <w:p>
      <w:pPr>
        <w:sectPr>
          <w:pgSz w:w="11900" w:h="16838" w:orient="portrait"/>
          <w:cols w:equalWidth="0" w:num="2">
            <w:col w:w="7100" w:space="220"/>
            <w:col w:w="2899"/>
          </w:cols>
          <w:pgMar w:left="240" w:top="580"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5"/>
          </w:tcPr>
          <w:p>
            <w:pPr>
              <w:jc w:val="center"/>
              <w:ind w:right="2360"/>
              <w:spacing w:after="0"/>
              <w:rPr>
                <w:sz w:val="20"/>
                <w:szCs w:val="20"/>
                <w:color w:val="auto"/>
              </w:rPr>
            </w:pPr>
            <w:r>
              <w:rPr>
                <w:rFonts w:ascii="Arial" w:cs="Arial" w:eastAsia="Arial" w:hAnsi="Arial"/>
                <w:sz w:val="18"/>
                <w:szCs w:val="18"/>
                <w:color w:val="auto"/>
                <w:w w:val="95"/>
              </w:rPr>
              <w:t>SCHEDULE B</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6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89"/>
              </w:rPr>
              <w:t>Transactions in the Shares of the Issuer During the Past 60 Days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260" w:type="dxa"/>
            <w:vAlign w:val="bottom"/>
          </w:tcPr>
          <w:p>
            <w:pPr>
              <w:spacing w:after="0"/>
              <w:rPr>
                <w:sz w:val="24"/>
                <w:szCs w:val="24"/>
                <w:color w:val="auto"/>
              </w:rPr>
            </w:pPr>
          </w:p>
        </w:tc>
        <w:tc>
          <w:tcPr>
            <w:tcW w:w="210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Class of</w:t>
            </w:r>
          </w:p>
        </w:tc>
        <w:tc>
          <w:tcPr>
            <w:tcW w:w="6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Securities</w:t>
            </w:r>
          </w:p>
        </w:tc>
        <w:tc>
          <w:tcPr>
            <w:tcW w:w="1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Date of</w:t>
            </w:r>
          </w:p>
        </w:tc>
      </w:tr>
      <w:tr>
        <w:trPr>
          <w:trHeight w:val="190"/>
        </w:trPr>
        <w:tc>
          <w:tcPr>
            <w:tcW w:w="260" w:type="dxa"/>
            <w:vAlign w:val="bottom"/>
          </w:tcPr>
          <w:p>
            <w:pPr>
              <w:spacing w:after="0"/>
              <w:rPr>
                <w:sz w:val="16"/>
                <w:szCs w:val="16"/>
                <w:color w:val="auto"/>
              </w:rPr>
            </w:pPr>
          </w:p>
        </w:tc>
        <w:tc>
          <w:tcPr>
            <w:tcW w:w="600" w:type="dxa"/>
            <w:vAlign w:val="bottom"/>
          </w:tcPr>
          <w:p>
            <w:pPr>
              <w:jc w:val="center"/>
              <w:spacing w:after="0" w:line="190" w:lineRule="exact"/>
              <w:rPr>
                <w:sz w:val="20"/>
                <w:szCs w:val="20"/>
                <w:color w:val="auto"/>
              </w:rPr>
            </w:pPr>
            <w:r>
              <w:rPr>
                <w:rFonts w:ascii="Arial" w:cs="Arial" w:eastAsia="Arial" w:hAnsi="Arial"/>
                <w:sz w:val="18"/>
                <w:szCs w:val="18"/>
                <w:color w:val="auto"/>
                <w:w w:val="92"/>
              </w:rPr>
              <w:t>Security</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2"/>
          </w:tcPr>
          <w:p>
            <w:pPr>
              <w:spacing w:after="0" w:line="190" w:lineRule="exact"/>
              <w:rPr>
                <w:sz w:val="20"/>
                <w:szCs w:val="20"/>
                <w:color w:val="auto"/>
              </w:rPr>
            </w:pPr>
            <w:r>
              <w:rPr>
                <w:rFonts w:ascii="Arial" w:cs="Arial" w:eastAsia="Arial" w:hAnsi="Arial"/>
                <w:sz w:val="18"/>
                <w:szCs w:val="18"/>
                <w:color w:val="auto"/>
              </w:rPr>
              <w:t>Purchased</w:t>
            </w:r>
          </w:p>
        </w:tc>
        <w:tc>
          <w:tcPr>
            <w:tcW w:w="1660" w:type="dxa"/>
            <w:vAlign w:val="bottom"/>
          </w:tcPr>
          <w:p>
            <w:pPr>
              <w:spacing w:after="0"/>
              <w:rPr>
                <w:sz w:val="16"/>
                <w:szCs w:val="16"/>
                <w:color w:val="auto"/>
              </w:rPr>
            </w:pPr>
          </w:p>
        </w:tc>
        <w:tc>
          <w:tcPr>
            <w:tcW w:w="2360" w:type="dxa"/>
            <w:vAlign w:val="bottom"/>
            <w:gridSpan w:val="4"/>
          </w:tcPr>
          <w:p>
            <w:pPr>
              <w:jc w:val="center"/>
              <w:ind w:right="1140"/>
              <w:spacing w:after="0" w:line="190" w:lineRule="exact"/>
              <w:rPr>
                <w:sz w:val="20"/>
                <w:szCs w:val="20"/>
                <w:color w:val="auto"/>
              </w:rPr>
            </w:pPr>
            <w:r>
              <w:rPr>
                <w:rFonts w:ascii="Arial" w:cs="Arial" w:eastAsia="Arial" w:hAnsi="Arial"/>
                <w:sz w:val="18"/>
                <w:szCs w:val="18"/>
                <w:color w:val="auto"/>
                <w:w w:val="91"/>
              </w:rPr>
              <w:t xml:space="preserve">Price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780" w:type="dxa"/>
            <w:vAlign w:val="bottom"/>
          </w:tcPr>
          <w:p>
            <w:pPr>
              <w:spacing w:after="0"/>
              <w:rPr>
                <w:sz w:val="16"/>
                <w:szCs w:val="16"/>
                <w:color w:val="auto"/>
              </w:rPr>
            </w:pPr>
          </w:p>
        </w:tc>
        <w:tc>
          <w:tcPr>
            <w:tcW w:w="680" w:type="dxa"/>
            <w:vAlign w:val="bottom"/>
            <w:gridSpan w:val="2"/>
          </w:tcPr>
          <w:p>
            <w:pPr>
              <w:jc w:val="center"/>
              <w:ind w:right="40"/>
              <w:spacing w:after="0" w:line="190" w:lineRule="exact"/>
              <w:rPr>
                <w:sz w:val="20"/>
                <w:szCs w:val="20"/>
                <w:color w:val="auto"/>
              </w:rPr>
            </w:pPr>
            <w:r>
              <w:rPr>
                <w:rFonts w:ascii="Arial" w:cs="Arial" w:eastAsia="Arial" w:hAnsi="Arial"/>
                <w:sz w:val="18"/>
                <w:szCs w:val="18"/>
                <w:color w:val="auto"/>
                <w:w w:val="84"/>
              </w:rPr>
              <w:t>Purchase</w:t>
            </w:r>
          </w:p>
        </w:tc>
      </w:tr>
      <w:tr>
        <w:trPr>
          <w:trHeight w:val="412"/>
        </w:trPr>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rPr>
              <w:t>STEEL EXCEL INC.</w:t>
            </w:r>
          </w:p>
        </w:tc>
        <w:tc>
          <w:tcPr>
            <w:tcW w:w="620" w:type="dxa"/>
            <w:vAlign w:val="bottom"/>
            <w:tcBorders>
              <w:top w:val="single" w:sz="8" w:color="auto"/>
            </w:tcBorders>
          </w:tcPr>
          <w:p>
            <w:pPr>
              <w:spacing w:after="0"/>
              <w:rPr>
                <w:sz w:val="24"/>
                <w:szCs w:val="24"/>
                <w:color w:val="auto"/>
              </w:rPr>
            </w:pPr>
          </w:p>
        </w:tc>
        <w:tc>
          <w:tcPr>
            <w:tcW w:w="14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130,000</w:t>
            </w:r>
          </w:p>
        </w:tc>
        <w:tc>
          <w:tcPr>
            <w:tcW w:w="2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92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1.0500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5/20/2014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370,000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1.1600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5/21/2014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102,800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1.0983</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5/22/2014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28,604</w:t>
            </w:r>
          </w:p>
        </w:tc>
        <w:tc>
          <w:tcPr>
            <w:tcW w:w="220" w:type="dxa"/>
            <w:vAlign w:val="bottom"/>
          </w:tcPr>
          <w:p>
            <w:pPr>
              <w:spacing w:after="0"/>
              <w:rPr>
                <w:sz w:val="24"/>
                <w:szCs w:val="24"/>
                <w:color w:val="auto"/>
              </w:rPr>
            </w:pPr>
          </w:p>
        </w:tc>
        <w:tc>
          <w:tcPr>
            <w:tcW w:w="2580" w:type="dxa"/>
            <w:vAlign w:val="bottom"/>
            <w:gridSpan w:val="3"/>
          </w:tcPr>
          <w:p>
            <w:pPr>
              <w:jc w:val="center"/>
              <w:ind w:left="1850"/>
              <w:spacing w:after="0"/>
              <w:rPr>
                <w:sz w:val="20"/>
                <w:szCs w:val="20"/>
                <w:color w:val="auto"/>
              </w:rPr>
            </w:pPr>
            <w:r>
              <w:rPr>
                <w:rFonts w:ascii="Arial" w:cs="Arial" w:eastAsia="Arial" w:hAnsi="Arial"/>
                <w:sz w:val="18"/>
                <w:szCs w:val="18"/>
                <w:color w:val="auto"/>
                <w:w w:val="87"/>
              </w:rPr>
              <w:t>1.1100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5/23/2014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1.0500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2"/>
          </w:tcPr>
          <w:p>
            <w:pPr>
              <w:jc w:val="center"/>
              <w:ind w:left="690"/>
              <w:spacing w:after="0"/>
              <w:rPr>
                <w:sz w:val="20"/>
                <w:szCs w:val="20"/>
                <w:color w:val="auto"/>
              </w:rPr>
            </w:pPr>
            <w:r>
              <w:rPr>
                <w:rFonts w:ascii="Arial" w:cs="Arial" w:eastAsia="Arial" w:hAnsi="Arial"/>
                <w:sz w:val="18"/>
                <w:szCs w:val="18"/>
                <w:color w:val="auto"/>
                <w:w w:val="91"/>
              </w:rPr>
              <w:t>6/2/2014</w:t>
            </w:r>
          </w:p>
        </w:tc>
        <w:tc>
          <w:tcPr>
            <w:tcW w:w="40" w:type="dxa"/>
            <w:vAlign w:val="bottom"/>
          </w:tcPr>
          <w:p>
            <w:pPr>
              <w:spacing w:after="0"/>
              <w:rPr>
                <w:sz w:val="24"/>
                <w:szCs w:val="24"/>
                <w:color w:val="auto"/>
              </w:rPr>
            </w:pP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103,800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1.0680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2"/>
          </w:tcPr>
          <w:p>
            <w:pPr>
              <w:jc w:val="center"/>
              <w:ind w:left="690"/>
              <w:spacing w:after="0"/>
              <w:rPr>
                <w:sz w:val="20"/>
                <w:szCs w:val="20"/>
                <w:color w:val="auto"/>
              </w:rPr>
            </w:pPr>
            <w:r>
              <w:rPr>
                <w:rFonts w:ascii="Arial" w:cs="Arial" w:eastAsia="Arial" w:hAnsi="Arial"/>
                <w:sz w:val="18"/>
                <w:szCs w:val="18"/>
                <w:color w:val="auto"/>
                <w:w w:val="91"/>
              </w:rPr>
              <w:t>6/3/2014</w:t>
            </w:r>
          </w:p>
        </w:tc>
        <w:tc>
          <w:tcPr>
            <w:tcW w:w="40" w:type="dxa"/>
            <w:vAlign w:val="bottom"/>
          </w:tcPr>
          <w:p>
            <w:pPr>
              <w:spacing w:after="0"/>
              <w:rPr>
                <w:sz w:val="24"/>
                <w:szCs w:val="24"/>
                <w:color w:val="auto"/>
              </w:rPr>
            </w:pP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41,998</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1.1792</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6/13/2014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44,268</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1.1790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6/16/2014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1.1800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6/17/2014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15,100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1.1800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6/24/2014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63,727</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1.1740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6/25/2014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55,177</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1.1688</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6/26/2014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21,628</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1.1750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6/27/2014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47,682</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1.1740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2"/>
          </w:tcPr>
          <w:p>
            <w:pPr>
              <w:jc w:val="center"/>
              <w:ind w:left="690"/>
              <w:spacing w:after="0"/>
              <w:rPr>
                <w:sz w:val="20"/>
                <w:szCs w:val="20"/>
                <w:color w:val="auto"/>
              </w:rPr>
            </w:pPr>
            <w:r>
              <w:rPr>
                <w:rFonts w:ascii="Arial" w:cs="Arial" w:eastAsia="Arial" w:hAnsi="Arial"/>
                <w:sz w:val="18"/>
                <w:szCs w:val="18"/>
                <w:color w:val="auto"/>
                <w:w w:val="91"/>
              </w:rPr>
              <w:t>7/8/2014</w:t>
            </w:r>
          </w:p>
        </w:tc>
        <w:tc>
          <w:tcPr>
            <w:tcW w:w="40" w:type="dxa"/>
            <w:vAlign w:val="bottom"/>
          </w:tcPr>
          <w:p>
            <w:pPr>
              <w:spacing w:after="0"/>
              <w:rPr>
                <w:sz w:val="24"/>
                <w:szCs w:val="24"/>
                <w:color w:val="auto"/>
              </w:rPr>
            </w:pP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11,800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1.1792</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2"/>
          </w:tcPr>
          <w:p>
            <w:pPr>
              <w:jc w:val="center"/>
              <w:ind w:left="690"/>
              <w:spacing w:after="0"/>
              <w:rPr>
                <w:sz w:val="20"/>
                <w:szCs w:val="20"/>
                <w:color w:val="auto"/>
              </w:rPr>
            </w:pPr>
            <w:r>
              <w:rPr>
                <w:rFonts w:ascii="Arial" w:cs="Arial" w:eastAsia="Arial" w:hAnsi="Arial"/>
                <w:sz w:val="18"/>
                <w:szCs w:val="18"/>
                <w:color w:val="auto"/>
                <w:w w:val="91"/>
              </w:rPr>
              <w:t>7/9/2014</w:t>
            </w:r>
          </w:p>
        </w:tc>
        <w:tc>
          <w:tcPr>
            <w:tcW w:w="40" w:type="dxa"/>
            <w:vAlign w:val="bottom"/>
          </w:tcPr>
          <w:p>
            <w:pPr>
              <w:spacing w:after="0"/>
              <w:rPr>
                <w:sz w:val="24"/>
                <w:szCs w:val="24"/>
                <w:color w:val="auto"/>
              </w:rPr>
            </w:pP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33,700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1.1741</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7/10/2014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19,006</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1.1937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7/11/2014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14,582</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1.1985</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7/14/2014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43,670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1.1953</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7/15/2014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50,650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1.2300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7/17/2014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5,500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1.2283</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7/18/2014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8,702</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1.2234</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7/21/2014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15,600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1.2283</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7/22/2014</w:t>
            </w:r>
          </w:p>
        </w:tc>
      </w:tr>
      <w:tr>
        <w:trPr>
          <w:trHeight w:val="432"/>
        </w:trPr>
        <w:tc>
          <w:tcPr>
            <w:tcW w:w="236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Common Stock</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4"/>
                <w:szCs w:val="24"/>
                <w:color w:val="auto"/>
              </w:rPr>
            </w:pPr>
          </w:p>
        </w:tc>
        <w:tc>
          <w:tcPr>
            <w:tcW w:w="2580" w:type="dxa"/>
            <w:vAlign w:val="bottom"/>
            <w:gridSpan w:val="3"/>
          </w:tcPr>
          <w:p>
            <w:pPr>
              <w:jc w:val="center"/>
              <w:ind w:left="1870"/>
              <w:spacing w:after="0"/>
              <w:rPr>
                <w:sz w:val="20"/>
                <w:szCs w:val="20"/>
                <w:color w:val="auto"/>
              </w:rPr>
            </w:pPr>
            <w:r>
              <w:rPr>
                <w:rFonts w:ascii="Arial" w:cs="Arial" w:eastAsia="Arial" w:hAnsi="Arial"/>
                <w:sz w:val="18"/>
                <w:szCs w:val="18"/>
                <w:color w:val="auto"/>
                <w:w w:val="90"/>
              </w:rPr>
              <w:t>1.2300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7/23/2014</w:t>
            </w:r>
          </w:p>
        </w:tc>
      </w:tr>
    </w:tbl>
    <w:p>
      <w:pPr>
        <w:sectPr>
          <w:pgSz w:w="11900" w:h="16838" w:orient="portrait"/>
          <w:cols w:equalWidth="0" w:num="1">
            <w:col w:w="9480"/>
          </w:cols>
          <w:pgMar w:left="1120" w:top="584" w:right="12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13d-1(k)(1)(iii) under the Securities Exchange Act of 1934, as amended, the persons named below agree to the joint filing on behalf of each of them of a Statement on Schedule 13D (including amendments thereto) with respect to the Common Stock, par value $0.01, of Aviat Networks, Inc. This Joint Filing Agreement shall be filed as an Exhibit to such Statement.</w:t>
      </w:r>
    </w:p>
    <w:p>
      <w:pPr>
        <w:spacing w:after="0" w:line="181" w:lineRule="exact"/>
        <w:rPr>
          <w:sz w:val="20"/>
          <w:szCs w:val="20"/>
          <w:color w:val="auto"/>
        </w:rPr>
      </w:pPr>
    </w:p>
    <w:p>
      <w:pPr>
        <w:spacing w:after="0"/>
        <w:tabs>
          <w:tab w:leader="none" w:pos="640" w:val="left"/>
          <w:tab w:leader="none" w:pos="5340" w:val="left"/>
        </w:tabs>
        <w:rPr>
          <w:sz w:val="20"/>
          <w:szCs w:val="20"/>
          <w:color w:val="auto"/>
        </w:rPr>
      </w:pPr>
      <w:r>
        <w:rPr>
          <w:rFonts w:ascii="Arial" w:cs="Arial" w:eastAsia="Arial" w:hAnsi="Arial"/>
          <w:sz w:val="18"/>
          <w:szCs w:val="18"/>
          <w:color w:val="auto"/>
        </w:rPr>
        <w:t>Dated:</w:t>
        <w:tab/>
        <w:t>July 24, 2014</w:t>
      </w:r>
      <w:r>
        <w:rPr>
          <w:sz w:val="20"/>
          <w:szCs w:val="20"/>
          <w:color w:val="auto"/>
        </w:rPr>
        <w:tab/>
      </w:r>
      <w:r>
        <w:rPr>
          <w:rFonts w:ascii="Arial" w:cs="Arial" w:eastAsia="Arial" w:hAnsi="Arial"/>
          <w:sz w:val="17"/>
          <w:szCs w:val="17"/>
          <w:color w:val="auto"/>
        </w:rPr>
        <w:t>STEEL EXCEL INC.</w:t>
      </w:r>
    </w:p>
    <w:p>
      <w:pPr>
        <w:spacing w:after="0" w:line="225"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McCabe, Jr.</w:t>
            </w:r>
          </w:p>
        </w:tc>
      </w:tr>
      <w:tr>
        <w:trPr>
          <w:trHeight w:val="224"/>
        </w:trPr>
        <w:tc>
          <w:tcPr>
            <w:tcW w:w="6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James F. McCabe, Jr., Chief Financial Officer</w:t>
            </w:r>
          </w:p>
        </w:tc>
      </w:tr>
      <w:tr>
        <w:trPr>
          <w:trHeight w:val="634"/>
        </w:trPr>
        <w:tc>
          <w:tcPr>
            <w:tcW w:w="6060" w:type="dxa"/>
            <w:vAlign w:val="bottom"/>
            <w:gridSpan w:val="2"/>
          </w:tcPr>
          <w:p>
            <w:pPr>
              <w:spacing w:after="0"/>
              <w:rPr>
                <w:sz w:val="20"/>
                <w:szCs w:val="20"/>
                <w:color w:val="auto"/>
              </w:rPr>
            </w:pPr>
            <w:r>
              <w:rPr>
                <w:rFonts w:ascii="Arial" w:cs="Arial" w:eastAsia="Arial" w:hAnsi="Arial"/>
                <w:sz w:val="18"/>
                <w:szCs w:val="18"/>
                <w:color w:val="auto"/>
              </w:rPr>
              <w:t>STEEL PARTNERS HOLDINGS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Pr>
          <w:p>
            <w:pPr>
              <w:spacing w:after="0"/>
              <w:rPr>
                <w:sz w:val="20"/>
                <w:szCs w:val="20"/>
                <w:color w:val="auto"/>
              </w:rPr>
            </w:pPr>
            <w:r>
              <w:rPr>
                <w:rFonts w:ascii="Arial" w:cs="Arial" w:eastAsia="Arial" w:hAnsi="Arial"/>
                <w:sz w:val="18"/>
                <w:szCs w:val="18"/>
                <w:color w:val="auto"/>
              </w:rPr>
              <w:t>Steel Partners Holdings GP Inc.</w:t>
            </w:r>
          </w:p>
        </w:tc>
      </w:tr>
      <w:tr>
        <w:trPr>
          <w:trHeight w:val="230"/>
        </w:trPr>
        <w:tc>
          <w:tcPr>
            <w:tcW w:w="6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r>
      <w:tr>
        <w:trPr>
          <w:trHeight w:val="224"/>
        </w:trPr>
        <w:tc>
          <w:tcPr>
            <w:tcW w:w="6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r>
      <w:tr>
        <w:trPr>
          <w:trHeight w:val="634"/>
        </w:trPr>
        <w:tc>
          <w:tcPr>
            <w:tcW w:w="6060" w:type="dxa"/>
            <w:vAlign w:val="bottom"/>
            <w:gridSpan w:val="2"/>
          </w:tcPr>
          <w:p>
            <w:pPr>
              <w:spacing w:after="0"/>
              <w:rPr>
                <w:sz w:val="20"/>
                <w:szCs w:val="20"/>
                <w:color w:val="auto"/>
              </w:rPr>
            </w:pPr>
            <w:r>
              <w:rPr>
                <w:rFonts w:ascii="Arial" w:cs="Arial" w:eastAsia="Arial" w:hAnsi="Arial"/>
                <w:sz w:val="18"/>
                <w:szCs w:val="18"/>
                <w:color w:val="auto"/>
              </w:rPr>
              <w:t>SPH GROUP LLC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Pr>
          <w:p>
            <w:pPr>
              <w:spacing w:after="0"/>
              <w:rPr>
                <w:sz w:val="20"/>
                <w:szCs w:val="20"/>
                <w:color w:val="auto"/>
              </w:rPr>
            </w:pPr>
            <w:r>
              <w:rPr>
                <w:rFonts w:ascii="Arial" w:cs="Arial" w:eastAsia="Arial" w:hAnsi="Arial"/>
                <w:sz w:val="18"/>
                <w:szCs w:val="18"/>
                <w:color w:val="auto"/>
              </w:rPr>
              <w:t>Steel Partners Holdings GP Inc.</w:t>
            </w:r>
          </w:p>
        </w:tc>
      </w:tr>
      <w:tr>
        <w:trPr>
          <w:trHeight w:val="230"/>
        </w:trPr>
        <w:tc>
          <w:tcPr>
            <w:tcW w:w="6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r>
      <w:tr>
        <w:trPr>
          <w:trHeight w:val="224"/>
        </w:trPr>
        <w:tc>
          <w:tcPr>
            <w:tcW w:w="6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r>
      <w:tr>
        <w:trPr>
          <w:trHeight w:val="634"/>
        </w:trPr>
        <w:tc>
          <w:tcPr>
            <w:tcW w:w="6060" w:type="dxa"/>
            <w:vAlign w:val="bottom"/>
            <w:gridSpan w:val="2"/>
          </w:tcPr>
          <w:p>
            <w:pPr>
              <w:spacing w:after="0"/>
              <w:rPr>
                <w:sz w:val="20"/>
                <w:szCs w:val="20"/>
                <w:color w:val="auto"/>
              </w:rPr>
            </w:pPr>
            <w:r>
              <w:rPr>
                <w:rFonts w:ascii="Arial" w:cs="Arial" w:eastAsia="Arial" w:hAnsi="Arial"/>
                <w:sz w:val="18"/>
                <w:szCs w:val="18"/>
                <w:color w:val="auto"/>
              </w:rPr>
              <w:t>SPH GROUP HOLDINGS LLC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Pr>
          <w:p>
            <w:pPr>
              <w:spacing w:after="0"/>
              <w:rPr>
                <w:sz w:val="20"/>
                <w:szCs w:val="20"/>
                <w:color w:val="auto"/>
              </w:rPr>
            </w:pPr>
            <w:r>
              <w:rPr>
                <w:rFonts w:ascii="Arial" w:cs="Arial" w:eastAsia="Arial" w:hAnsi="Arial"/>
                <w:sz w:val="18"/>
                <w:szCs w:val="18"/>
                <w:color w:val="auto"/>
              </w:rPr>
              <w:t>Steel Partners Holdings GP Inc.</w:t>
            </w:r>
          </w:p>
        </w:tc>
      </w:tr>
      <w:tr>
        <w:trPr>
          <w:trHeight w:val="230"/>
        </w:trPr>
        <w:tc>
          <w:tcPr>
            <w:tcW w:w="6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r>
      <w:tr>
        <w:trPr>
          <w:trHeight w:val="224"/>
        </w:trPr>
        <w:tc>
          <w:tcPr>
            <w:tcW w:w="6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r>
      <w:tr>
        <w:trPr>
          <w:trHeight w:val="634"/>
        </w:trPr>
        <w:tc>
          <w:tcPr>
            <w:tcW w:w="6060" w:type="dxa"/>
            <w:vAlign w:val="bottom"/>
            <w:gridSpan w:val="2"/>
          </w:tcPr>
          <w:p>
            <w:pPr>
              <w:spacing w:after="0"/>
              <w:rPr>
                <w:sz w:val="20"/>
                <w:szCs w:val="20"/>
                <w:color w:val="auto"/>
              </w:rPr>
            </w:pPr>
            <w:r>
              <w:rPr>
                <w:rFonts w:ascii="Arial" w:cs="Arial" w:eastAsia="Arial" w:hAnsi="Arial"/>
                <w:sz w:val="18"/>
                <w:szCs w:val="18"/>
                <w:color w:val="auto"/>
              </w:rPr>
              <w:t>STEEL PARTNERS HOLDINGS GP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L. Howard</w:t>
            </w:r>
          </w:p>
        </w:tc>
      </w:tr>
      <w:tr>
        <w:trPr>
          <w:trHeight w:val="224"/>
        </w:trPr>
        <w:tc>
          <w:tcPr>
            <w:tcW w:w="6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Jack L. Howard, President</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lvl w:ilvl="1">
      <w:lvlJc w:val="left"/>
      <w:lvlText w:val="(%2)"/>
      <w:numFmt w:val="lowerLetter"/>
      <w:start w:val="2"/>
    </w:lvl>
  </w:abstractNum>
  <w:abstractNum w:abstractNumId="4">
    <w:nsid w:val="2EB141F2"/>
    <w:multiLevelType w:val="hybridMultilevel"/>
    <w:lvl w:ilvl="0">
      <w:lvlJc w:val="left"/>
      <w:lvlText w:val="(%1)"/>
      <w:numFmt w:val="lowerLetter"/>
      <w:start w:val="3"/>
    </w:lvl>
    <w:lvl w:ilvl="1">
      <w:lvlJc w:val="left"/>
      <w:lvlText w:val="%2"/>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2019-12-07T14:37:20Z</dcterms:created>
  <dcterms:modified xsi:type="dcterms:W3CDTF">2019-12-07T14:37:20Z</dcterms:modified>
</cp:coreProperties>
</file>