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1460" w:right="1460" w:hanging="428"/>
        <w:spacing w:after="0" w:line="238" w:lineRule="auto"/>
        <w:tabs>
          <w:tab w:leader="none" w:pos="1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28, 2025</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79" w:lineRule="exact"/>
        <w:rPr>
          <w:sz w:val="24"/>
          <w:szCs w:val="24"/>
          <w:color w:val="auto"/>
        </w:rPr>
      </w:pPr>
    </w:p>
    <w:p>
      <w:pPr>
        <w:ind w:left="1460" w:right="1440" w:hanging="428"/>
        <w:spacing w:after="0" w:line="238" w:lineRule="auto"/>
        <w:tabs>
          <w:tab w:leader="none" w:pos="1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8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ectPr>
          <w:pgSz w:w="11900" w:h="16838" w:orient="portrait"/>
          <w:cols w:equalWidth="0" w:num="1">
            <w:col w:w="11240"/>
          </w:cols>
          <w:pgMar w:left="320" w:top="1033" w:right="339" w:bottom="1440" w:gutter="0" w:footer="0" w:header="0"/>
        </w:sectPr>
      </w:pPr>
    </w:p>
    <w:p>
      <w:pPr>
        <w:spacing w:after="0" w:line="13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200" w:lineRule="exact"/>
        <w:rPr>
          <w:sz w:val="24"/>
          <w:szCs w:val="24"/>
          <w:color w:val="auto"/>
        </w:rPr>
      </w:pPr>
    </w:p>
    <w:p>
      <w:pPr>
        <w:sectPr>
          <w:pgSz w:w="11900" w:h="16838" w:orient="portrait"/>
          <w:cols w:equalWidth="0" w:num="2">
            <w:col w:w="7460" w:space="720"/>
            <w:col w:w="3060"/>
          </w:cols>
          <w:pgMar w:left="320" w:top="1033" w:right="339" w:bottom="1440" w:gutter="0" w:footer="0" w:header="0"/>
          <w:type w:val="continuous"/>
        </w:sectPr>
      </w:pPr>
    </w:p>
    <w:p>
      <w:pPr>
        <w:spacing w:after="0" w:line="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107" w:lineRule="exact"/>
        <w:rPr>
          <w:sz w:val="24"/>
          <w:szCs w:val="24"/>
          <w:color w:val="auto"/>
        </w:rPr>
      </w:pPr>
    </w:p>
    <w:p>
      <w:pPr>
        <w:sectPr>
          <w:pgSz w:w="11900" w:h="16838" w:orient="portrait"/>
          <w:cols w:equalWidth="0" w:num="2">
            <w:col w:w="6640" w:space="720"/>
            <w:col w:w="3880"/>
          </w:cols>
          <w:pgMar w:left="320" w:top="1033"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Austin,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78728</w:t>
      </w:r>
    </w:p>
    <w:p>
      <w:pPr>
        <w:spacing w:after="0" w:line="31" w:lineRule="exact"/>
        <w:rPr>
          <w:sz w:val="24"/>
          <w:szCs w:val="24"/>
          <w:color w:val="auto"/>
        </w:rPr>
      </w:pPr>
    </w:p>
    <w:p>
      <w:pPr>
        <w:sectPr>
          <w:pgSz w:w="11900" w:h="16838" w:orient="portrait"/>
          <w:cols w:equalWidth="0" w:num="4">
            <w:col w:w="3760" w:space="320"/>
            <w:col w:w="560" w:space="200"/>
            <w:col w:w="2820" w:space="720"/>
            <w:col w:w="2860"/>
          </w:cols>
          <w:pgMar w:left="320" w:top="1033"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15" w:lineRule="exact"/>
        <w:rPr>
          <w:sz w:val="24"/>
          <w:szCs w:val="24"/>
          <w:color w:val="auto"/>
        </w:rPr>
      </w:pPr>
    </w:p>
    <w:p>
      <w:pPr>
        <w:sectPr>
          <w:pgSz w:w="11900" w:h="16838" w:orient="portrait"/>
          <w:cols w:equalWidth="0" w:num="2">
            <w:col w:w="7520" w:space="720"/>
            <w:col w:w="3000"/>
          </w:cols>
          <w:pgMar w:left="320" w:top="10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941-7100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ectPr>
          <w:pgSz w:w="11900" w:h="16838" w:orient="portrait"/>
          <w:cols w:equalWidth="0" w:num="1">
            <w:col w:w="11240"/>
          </w:cols>
          <w:pgMar w:left="320" w:top="1033" w:right="339" w:bottom="1440" w:gutter="0" w:footer="0" w:header="0"/>
          <w:type w:val="continuous"/>
        </w:sectPr>
      </w:pPr>
    </w:p>
    <w:p>
      <w:pPr>
        <w:spacing w:after="0" w:line="7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Common Stock</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AVNW</w:t>
            </w: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00" w:type="dxa"/>
            <w:vAlign w:val="bottom"/>
          </w:tcPr>
          <w:p>
            <w:pPr>
              <w:spacing w:after="0"/>
              <w:rPr>
                <w:sz w:val="23"/>
                <w:szCs w:val="23"/>
                <w:color w:val="auto"/>
              </w:rPr>
            </w:pP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May 2, 2025 was 12,692,431.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28, 2025</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29"/>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1A. 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6. Exhibits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30"/>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30"/>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26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8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51"/>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51"/>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195,410</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96,013</w:t>
            </w: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291,423</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120,989</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66,841</w:t>
            </w: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187,830</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103,593</w:t>
            </w: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25,441</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61,979</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(recovery)</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89,647</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5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outstanding: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30"/>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2540" w:type="dxa"/>
            <w:vAlign w:val="bottom"/>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5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300" w:type="dxa"/>
            <w:vAlign w:val="bottom"/>
          </w:tcPr>
          <w:p>
            <w:pPr>
              <w:spacing w:after="0"/>
              <w:rPr>
                <w:sz w:val="16"/>
                <w:szCs w:val="16"/>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64,622</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$3,122 and $1,854</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90,525</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535,223</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 million shares authorized, none issued</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 million shares authorized, 12.7 million and 12.6 million shares</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48"/>
        </w:trPr>
        <w:tc>
          <w:tcPr>
            <w:tcW w:w="80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March 28, 2025 and June 28, 2024, respectively</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0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0.2 million and 0.2 million shares as of March 28, 2025 and June 28, 2024, respectively</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860,071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(578,513)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255,885</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535,223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Pr>
          <w:p>
            <w:pPr>
              <w:spacing w:after="0"/>
              <w:rPr>
                <w:sz w:val="13"/>
                <w:szCs w:val="13"/>
                <w:color w:val="auto"/>
              </w:rPr>
            </w:pPr>
          </w:p>
        </w:tc>
        <w:tc>
          <w:tcPr>
            <w:tcW w:w="1280" w:type="dxa"/>
            <w:vAlign w:val="bottom"/>
          </w:tcPr>
          <w:p>
            <w:pPr>
              <w:jc w:val="right"/>
              <w:ind w:right="33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uncollectible receivables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write-downs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2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asset held for sale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r>
      <w:tr>
        <w:trPr>
          <w:trHeight w:val="223"/>
        </w:trPr>
        <w:tc>
          <w:tcPr>
            <w:tcW w:w="8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(34,953)</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revolver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term loan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term loan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 for acquisitions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 - treasury shares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3"/>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49,279</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in connection with acquisition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w:t>
            </w:r>
          </w:p>
        </w:tc>
      </w:tr>
    </w:tbl>
    <w:p>
      <w:pPr>
        <w:spacing w:after="0" w:line="200" w:lineRule="exact"/>
        <w:rPr>
          <w:sz w:val="20"/>
          <w:szCs w:val="20"/>
          <w:color w:val="auto"/>
        </w:rPr>
      </w:pPr>
    </w:p>
    <w:p>
      <w:pPr>
        <w:sectPr>
          <w:pgSz w:w="11900" w:h="16838" w:orient="portrait"/>
          <w:cols w:equalWidth="0" w:num="1">
            <w:col w:w="11200"/>
          </w:cols>
          <w:pgMar w:left="34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0139"/>
          </w:cols>
          <w:pgMar w:left="320" w:top="10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28, 2025</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40" w:type="dxa"/>
            <w:vAlign w:val="bottom"/>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42"/>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9"/>
        </w:trPr>
        <w:tc>
          <w:tcPr>
            <w:tcW w:w="316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27,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12,684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862,918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(585,897)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249,587</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162"/>
        </w:trPr>
        <w:tc>
          <w:tcPr>
            <w:tcW w:w="316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6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0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28,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12,692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(7,077)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864,910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(582,369)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(19,475)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256,116</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29, 2024</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7"/>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40" w:type="dxa"/>
            <w:vAlign w:val="bottom"/>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316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29, 2023</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856,735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(583,932)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251,023</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62"/>
        </w:trPr>
        <w:tc>
          <w:tcPr>
            <w:tcW w:w="31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60" w:type="dxa"/>
            <w:vAlign w:val="bottom"/>
            <w:gridSpan w:val="2"/>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23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29,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12,562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858,228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(580,062)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256,046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12"/>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March 28, 2025</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31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28, 2024</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12,622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860,071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(578,513)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255,885</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1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equity awards</w:t>
            </w:r>
          </w:p>
        </w:tc>
        <w:tc>
          <w:tcPr>
            <w:tcW w:w="10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repurchase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28, 2025</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12,692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864,910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(582,369)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(19,475)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256,116</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2"/>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March 29, 2024</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11,518</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(6,147)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830,048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(589,273)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of equity awards</w:t>
            </w:r>
          </w:p>
        </w:tc>
        <w:tc>
          <w:tcPr>
            <w:tcW w:w="106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issued in connection with</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29, 2024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12,562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(6,479)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858,228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(15,767)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9" w:name="page10"/>
    <w:bookmarkEnd w:id="9"/>
    <w:p>
      <w:pPr>
        <w:ind w:left="45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statement of its financial position, results of operations and cash flows for such periods. The results for the nine months ended March 28, 2025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28, 2024.</w:t>
      </w:r>
    </w:p>
    <w:p>
      <w:pPr>
        <w:spacing w:after="0" w:line="1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fiscal year includes 52 or 53 weeks and ends on the Friday nearest to June 30. The three months ended March 28, 2025 and March 29, 2024 both consisted of 13 weeks. Fiscal year 2025 contains 52 weeks and will end on June 27, 2025. Fiscal year 2024 contained 52 weeks and ended on June 28,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to Prior Period Consolidated Financial Statements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Subsequent to the third quarter of fiscal 2024, the Company identified certain errors in the quarterly financial statements for fiscal 2024.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statements. As a result, the Company has revised the prior period financial statements and related disclosures to correct the errors for comparability across all periods presented herein. Refer to Note 15. Revisions to Prior Period Consolidated Financial Statements of the Notes to this Form 10-Q, and Note 1. The Company and Summary of Significant Accounting Policies and Part II, Item 9B. Other Information of the Company’s Annual Report on Form 10-K for the fiscal year ended June 28, 2024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of and for the nine months ended March 28, 2025, as compared to the significant accounting policies described in the Company’s Annual Report on Form 10-K for the fiscal year ended June 28,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ASU requires disclosures about specific types of expenses included in the expense captions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face of the income statement as well as disclosures about selling expenses. ASU 2024-03 is effective for the Company’s annual reporting beginning in fiscal 2028 and for interim periods beginning in fiscal 2029. The Company is currently evaluating the impact of this ASU on its consolidated financial statements and disclosures.</w:t>
      </w:r>
    </w:p>
    <w:p>
      <w:pPr>
        <w:spacing w:after="0" w:line="1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 and disclosures.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is currently evaluating the impact of the ASU on its consolidated financial statements and disclosures.</w:t>
      </w:r>
    </w:p>
    <w:p>
      <w:pPr>
        <w:spacing w:after="0" w:line="13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(Loss) Per Share of Common Stock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92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48"/>
        </w:trPr>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outstanding:</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(loss) per share calculations since they were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24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180" w:type="dxa"/>
            <w:vAlign w:val="bottom"/>
            <w:gridSpan w:val="7"/>
          </w:tcPr>
          <w:p>
            <w:pPr>
              <w:ind w:left="9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160" w:type="dxa"/>
            <w:vAlign w:val="bottom"/>
            <w:tcBorders>
              <w:top w:val="single" w:sz="8" w:color="auto"/>
            </w:tcBorders>
          </w:tcPr>
          <w:p>
            <w:pPr>
              <w:jc w:val="center"/>
              <w:ind w:left="2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80" w:type="dxa"/>
            <w:vAlign w:val="bottom"/>
          </w:tcPr>
          <w:p>
            <w:pPr>
              <w:spacing w:after="0"/>
              <w:rPr>
                <w:sz w:val="13"/>
                <w:szCs w:val="13"/>
                <w:color w:val="auto"/>
              </w:rPr>
            </w:pPr>
          </w:p>
        </w:tc>
        <w:tc>
          <w:tcPr>
            <w:tcW w:w="12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ind w:left="4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374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1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8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178,036</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commissions</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85,658</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28, 2025, the Company reported $93.3 million in advance payments and unearned revenue and long-term unearned revenue, of which approximately 70% is expected to be recognized as revenue in the next twelve months and the remainder thereafter. Approximately $10.4 million and $43.6 million of revenue was recognized during the three and nine months ended March 28, 2025, respectively, which was included in advance payments and unearned revenue at June 28,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amount of transaction price allocated to unsatisfied (or partially unsatisfied) performance obligations was approximately $149.6 million at March 28, 2025 relating to our long-term field service projects. Of this amount, approximately 50% is expected to be recognized as revenue during the next 12 months, with the remaining amount to be recognized thereafter.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cash, cash equivalents, and restricted cash reported within the unaudited condensed consolidated balance sheets that reconciles to the corresponding amount in the unaudited condensed consolidated statement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360" w:type="dxa"/>
            <w:vAlign w:val="bottom"/>
          </w:tcPr>
          <w:p>
            <w:pPr>
              <w:spacing w:after="0"/>
              <w:rPr>
                <w:sz w:val="16"/>
                <w:szCs w:val="16"/>
                <w:color w:val="auto"/>
              </w:rPr>
            </w:pPr>
          </w:p>
        </w:tc>
        <w:tc>
          <w:tcPr>
            <w:tcW w:w="144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64,622</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long-term other assets</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360" w:type="dxa"/>
            <w:vAlign w:val="bottom"/>
          </w:tcPr>
          <w:p>
            <w:pPr>
              <w:spacing w:after="0"/>
              <w:rPr>
                <w:sz w:val="24"/>
                <w:szCs w:val="24"/>
                <w:color w:val="auto"/>
              </w:rPr>
            </w:pPr>
          </w:p>
        </w:tc>
        <w:tc>
          <w:tcPr>
            <w:tcW w:w="144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charges to adjust inventories due to excess and obsolete inventory resulting from lower sales forecasts, product transitioning or discontinuance. The charges incurred during the three and nine months ended March 28, 2025 and March 29, 2024 were included in cost of product sales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140" w:type="dxa"/>
            <w:vAlign w:val="bottom"/>
            <w:tcBorders>
              <w:bottom w:val="single" w:sz="8" w:color="auto"/>
            </w:tcBorders>
            <w:gridSpan w:val="6"/>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right"/>
              <w:ind w:right="31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and obsolete inventory</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678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charges</w:t>
            </w:r>
          </w:p>
        </w:tc>
        <w:tc>
          <w:tcPr>
            <w:tcW w:w="116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8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3"/>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manufacturing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360" w:type="dxa"/>
            <w:vAlign w:val="bottom"/>
          </w:tcPr>
          <w:p>
            <w:pPr>
              <w:spacing w:after="0"/>
              <w:rPr>
                <w:sz w:val="16"/>
                <w:szCs w:val="16"/>
                <w:color w:val="auto"/>
              </w:rPr>
            </w:pP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and equipment</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69,898</w:t>
            </w:r>
          </w:p>
        </w:tc>
      </w:tr>
      <w:tr>
        <w:trPr>
          <w:trHeight w:val="22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71,200</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(61,720)</w:t>
            </w:r>
          </w:p>
        </w:tc>
      </w:tr>
      <w:tr>
        <w:trPr>
          <w:trHeight w:val="248"/>
        </w:trPr>
        <w:tc>
          <w:tcPr>
            <w:tcW w:w="7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the total property, plant and equipment, gross were $7.7 million and $4.1 million of assets in progress which have not been placed in service as of March 28, 2025 and June 28, 2024, respectively.</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related to property, plant and equipment,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3020" w:type="dxa"/>
            <w:vAlign w:val="bottom"/>
            <w:gridSpan w:val="6"/>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17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33"/>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47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9"/>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2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42,148</w:t>
            </w: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accrues for the estimated cost to repair or replace products under warranty. Changes in the warranty liability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Pr>
          <w:p>
            <w:pPr>
              <w:spacing w:after="0"/>
              <w:rPr>
                <w:sz w:val="13"/>
                <w:szCs w:val="13"/>
                <w:color w:val="auto"/>
              </w:rPr>
            </w:pPr>
          </w:p>
        </w:tc>
        <w:tc>
          <w:tcPr>
            <w:tcW w:w="1260" w:type="dxa"/>
            <w:vAlign w:val="bottom"/>
            <w:gridSpan w:val="2"/>
          </w:tcPr>
          <w:p>
            <w:pPr>
              <w:jc w:val="right"/>
              <w:ind w:right="31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0" w:type="dxa"/>
            <w:vAlign w:val="bottom"/>
          </w:tcPr>
          <w:p>
            <w:pPr>
              <w:spacing w:after="0"/>
              <w:rPr>
                <w:sz w:val="1"/>
                <w:szCs w:val="1"/>
                <w:color w:val="auto"/>
              </w:rPr>
            </w:pPr>
          </w:p>
        </w:tc>
      </w:tr>
      <w:tr>
        <w:trPr>
          <w:trHeight w:val="21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Assumed in acquisition</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3"/>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50,322</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advance payments and unearned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4" w:name="page15"/>
    <w:bookmarkEnd w:id="14"/>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$7.7 million and $7.4 million in long-term unearned revenue as of March 28, 2025 and June 28,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spacing w:after="0" w:line="7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values and valuation input levels of assets and liabilities that are measured at fair value on a recurring basis as of March 28, 2025 and June 28, 2024 were as follows: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Valuation Inputs</w:t>
            </w:r>
          </w:p>
        </w:tc>
      </w:tr>
      <w:tr>
        <w:trPr>
          <w:trHeight w:val="213"/>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r>
      <w:tr>
        <w:trPr>
          <w:trHeight w:val="234"/>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r>
    </w:tbl>
    <w:p>
      <w:pPr>
        <w:spacing w:after="0" w:line="2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Items are classified within Level 1 if quoted prices are available in active markets. The Company’s Level 1 items are primarily money market funds and marketable securities. As of March 28, 2025 and June 28, 2024, the money market funds were valued at $1.00 net asset value per share.</w:t>
      </w:r>
    </w:p>
    <w:p>
      <w:pPr>
        <w:spacing w:after="0" w:line="108"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7"/>
          <w:szCs w:val="17"/>
          <w:color w:val="auto"/>
        </w:rPr>
        <w:t>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w:t>
      </w:r>
    </w:p>
    <w:p>
      <w:pPr>
        <w:spacing w:after="0" w:line="1" w:lineRule="exact"/>
        <w:rPr>
          <w:sz w:val="20"/>
          <w:szCs w:val="20"/>
          <w:color w:val="auto"/>
        </w:rPr>
      </w:pPr>
    </w:p>
    <w:p>
      <w:pPr>
        <w:ind w:firstLine="8"/>
        <w:spacing w:after="0" w:line="260" w:lineRule="auto"/>
        <w:tabs>
          <w:tab w:leader="none" w:pos="1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bank certificates of deposit approximates their fair value. The Company did not have any recurring assets or liabilities that were valued using significant unobservable inputs.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Credit Facility and Debt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and October 18, 2024, with Wells Fargo Bank, National Association, as administrative agent, swingline lender and issuing lender and Wells Fargo Securities LLC, Citigroup Global Markets Inc., and Regions Capital Markets as lenders. The Credit Facility provides for a $75.0 million revolving credit facility (the “Revolver”) and a $75.0 million Term Loan Facility (the “Term Loan”) with a maturity date of October 18, 2029. The $75.0 million Revolver can be borrowed with a $10.0 million sub-limit for letters of credit, and a $10.0 million swingline loan sub-limit.</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(as defined below). See Note 11. Acquisitions for further information.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28, 2025, the available credit under the Revolver was $66.3 million, reflecting the available limit of $75.0 million less outstanding letters of credit of $8.7 million. The Company borrowed and repaid $55.0 million against the Revolver during the nine months ended March 28, 2025. The Company borrowed $75.0 million and repaid $49.7 million against the Term Loan during the nine months ended March 28,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color w:val="auto"/>
        </w:rPr>
        <w:t>The following summarizes the Company’s outstanding long-term debt as of March 28, 2025:</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74,063</w:t>
            </w: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73,923</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23"/>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70,204</w:t>
            </w:r>
          </w:p>
        </w:tc>
      </w:tr>
      <w:tr>
        <w:trPr>
          <w:trHeight w:val="21"/>
        </w:trPr>
        <w:tc>
          <w:tcPr>
            <w:tcW w:w="9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March 28, 2025, the applicable margin on Adjusted Term SOFR and Base Rate borrowings was 2.75% and 1.75%, respectively. The effective rate of interest on the outstanding Term Loan borrowings as of March 28, 2025 was 7.1%.</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March 28, 2025, the Company was in compliance with all financial covenants contained in the Credit Facility.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28, 2025, scheduled maturities of outstanding long-term debt by fiscal year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Restructuring</w:t>
            </w: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4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420" w:type="dxa"/>
            <w:vAlign w:val="bottom"/>
            <w:gridSpan w:val="9"/>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restructuring related activities during the nine months ended March 28, 2025:</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80" w:type="dxa"/>
            <w:vAlign w:val="bottom"/>
            <w:tcBorders>
              <w:bottom w:val="single" w:sz="8" w:color="auto"/>
            </w:tcBorders>
            <w:gridSpan w:val="3"/>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Employee Severance and</w:t>
            </w:r>
          </w:p>
        </w:tc>
        <w:tc>
          <w:tcPr>
            <w:tcW w:w="160" w:type="dxa"/>
            <w:vAlign w:val="bottom"/>
          </w:tcPr>
          <w:p>
            <w:pPr>
              <w:spacing w:after="0"/>
              <w:rPr>
                <w:sz w:val="13"/>
                <w:szCs w:val="13"/>
                <w:color w:val="auto"/>
              </w:rPr>
            </w:pPr>
          </w:p>
        </w:tc>
        <w:tc>
          <w:tcPr>
            <w:tcW w:w="1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Facilities and Other</w:t>
            </w:r>
          </w:p>
        </w:tc>
        <w:tc>
          <w:tcPr>
            <w:tcW w:w="400" w:type="dxa"/>
            <w:vAlign w:val="bottom"/>
          </w:tcPr>
          <w:p>
            <w:pPr>
              <w:spacing w:after="0"/>
              <w:rPr>
                <w:sz w:val="13"/>
                <w:szCs w:val="13"/>
                <w:color w:val="auto"/>
              </w:rPr>
            </w:pPr>
          </w:p>
        </w:tc>
        <w:tc>
          <w:tcPr>
            <w:tcW w:w="14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16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1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3"/>
          </w:tcPr>
          <w:p>
            <w:pPr>
              <w:jc w:val="center"/>
              <w:ind w:left="111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27, 2024</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020" w:type="dxa"/>
            <w:vAlign w:val="bottom"/>
            <w:tcBorders>
              <w:top w:val="single" w:sz="8" w:color="CCEEFF"/>
            </w:tcBorders>
            <w:vMerge w:val="continue"/>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left="121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27, 2024</w:t>
            </w:r>
          </w:p>
        </w:tc>
        <w:tc>
          <w:tcPr>
            <w:tcW w:w="16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tcPr>
          <w:p>
            <w:pPr>
              <w:jc w:val="center"/>
              <w:ind w:left="121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3"/>
          </w:tcPr>
          <w:p>
            <w:pPr>
              <w:jc w:val="center"/>
              <w:ind w:left="111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2025</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8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28, 2025, the accrued restructuring balance of $0.1 million was included in other current liabilities on the unaudited condensed consolidated balance sheets. Included in the above were positions identified for termination that have not been executed from a restructuring perspective.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Plans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fiscal 2025, the Company’s Board of Directors approved restructuring plans, primarily associated with reductions in workforce in certain of the Company’s operations to optimize skill sets and align cost structure. The fiscal 2025 plans are expected to be completed through the end of fiscal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Years’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2024, the Company’s Board of Directors approved restructuring plans, primarily associated with the NEC Transaction (as defined below) and reductions in workforce in certain of the Company’s operations to optimize skill sets and align cost structure. The fiscal 2024 plans are expected to be completed through the end of fiscal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March 28, 2025, $6.3 million remains available and Aviat may choose to suspend or discontinue the repurchase program at any time. Repurchased shares are recorded as treasury stock. During the third quarter of fiscal 2025, the Company repurchased 5,200 shares of its common stock in the open market for an aggregate purchase price, including commissions, of $0.1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28, 2025,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1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Vesting of performance share awards and units is subject to the achievement of predetermined financial performance and share price criteria, and continued employment through the end of the applicable period.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March 28, 2025, the Company granted 281,659 restricted stock units and 164,553 performance share awards.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compensation expense for share-based awards included in the unaudited condensed consolidated statements of operations was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88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By Expense Category:</w:t>
            </w:r>
          </w:p>
        </w:tc>
        <w:tc>
          <w:tcPr>
            <w:tcW w:w="3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4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By Type of Award: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8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and performance share awards and units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28, 2025, there was approximately $1.1 million of total unrecognized compensation expense related to non-vested stock options granted which is expected to be recognized over a weighted-average period of 1.2 years. As of March 28, 2025, there was $10.6 million of total unrecognized compensation expense related to non-vested stock awards which is expected to be recognized over a weighted-average period of 1.8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and Geographic Information</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Aviat operates in one reportable business segment: the design, manufacturing, and sale of wireless networking products, solutions, and services. The Company’s financial performance is regularly reviewed by its chief operating decision maker who is its Chief Executive Officer (“CEO”).</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revenue by region and country based on the location where its customers accept delivery of products and services. Revenue by region for the three and nine months ended March 28, 2025 and March 29, 2024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900" w:type="dxa"/>
            <w:vAlign w:val="bottom"/>
            <w:gridSpan w:val="4"/>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149,868</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35,848</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17,378</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88,329</w:t>
            </w: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effective tax rate varies from the U.S. federal statutory rate of 21% primarily due to U.S. global intangible low-taxed income inclusion (GILTI), state taxes, stock-based compensation and foreign operations that are subject to income taxes at different statutory rates. During interim periods, tax expense or benefit are accrued for jurisdictions that are anticipated to be profitable for fiscal 2025.</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determination of income taxes for the nine months ended March 28, 2025 and March 29, 2024 was based on the Company’s estimated annual effective tax rate adjusted for losses in certain jurisdictions for which no tax benefit can be recognized. The tax benefit for the nine months ended March 28, 2025 was primarily due to tax benefit resulting from year-to-date losses. The tax expense for the nine months ended March 29, 2024 was primarily due to tax expense related to U.S. and profitable foreign subsidiaries.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 number of years with open tax audits which vary from jurisdiction to jurisdiction. The major tax jurisdictions that are open and subject to potential audits include the U.S., Singapore, Kenya, Nigeria, Saudi Arabia and Tanzania. The earliest years for these jurisdictions are as follows: U.S. - 2003; Singapore - 2015; Kenya – 2023; Nigeria – 2006; Saudi Arabia – 2019 and Tanzania - 2019.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8" w:name="page19"/>
    <w:bookmarkEnd w:id="18"/>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accounted for as part of the provision for federal, foreign, and state income taxes. Such interest expense was not material for the nine months ended March 28, 2025 and March 29, 2024.</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4RF Limited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4RF acquisition was accounted for as a business combination using the acquisition method of accounting. The Company is in the process of obtaining independent third-party valuations of the intangible and tangible assets acquired. The fair values of the acquired intangible assets are based on estimates and assumptions that are considered reasonable to the Company.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preliminary purchase price allocation is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9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30"/>
        </w:trPr>
        <w:tc>
          <w:tcPr>
            <w:tcW w:w="9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9"/>
        </w:trPr>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23"/>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19,365</w:t>
            </w:r>
          </w:p>
        </w:tc>
      </w:tr>
      <w:tr>
        <w:trPr>
          <w:trHeight w:val="20"/>
        </w:trPr>
        <w:tc>
          <w:tcPr>
            <w:tcW w:w="9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preliminary purchase price allocation has been updated for certain measurement period adjustments based on revised estimates of fair value, which primarily resulted in a $0.9 million decrease in identifiable finite-lived intangible assets acquired, a $0.2 million increase in other assets and a $0.7 million increase to goodwill. The preliminary purchase price allocation is subject to adjustment based on the Company obtaining final independent third-party valuations and determining fair value and final allocations of purchase price to the identifiable assets acquired and liabilities assumed. The goodwill from this acquisition is non-deductible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 (the “Closing Date”).</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Closing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Closing Date.</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Closing Date. Aggregate consideration transferred at closing was approximately $54.5 million, which was subject to certain post-closing adjustments. The Company funded the cash portion of the consideration transferred at closing primarily with Term Loan borrowings under its Credit Facility. See Note 6. Credit Facility and Debt for further information.</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transferred consideration of $5.8 million to settle a portion of the post-closing working capital adjustment. As of March 28, 2025, the Company recorded accruals of approximately $13.2 million in estimated additional cash consideration, which is included in other current liabilities on the unaudited condensed consolidated balance sheets. The additional consideration is primarily related to the settlement of the remaining post-closing working capital adjustment.</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NEC Transaction was accounted for as a business combination using the acquisition method of accounting. The Company has obtained final independent third-party valuations of the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final purchase price allocation is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9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42,487</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9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r>
      <w:tr>
        <w:trPr>
          <w:trHeight w:val="230"/>
        </w:trPr>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(13,182)</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r>
      <w:tr>
        <w:trPr>
          <w:trHeight w:val="223"/>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73,520</w:t>
            </w:r>
          </w:p>
        </w:tc>
      </w:tr>
      <w:tr>
        <w:trPr>
          <w:trHeight w:val="20"/>
        </w:trPr>
        <w:tc>
          <w:tcPr>
            <w:tcW w:w="9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information has been presented as if the NEC Transaction occurred at the beginning of fiscal 2023 and includes certain pro forma adjustments for interest expense, depreciation and amortization expense, the fair value of acquired inventory, and transaction costs, net of income tax:</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18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70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center"/>
              <w:ind w:right="115"/>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ind w:right="135"/>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r>
      <w:tr>
        <w:trPr>
          <w:trHeight w:val="214"/>
        </w:trPr>
        <w:tc>
          <w:tcPr>
            <w:tcW w:w="7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376,336</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pro forma information presented above is for informational purposes only and is not necessarily indicative of the operating results that would have occurred if the NEC Transaction occurred at the beginning of fiscal 2023, nor is it necessarily indicative of future operating results.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enter into purchasing agreements with its suppliers that require the Company to accept delivery of and remit full payment for (i) finished products that it has ordered, (ii) finished products that it requested be held as safety stock, and</w:t>
      </w:r>
    </w:p>
    <w:p>
      <w:pPr>
        <w:jc w:val="both"/>
        <w:ind w:firstLine="8"/>
        <w:spacing w:after="0" w:line="253"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March 28, 2025, the Company had outstanding purchase obligations with its suppliers or contract manufacturers of $45.0 million. In addition, the Company had purchase obligations of approximately $6.5 million associated with software as a service and software maintenance support.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March 28, 2025, the Company had no guarantees applicable to its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28, 2025, the Company had commercial commitments outstanding of $24.1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Company’s commercial commitments: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Bonds</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15,376</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March 28, 2025,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March 28, 2025, the Company had not recorded any liabilities related to these indemnifications.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spacing w:after="0" w:line="1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directors of Aviat India appeared before the Ministry of Finance Enforcement Directorate. In March 2024, the Company appeared before the Joint Director of Enforcement to review the transactions at issue. No subsequent hearing date has been scheduled as of March 28, 2025.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spacing w:after="0" w:line="14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Goodwill and Intangible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presents details of goodwill and intangible assets: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340" w:type="dxa"/>
            <w:vAlign w:val="bottom"/>
          </w:tcPr>
          <w:p>
            <w:pPr>
              <w:spacing w:after="0"/>
              <w:rPr>
                <w:sz w:val="16"/>
                <w:szCs w:val="16"/>
                <w:color w:val="auto"/>
              </w:rPr>
            </w:pPr>
          </w:p>
        </w:tc>
        <w:tc>
          <w:tcPr>
            <w:tcW w:w="146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$11.0 million increase for the nine months ended March 28, 2025 is associated with the purchase price allocations for the 4RF acquisition and the NEC Transaction. Refer to Note 11. Acquisitions for further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34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360" w:type="dxa"/>
            <w:vAlign w:val="bottom"/>
          </w:tcPr>
          <w:p>
            <w:pPr>
              <w:spacing w:after="0"/>
              <w:rPr>
                <w:sz w:val="16"/>
                <w:szCs w:val="16"/>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useful life)</w:t>
            </w:r>
          </w:p>
        </w:tc>
        <w:tc>
          <w:tcPr>
            <w:tcW w:w="18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 — 15</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 — 16</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Amortization of finite-lived intangibles for the three and nine months ended March 28, 2025 was $0.7 million and $2.0 million, respectively, and is included in selling and administrative expenses. There were no impairment charges recorded for the three and nine months ended March 28, 2025.</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28, 2025, the estimated future amortization expense of finite-lived intangible assets is as follows (in thousands):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 Corporation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the Closing Date, the Company completed the NEC Transaction. See Note 11.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Closing Date (the “Initial Lock-Up Expiration Date”). Starting one day after the Initial Lock-Up Expiration Date, one-twelfth of the issued shares shall be released from the Lock-Up each month, such that all issued shares shall be released from Lock-Up by the two-year anniversary of the Closing Date. Pursuant to the Purchase Agreement, NEC has the right to nominate a director to the Company’s Board of Directors from the Closing Date and for a period of two years thereafter. As of March 28, 2025, NEC held approximately 5.8% of the Company’s outstanding common stock.</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NEC Transaction and as of the Closing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related party activity between the Company and NEC is as follows: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780" w:type="dxa"/>
            <w:vAlign w:val="bottom"/>
            <w:gridSpan w:val="4"/>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55"/>
        </w:trPr>
        <w:tc>
          <w:tcPr>
            <w:tcW w:w="5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received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services received</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r>
    </w:tbl>
    <w:p>
      <w:pPr>
        <w:spacing w:after="0" w:line="238" w:lineRule="exact"/>
        <w:rPr>
          <w:sz w:val="20"/>
          <w:szCs w:val="20"/>
          <w:color w:val="auto"/>
        </w:rPr>
      </w:pPr>
    </w:p>
    <w:p>
      <w:pPr>
        <w:jc w:val="both"/>
        <w:ind w:right="20" w:firstLine="486"/>
        <w:spacing w:after="0" w:line="271" w:lineRule="auto"/>
        <w:rPr>
          <w:sz w:val="20"/>
          <w:szCs w:val="20"/>
          <w:color w:val="auto"/>
        </w:rPr>
      </w:pPr>
      <w:r>
        <w:rPr>
          <w:rFonts w:ascii="Times New Roman" w:cs="Times New Roman" w:eastAsia="Times New Roman" w:hAnsi="Times New Roman"/>
          <w:sz w:val="18"/>
          <w:szCs w:val="18"/>
          <w:color w:val="auto"/>
        </w:rPr>
        <w:t>As of March 28, 2025, the Company’s outstanding related party balances with NEC included in the unaudited condensed consolidated balance sheets are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Revisions to Prior Period Consolidated Financial Statements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described in Note 1. The Company and Basis of Presentation, subsequent to the third quarter of fiscal 2024, the Company identified certain errors in the quarterly financial statements for fiscal 2024 related to estimated total contract costs and progress to completion for an over-time arrangement. The Company identified additional errors impacting the quarterly financial statements for fiscal 2024 related to the recognition of revenue prior to performance obligations being met and related to journal entries recorded in error. In accordance with ASC 250, Accounting Changes and Error Corrections and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statements. The Company has revised the prior period financial statements and related disclosures for the third quarter of fiscal 2024 to correct the errors. A summary of the corrections to the impacted financial statement line items in the Company’s previously issued Consolidated Statements of Operations, Comprehensive Income, Equity and Cash Flows for the three and nine months ended March 29, 2024 is provided below.</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860" w:type="dxa"/>
            <w:vAlign w:val="bottom"/>
            <w:gridSpan w:val="24"/>
          </w:tcPr>
          <w:p>
            <w:pPr>
              <w:jc w:val="center"/>
              <w:ind w:left="229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 (unaudited)</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1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29, 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11"/>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2024</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4"/>
                <w:szCs w:val="14"/>
                <w:color w:val="auto"/>
              </w:rPr>
            </w:pPr>
          </w:p>
        </w:tc>
        <w:tc>
          <w:tcPr>
            <w:tcW w:w="12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4"/>
                <w:szCs w:val="14"/>
                <w:color w:val="auto"/>
              </w:rPr>
            </w:pPr>
          </w:p>
        </w:tc>
        <w:tc>
          <w:tcPr>
            <w:tcW w:w="10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70,857</w:t>
            </w:r>
          </w:p>
        </w:tc>
        <w:tc>
          <w:tcPr>
            <w:tcW w:w="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70,844</w:t>
            </w:r>
          </w:p>
        </w:tc>
        <w:tc>
          <w:tcPr>
            <w:tcW w:w="2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195,410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291,423</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120,989</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66,841</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187,830</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103,593</w:t>
            </w: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61,979</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21"/>
        </w:trPr>
        <w:tc>
          <w:tcPr>
            <w:tcW w:w="3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3,418</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3,870</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10,313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shd w:val="clear" w:color="auto" w:fill="CCEEFF"/>
          </w:tcPr>
          <w:p>
            <w:pPr>
              <w:spacing w:after="0"/>
              <w:rPr>
                <w:sz w:val="19"/>
                <w:szCs w:val="19"/>
                <w:color w:val="auto"/>
              </w:rPr>
            </w:pP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527"/>
        </w:trPr>
        <w:tc>
          <w:tcPr>
            <w:tcW w:w="10060" w:type="dxa"/>
            <w:vAlign w:val="bottom"/>
            <w:gridSpan w:val="28"/>
          </w:tcPr>
          <w:p>
            <w:pPr>
              <w:jc w:val="center"/>
              <w:ind w:left="1091"/>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11"/>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29, 2024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11"/>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2024</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00" w:type="dxa"/>
            <w:vAlign w:val="bottom"/>
          </w:tcPr>
          <w:p>
            <w:pPr>
              <w:spacing w:after="0"/>
              <w:rPr>
                <w:sz w:val="14"/>
                <w:szCs w:val="14"/>
                <w:color w:val="auto"/>
              </w:rPr>
            </w:pPr>
          </w:p>
        </w:tc>
        <w:tc>
          <w:tcPr>
            <w:tcW w:w="12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4"/>
                <w:szCs w:val="14"/>
                <w:color w:val="auto"/>
              </w:rPr>
            </w:pPr>
          </w:p>
        </w:tc>
        <w:tc>
          <w:tcPr>
            <w:tcW w:w="10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60" w:type="dxa"/>
            <w:vAlign w:val="bottom"/>
            <w:gridSpan w:val="24"/>
          </w:tcPr>
          <w:p>
            <w:pPr>
              <w:jc w:val="center"/>
              <w:ind w:left="2291"/>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11"/>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2024</w:t>
            </w: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5"/>
          </w:tcPr>
          <w:p>
            <w:pPr>
              <w:jc w:val="center"/>
              <w:ind w:right="140"/>
              <w:spacing w:after="0" w:line="17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3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5"/>
                <w:szCs w:val="15"/>
                <w:color w:val="auto"/>
              </w:rPr>
            </w:pPr>
          </w:p>
        </w:tc>
        <w:tc>
          <w:tcPr>
            <w:tcW w:w="10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30"/>
        </w:trPr>
        <w:tc>
          <w:tcPr>
            <w:tcW w:w="610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0" w:type="dxa"/>
            <w:vAlign w:val="bottom"/>
          </w:tcPr>
          <w:p>
            <w:pPr>
              <w:spacing w:after="0"/>
              <w:rPr>
                <w:sz w:val="1"/>
                <w:szCs w:val="1"/>
                <w:color w:val="auto"/>
              </w:rPr>
            </w:pPr>
          </w:p>
        </w:tc>
      </w:tr>
      <w:tr>
        <w:trPr>
          <w:trHeight w:val="228"/>
        </w:trPr>
        <w:tc>
          <w:tcPr>
            <w:tcW w:w="3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29,</w:t>
            </w:r>
          </w:p>
        </w:tc>
        <w:tc>
          <w:tcPr>
            <w:tcW w:w="0" w:type="dxa"/>
            <w:vAlign w:val="bottom"/>
          </w:tcPr>
          <w:p>
            <w:pPr>
              <w:spacing w:after="0"/>
              <w:rPr>
                <w:sz w:val="1"/>
                <w:szCs w:val="1"/>
                <w:color w:val="auto"/>
              </w:rPr>
            </w:pPr>
          </w:p>
        </w:tc>
      </w:tr>
      <w:tr>
        <w:trPr>
          <w:trHeight w:val="214"/>
        </w:trPr>
        <w:tc>
          <w:tcPr>
            <w:tcW w:w="8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2"/>
        </w:trPr>
        <w:tc>
          <w:tcPr>
            <w:tcW w:w="8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253,936</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258,507</w:t>
            </w:r>
          </w:p>
        </w:tc>
        <w:tc>
          <w:tcPr>
            <w:tcW w:w="0" w:type="dxa"/>
            <w:vAlign w:val="bottom"/>
          </w:tcPr>
          <w:p>
            <w:pPr>
              <w:spacing w:after="0"/>
              <w:rPr>
                <w:sz w:val="1"/>
                <w:szCs w:val="1"/>
                <w:color w:val="auto"/>
              </w:rPr>
            </w:pPr>
          </w:p>
        </w:tc>
      </w:tr>
      <w:tr>
        <w:trPr>
          <w:trHeight w:val="429"/>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429"/>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251,023</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680" w:type="dxa"/>
            <w:vAlign w:val="bottom"/>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March 29, 2024</w:t>
            </w:r>
          </w:p>
        </w:tc>
        <w:tc>
          <w:tcPr>
            <w:tcW w:w="0" w:type="dxa"/>
            <w:vAlign w:val="bottom"/>
          </w:tcPr>
          <w:p>
            <w:pPr>
              <w:spacing w:after="0"/>
              <w:rPr>
                <w:sz w:val="1"/>
                <w:szCs w:val="1"/>
                <w:color w:val="auto"/>
              </w:rPr>
            </w:pPr>
          </w:p>
        </w:tc>
      </w:tr>
      <w:tr>
        <w:trPr>
          <w:trHeight w:val="496"/>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2"/>
        </w:trPr>
        <w:tc>
          <w:tcPr>
            <w:tcW w:w="8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220,098</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258,507</w:t>
            </w:r>
          </w:p>
        </w:tc>
        <w:tc>
          <w:tcPr>
            <w:tcW w:w="0" w:type="dxa"/>
            <w:vAlign w:val="bottom"/>
          </w:tcPr>
          <w:p>
            <w:pPr>
              <w:spacing w:after="0"/>
              <w:rPr>
                <w:sz w:val="1"/>
                <w:szCs w:val="1"/>
                <w:color w:val="auto"/>
              </w:rPr>
            </w:pPr>
          </w:p>
        </w:tc>
      </w:tr>
      <w:tr>
        <w:trPr>
          <w:trHeight w:val="429"/>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429"/>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218,739</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ability to maintain effective internal control over financial reporting and management systems and remediate material weaknesses;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See “Item 1A. Risk Factors” in the Company’s fiscal 2024 Annual Report on Form 10-K filed with the SEC on October 4, 2024 for more information regarding factors that may cause its results to differ materially from those expressed or implied by the forward-looking statements contained in this Quarterly Report on Form 10-Q.</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2025 and 2024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June 27, 2025 is referred to as “fiscal 2025” or “2025” and the fiscal year ended June 28, 2024 is referred to as “fiscal 2024” or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competes on the basis of total cost of ownership, microwave radio expertise and solutions for mission critical communications. Aviat has a global presence.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4RF Limited</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 See Note 11. Acquisitions of the Notes to the unaudited consolidated financial statements in this Quarterly Report on Form 10-Q (the “Notes”)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November 30, 2023, the Company completed the acquisition of NEC Corporation’s (“NEC”) wireless transport business (the “NEC Transaction”). 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See Note 11. Acquisitions of the Notes for further information.</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was subject to certain post-closing adjustments. In the second quarter of fiscal 2025, the Company transferred consideration of $5.8 million to settle a portion of the post-closing working capital adjustment. The Company estimates additional cash consideration of approximately $13.2 million will be transferred to NEC, primarily related to settlement of the remaining post-closing working capital adjustment.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mobile backhaul continued to be the Company’s primary addressable market segment globally in the first nine months of fiscal 2025.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In early 2025, new U.S. tariffs on foreign imports were proposed and introduced. Aviat plans to mitigate these tariffs by optimizing its sourcing and operations to minimize any cost impact. Aviat may also implement pricing actions to offset the impact of these tariffs. However, as disclosed above and in the “Risk Factors” section in Item 1A of its Annual Report on Form 10-K filed with the SEC on October 4, 2024, a number of factors could prevent the Company from achieving its objectives, including ongoing pricing pressures attributable to competition and macroeconomic conditions in the geographic markets that it serves.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to Prior Period Consolidated Financial Statements</w:t>
      </w:r>
    </w:p>
    <w:p>
      <w:pPr>
        <w:spacing w:after="0" w:line="175"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Subsequent to the third quarter of fiscal 2024, the Company identified certain errors in the quarterly financial statements for fiscal 2024. The Company evaluated the materiality of the errors and determined that the impacts were not material, individually or in the aggregate, to the Company’s previously issued consolidated financial statements for any of the prior reporting periods in which they occurred. The Company has revised the prior period financial statements for fiscal 2024 to correct the errors. The revisions ensure comparability across all periods presented herein. Refer to Note 1. The Company and Basis of Presentation and Note 15. Revisions to Prior Period Consolidated Financial Statements of the Notes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manages its sales activities primarily on a geographic basis in North America and three international geographic regions: (1) Africa and the Middle East, (2) Europe, and (3) Latin America and Asia Pacific. Revenue by region for the three and nine months ended March 28, 2025 and March 29, 2024 and the related changes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5,002</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149,589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9"/>
              </w:rPr>
              <w:t>3,685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2,880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 and Asia Pacific</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48,472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w w:val="98"/>
              </w:rPr>
              <w:t>(9,749)</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1,818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319,266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North America increased by $5.0 million during the third quarter of fiscal 2025 compared with the same period of fiscal 2024 primarily due to higher private network project revenues. Revenue in North America decreased by $0.3 million during the first nine months of fiscal 2025 compared with the same period of fiscal 2024, primarily due to lower demand from Tier 1 mobile network operators and timing of certain private network projects, partially offset by contributions from the 4RF transaction.</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in Africa and the Middle East increased by $3.7 million during the third quarter of fiscal 2025 compared with the same period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Revenue in Africa and the Middle East increased by $2.4 million during the first nine months of fiscal 2025 compared with the same period of fiscal</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2024. The increases for the third quarter and the first nine months of fiscal 2025 were primarily due to increased volumes from private networks in the Middle East.</w:t>
      </w:r>
    </w:p>
    <w:p>
      <w:pPr>
        <w:spacing w:after="0" w:line="1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Europe increased by $2.9 million during the third quarter of fiscal 2025 compared with the same period of fiscal 2024. Revenue in Europe increased by $6.0 million during the first nine months of fiscal 2025 compared with the same period of fiscal 2024. The increases for the third quarter and the first nine months of fiscal 2025 were primarily due to increased sales to mobile operators in the region driven by volumes from the NEC Transaction.</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Latin America and Asia Pacific decreased by $9.7 million during the third quarter of fiscal 2025 compared with the same period of fiscal 2024 primarily due to timing of capital expenditure plans of mobile operators in the Asia Pacific region. Revenue in Latin America and Asia Pacific increased by $19.8 million during the first nine months of fiscal 2025 compared with the same period of fiscal 2024 primarily due to contributions resulting from the NEC Transaction and higher volumes of projects with mobile operators.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3"/>
                <w:szCs w:val="13"/>
                <w:color w:val="auto"/>
              </w:rPr>
            </w:pPr>
          </w:p>
        </w:tc>
        <w:tc>
          <w:tcPr>
            <w:tcW w:w="10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40" w:type="dxa"/>
            <w:vAlign w:val="bottom"/>
          </w:tcPr>
          <w:p>
            <w:pPr>
              <w:spacing w:after="0"/>
              <w:rPr>
                <w:sz w:val="13"/>
                <w:szCs w:val="13"/>
                <w:color w:val="auto"/>
              </w:rPr>
            </w:pP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Pr>
          <w:p>
            <w:pPr>
              <w:spacing w:after="0"/>
              <w:rPr>
                <w:sz w:val="13"/>
                <w:szCs w:val="13"/>
                <w:color w:val="auto"/>
              </w:rPr>
            </w:pPr>
          </w:p>
        </w:tc>
        <w:tc>
          <w:tcPr>
            <w:tcW w:w="102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5,980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rPr>
              <w:t>(4,162)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1,818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product sales increased by 8.4% and revenue from services decreased by 10.4% for the third quarter of fiscal 2025 compared with the same quarter of fiscal 2024. Revenue from product sales and services increased by 12.7% and 3.1%, respectively for the first nine months of fiscal 2025 compared with the same period of fiscal 2024. The changes were primarily due to the factors discussed above and product sales contribution from the NEC Transaction.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112,640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110,822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1,818</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319,266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291,423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27,843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0"/>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73,344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74,751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219,296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187,830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31,466</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4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36,071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3,225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103,593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(3,623)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34.9 %</w:t>
            </w:r>
          </w:p>
        </w:tc>
        <w:tc>
          <w:tcPr>
            <w:tcW w:w="22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32.5 %</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31.3 %</w:t>
            </w:r>
          </w:p>
        </w:tc>
        <w:tc>
          <w:tcPr>
            <w:tcW w:w="29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35.5 %</w:t>
            </w: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margin %</w:t>
            </w:r>
          </w:p>
        </w:tc>
        <w:tc>
          <w:tcPr>
            <w:tcW w:w="17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33.1 %</w:t>
            </w:r>
          </w:p>
        </w:tc>
        <w:tc>
          <w:tcPr>
            <w:tcW w:w="224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32.6 %</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28.0 %</w:t>
            </w:r>
          </w:p>
        </w:tc>
        <w:tc>
          <w:tcPr>
            <w:tcW w:w="290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rPr>
              <w:t>38.1 %</w:t>
            </w: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margin %</w:t>
            </w: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38.6 %</w:t>
            </w:r>
          </w:p>
        </w:tc>
        <w:tc>
          <w:tcPr>
            <w:tcW w:w="22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32.5 %</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38.6 %</w:t>
            </w:r>
          </w:p>
        </w:tc>
        <w:tc>
          <w:tcPr>
            <w:tcW w:w="29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30.4 %</w:t>
            </w: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9" w:name="page30"/>
    <w:bookmarkEnd w:id="2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margin for the third quarter of fiscal 2025 increased by $3.2 million compared with the same quarter of fiscal 2024 primarily due to sales volume and changes in regions and customers and product mix. Gross margin for the first nine months of fiscal 2025 decreased by $3.6 million primarily due to changes in regions and customers and the expected near-term dilution as a result of the NEC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7,704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25,441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$2.9 million compared with the same quarter of fiscal 2024 primarily due to cost management. Research and development expenses increased by $2.9 million for the first nine months of fiscal 2025 primarily due to development activity related to the NEC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Borders>
              <w:bottom w:val="single" w:sz="8" w:color="auto"/>
            </w:tcBorders>
          </w:tcPr>
          <w:p>
            <w:pPr>
              <w:spacing w:after="0"/>
              <w:rPr>
                <w:sz w:val="18"/>
                <w:szCs w:val="18"/>
                <w:color w:val="auto"/>
              </w:rPr>
            </w:pPr>
          </w:p>
        </w:tc>
      </w:tr>
      <w:tr>
        <w:trPr>
          <w:trHeight w:val="211"/>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68,348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61,979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increased by $1.9 million for the third quarter of fiscal 2025 and $6.4 million for the first nine months of fiscal 2025 primarily due to merger and acquisition expenses and additional costs resulting from the NEC and 4RF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2025, there were $1.6 million of restructuring charges incurred, primarily associated with reductions in workforce in certain of the Company’s operations to optimize skill sets and align cost structure. The prior year comparison period includes restructuring charges primarily associated with the NEC Transaction.</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successfully executed restructuring initiatives have enabled it to restructure specific groups to optimize skill sets and align its organizational structure to execute on strategic deliverables, in addition to aligning cost structure with the core of the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gridSpan w:val="3"/>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4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$0.6 million and $2.8 million for the three and nine months ended March 28, 2025, respectively, primarily due to interest expense incurred on incremental Term Loan borrowings compared to the prior 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expense, net increased by $3.0 million and $3.8 million for the three and nine months ended March 28, 2025, respectively, primarily as a result of foreign exchange rate movement and losses recognized on the extinguishment of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(benefit from)</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tax benefit for the first nine months of fiscal 2025 was primarily due to tax benefit resulting from year-to-date losses. The tax expense for the first nine months of fiscal 2024 was primarily attributable to tax expense related to U.S. and profitable foreign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28, 2025, the Company’s total cash and cash equivalents were $49.4 million. Approximately $12.7 million was held in the United States. The remaining balance of $36.8 million, or 74%, was held outside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cash flows is presented as net (loss) income adjusted for certain non-cash items and changes in operating assets and liabilities. Net cash (used in) provided by operating activities was $(4.8) million for the first nine months of fiscal 2025, compared with $22.2 million in the prior year. The $(27.0) million decrease is primarily attributable to increases in working capital and decreased earnings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$26.3 million for the first nine months of fiscal 2025, compared to $35.0 million in the prior year. The $8.7 million decrease is primarily due to higher acquisition payments in the prior year associated with the NEC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Financing cash flows consist primarily of borrowings and repayments under the Company’s Credit Facility and proceeds from the exercise of employee stock options. Net cash provided by financing activities was $17.6 million for the first nine months of fiscal 2025, compared with $49.3 million in the prior year. The $(31.7) million decrease is primarily due to reduced Term Loan borrowings compared to the prior year as the prior year period included the $50.0 million of Term Loan borrowings primarily used to fund the NEC Transaction.</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28, 2025, the Company’s principal sources of liquidity consisted of $49.4 million in cash and cash equivalents, $66.3 million of available credit under its Credit Facility, and future collections of receivables from customers. In the second quarter of fiscal 2025, the Company amended its Credit Facility which increased the borrowing capacity to $75.0 million for each of the Term Loan and Revolver facilities. The Company regularly requires letters of credit from certain customers, and, from time to time, these letters of credit are discounted without recourse shortly after shipment occurs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meet immediate liquidity requirements and to reduce its credit and sovereign risk. Historically, the Company’s primary sources of liquidity have been cash flows from operations and credit facilities.</w:t>
      </w:r>
    </w:p>
    <w:p>
      <w:pPr>
        <w:spacing w:after="0" w:line="10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the available borrowings under its Credit Facility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borrowed and repaid $55.0 million against the Revolver during the first nine months of fiscal 2025. As of March 28, 2025, the Company had $74.1 million outstanding under its Term Loan and no borrowings outstanding under its Revolver and was in compliance with all financial covenants contained in the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about the Company’s critical accounting estimates, see the “Critical Accounting Estimates” section of “Item 7. Management’s Discussion and Analysis of Financial Condition and Results of Operations” in its fiscal 2024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2024 Annual Report on Form 10-K. There have been no material changes to the Company’s market risk during the first nine months of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March 28, 2025.</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March 28, 2025 and June 28, 2024, the cumulative translation adjustment decreased stockholders’ equity by $19.5 million and $19.3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its cash equivalents and borrowings under its Credit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6. Credit Facility and Debt of the Notes for further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had $49.4 million in total cash and cash equivalents as of March 28, 2025. Cash equivalents totaled $7.0 million as of March 28, 2025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refer to Note 5. Fair Value Measurements of Assets and Liabilities of the Notes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cash equivalents earn interest at fixed rates; therefore, changes in interest rates will not generate a gain or loss on these investments unless they are sold prior to maturity. A 10% change in interest rates on the Company’s cash equivalents is not expected to have a material impact on its financial position,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28, 2025, the Company had $74.1 million outstanding under its Term Loan and no borrowings outstanding under its Revolver.</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March 28, 2025, the applicable margin on Adjusted Term SOFR and Base Rate borrowings was 2.75% and 1.75%, respectively. The effective rate of interest on the outstanding Term Loan borrowings as of March 28, 2025 was 7.1%.</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is estimated to have a $0.5 million impact on annual interest expense on the Company’s outstanding long-term debt as of March 28,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disclosed in the Company’s Annual Report on Form 10-K for the fiscal year ended June 28, 2024, the Company’s management concluded that our disclosure controls and procedures were not effective as of June 28, 2024 due to certain material weaknesses in internal control over financial reporting. Refer to Part II, Item 9A. Controls and Procedures in the Company’s Annual Report on Form 10-K for the fiscal year ended June 28, 2024 for further information.</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2025, the Company implemented actions designed to improve our internal control over financial reporting and remediate these material weaknesses, including (i) providing training to the applicable control performers related to the importance of timely execution of control activities for which they are responsible; (ii) beginning the redesign of controls over the determination of the appropriate period for revenue recognition, controls over arrangements where revenue is recognized over time and controls related to the review and approval of journal entries, and (iii) implementing a formal monitoring program to perform the necessary evaluations to ascertain whether the components of internal control are present and functioning, including implementing corrective actions as necessary.</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steps are subject to ongoing senior management review, as well as oversight by the audit committee of our Board of Directors. While significant progress has been made to remediate the material weaknesses, the material weaknesses will not be considered remediated until the associated controls operate effectively for a sufficient period of time and management concludes, through testing, that the controls are operating effectively. We will continue to monitor the design and effectiveness of these and other processes, procedures and controls and make further changes management deems appropriate.</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our President and CEO, and Chief Financial Officer (“CFO”), completed an evaluation of the effectiveness of the design and operation of the disclosure controls and procedures as of March 28, 2025. The Company’s CEO and CFO have concluded that our disclosure controls and procedures, as defined in Rules 13a-15(e) and 15d-15(e) under the Exchange Act, were not effective as of March 28, 2025, due to the material weaknesses described above not being fully remediated as of the date of the evaluation.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to our internal controls over financial reporting as defined in Rules 13a-15(f) or 15d-15(f) that occurred during the quarter ended March 28, 2025 that have materially affected, or are reasonably likely to materially affect, our internal controls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spacing w:after="0" w:line="200" w:lineRule="exact"/>
        <w:rPr>
          <w:sz w:val="20"/>
          <w:szCs w:val="20"/>
          <w:color w:val="auto"/>
        </w:rPr>
      </w:pP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legal proceedings as of March 28, 2025, please refer to “Legal Proceedings” and “Contingent Liabilities” under Note 12. Commitments and Contingencies of the Notes to the unaudited condensed consolidated financial statements in this Quarterly Report on Form 10-Q, which are incorporated into this item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2024 Annual Report on Form 10-K filed with the SEC on October 4, 2024.</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March 28, 2025, $6.3 million remains available and Aviat may choose to suspend or discontinue the repurchase program at any time. Repurchased shares are recorded as treasury stock.</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 during the third quarter of fiscal 2025:</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23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2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84"/>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4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2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40" w:type="dxa"/>
            <w:vAlign w:val="bottom"/>
          </w:tcPr>
          <w:p>
            <w:pPr>
              <w:spacing w:after="0"/>
              <w:rPr>
                <w:sz w:val="16"/>
                <w:szCs w:val="16"/>
                <w:color w:val="auto"/>
              </w:rPr>
            </w:pPr>
          </w:p>
        </w:tc>
        <w:tc>
          <w:tcPr>
            <w:tcW w:w="19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2460" w:type="dxa"/>
            <w:vAlign w:val="bottom"/>
            <w:vMerge w:val="continue"/>
          </w:tcPr>
          <w:p>
            <w:pPr>
              <w:spacing w:after="0"/>
              <w:rPr>
                <w:sz w:val="19"/>
                <w:szCs w:val="19"/>
                <w:color w:val="auto"/>
              </w:rPr>
            </w:pPr>
          </w:p>
        </w:tc>
        <w:tc>
          <w:tcPr>
            <w:tcW w:w="2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19"/>
                <w:szCs w:val="19"/>
                <w:color w:val="auto"/>
              </w:rPr>
            </w:pPr>
          </w:p>
        </w:tc>
        <w:tc>
          <w:tcPr>
            <w:tcW w:w="1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 (in thousands)</w:t>
            </w:r>
          </w:p>
        </w:tc>
        <w:tc>
          <w:tcPr>
            <w:tcW w:w="0" w:type="dxa"/>
            <w:vAlign w:val="bottom"/>
          </w:tcPr>
          <w:p>
            <w:pPr>
              <w:spacing w:after="0"/>
              <w:rPr>
                <w:sz w:val="1"/>
                <w:szCs w:val="1"/>
                <w:color w:val="auto"/>
              </w:rPr>
            </w:pPr>
          </w:p>
        </w:tc>
      </w:tr>
      <w:tr>
        <w:trPr>
          <w:trHeight w:val="155"/>
        </w:trPr>
        <w:tc>
          <w:tcPr>
            <w:tcW w:w="24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December 28, 2024 — January</w:t>
            </w:r>
          </w:p>
        </w:tc>
        <w:tc>
          <w:tcPr>
            <w:tcW w:w="2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24, 2025</w:t>
            </w:r>
          </w:p>
        </w:tc>
        <w:tc>
          <w:tcPr>
            <w:tcW w:w="23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25, 2025 — February</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21, 2025</w:t>
            </w:r>
          </w:p>
        </w:tc>
        <w:tc>
          <w:tcPr>
            <w:tcW w:w="2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22, 2025 — March 28,</w:t>
            </w: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23"/>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7, 2025, Erin Boase, General Counsel, Vice President Legal Affairs, adopted a new trading plan intended to satisfy the affirmative defense conditions of Rule 10b5-1(c) under the Exchange Act. The trading plan is intended to permit Ms. Boase to sell an aggregate of 11,770 shares. Ms. Boase’s plan is in effect until March 7, 2026.</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28, 2025, no other officers or directors adopted, modified, or terminated a “Rule 10b5-1 trading arrangement” or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or furnished herewith or are incorporated by reference to exhibits previously filed with the SEC: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59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line="18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Certificate of Incorporation of Aviat Networks, Inc., as amended (incorporated by reference to Exhibit 3.1 to the</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Current Report on Form 8-K filed with the SEC on November 13, 2023,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Bylaws of Aviat Networks, Inc. (incorporated by reference to Exhibit 3.1 to the Current Report on Form 8-K filed</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with the SEC on August 24, 2023, File No. 001-33278).</w:t>
              </w:r>
            </w:hyperlink>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President and Chief Executive Officer</w:t>
            </w:r>
          </w:p>
        </w:tc>
        <w:tc>
          <w:tcPr>
            <w:tcW w:w="4200" w:type="dxa"/>
            <w:vAlign w:val="bottom"/>
            <w:tcBorders>
              <w:bottom w:val="single" w:sz="8" w:color="CCEEFF"/>
            </w:tcBorders>
            <w:gridSpan w:val="5"/>
            <w:shd w:val="clear" w:color="auto" w:fill="CCEEFF"/>
          </w:tcPr>
          <w:p>
            <w:pPr>
              <w:spacing w:after="0"/>
              <w:rPr>
                <w:sz w:val="18"/>
                <w:szCs w:val="18"/>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Section 1350 Certification of Chief Executive Officer and Chief Financial Officer</w:t>
            </w:r>
          </w:p>
        </w:tc>
        <w:tc>
          <w:tcPr>
            <w:tcW w:w="4100" w:type="dxa"/>
            <w:vAlign w:val="bottom"/>
            <w:tcBorders>
              <w:bottom w:val="single" w:sz="8" w:color="CCEEFF"/>
            </w:tcBorders>
            <w:gridSpan w:val="4"/>
            <w:shd w:val="clear" w:color="auto" w:fill="CCEEFF"/>
          </w:tcPr>
          <w:p>
            <w:pPr>
              <w:spacing w:after="0"/>
              <w:rPr>
                <w:sz w:val="18"/>
                <w:szCs w:val="18"/>
                <w:color w:val="auto"/>
              </w:rPr>
            </w:pP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60" w:hanging="1234"/>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 w:lineRule="exact"/>
        <w:rPr>
          <w:sz w:val="20"/>
          <w:szCs w:val="20"/>
          <w:color w:val="auto"/>
        </w:rPr>
      </w:pPr>
    </w:p>
    <w:p>
      <w:pPr>
        <w:ind w:left="1260" w:hanging="1234"/>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AVIAT NETWORKS, INC.</w:t>
      </w: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32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Michael Connaway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3265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Michael Connaway</w:t>
      </w:r>
    </w:p>
    <w:p>
      <w:pPr>
        <w:ind w:left="6120"/>
        <w:spacing w:after="0" w:line="219" w:lineRule="auto"/>
        <w:rPr>
          <w:sz w:val="20"/>
          <w:szCs w:val="20"/>
          <w:color w:val="auto"/>
        </w:rPr>
      </w:pPr>
      <w:r>
        <w:rPr>
          <w:rFonts w:ascii="Times New Roman" w:cs="Times New Roman" w:eastAsia="Times New Roman" w:hAnsi="Times New Roman"/>
          <w:sz w:val="18"/>
          <w:szCs w:val="18"/>
          <w:color w:val="auto"/>
        </w:rPr>
        <w:t>Senior Vice President and Chief Financial Officer (duly authorized</w:t>
      </w:r>
    </w:p>
    <w:p>
      <w:pPr>
        <w:ind w:left="61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3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28, 2025,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4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3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3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Connaway,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28, 2025,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Connaway</w:t>
            </w:r>
          </w:p>
        </w:tc>
      </w:tr>
      <w:tr>
        <w:trPr>
          <w:trHeight w:val="218"/>
        </w:trPr>
        <w:tc>
          <w:tcPr>
            <w:tcW w:w="55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Michael Connaway</w:t>
            </w:r>
          </w:p>
        </w:tc>
      </w:tr>
      <w:tr>
        <w:trPr>
          <w:trHeight w:val="234"/>
        </w:trPr>
        <w:tc>
          <w:tcPr>
            <w:tcW w:w="55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6"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March 28, 2025, as filed with the Securities and Exchange Commission on the date hereof (the “Report”), we, Peter A. Smith, President and Chief Executive Officer of Aviat Networks, and Michael Connaway, Senior Vice President and Chief Financial Officer of Aviat Networks, hereby certify, pursuant to Section 906 of the Sarbanes-Oxley Act of 2002, 18 U.S.C. §1350, that:</w:t>
      </w:r>
    </w:p>
    <w:p>
      <w:pPr>
        <w:spacing w:after="0" w:line="13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40"/>
        <w:spacing w:after="0"/>
        <w:tabs>
          <w:tab w:leader="none" w:pos="594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Peter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Peter A. Smith</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9" w:lineRule="exact"/>
        <w:rPr>
          <w:sz w:val="20"/>
          <w:szCs w:val="20"/>
          <w:color w:val="auto"/>
        </w:rPr>
      </w:pPr>
    </w:p>
    <w:p>
      <w:pPr>
        <w:ind w:left="1140"/>
        <w:spacing w:after="0"/>
        <w:tabs>
          <w:tab w:leader="none" w:pos="594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Michael Connaway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Connaway</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lowerRoman"/>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9" Type="http://schemas.openxmlformats.org/officeDocument/2006/relationships/hyperlink" Target="https://www.sec.gov/Archives/edgar/data/1377789/000137778923000047/amendedrestatedcertificate.htm" TargetMode="External"/><Relationship Id="rId50" Type="http://schemas.openxmlformats.org/officeDocument/2006/relationships/hyperlink" Target="https://www.sec.gov/Archives/edgar/data/1377789/000137778923000020/amendedandrestatedbylaws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2025-05-06T15:37:21Z</dcterms:created>
  <dcterms:modified xsi:type="dcterms:W3CDTF">2025-05-06T15:37:21Z</dcterms:modified>
</cp:coreProperties>
</file>