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0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26, 2014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40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454660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20-5961564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 Parkway</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California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95054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20" w:type="dxa"/>
            <w:vAlign w:val="bottom"/>
          </w:tcPr>
          <w:p>
            <w:pPr>
              <w:spacing w:after="0"/>
              <w:rPr>
                <w:sz w:val="24"/>
                <w:szCs w:val="24"/>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(408) 567-7000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__________________________</w:t>
      </w:r>
    </w:p>
    <w:p>
      <w:pPr>
        <w:spacing w:after="0" w:line="9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59"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02"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00" w:space="720"/>
            <w:col w:w="4280" w:space="720"/>
            <w:col w:w="2800" w:space="720"/>
            <w:col w:w="460"/>
          </w:cols>
          <w:pgMar w:left="240" w:top="110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jc w:val="center"/>
        <w:ind w:right="102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11" w:lineRule="exact"/>
        <w:rPr>
          <w:sz w:val="24"/>
          <w:szCs w:val="24"/>
          <w:color w:val="auto"/>
        </w:rPr>
      </w:pPr>
    </w:p>
    <w:p>
      <w:pPr>
        <w:sectPr>
          <w:pgSz w:w="11900" w:h="16838" w:orient="portrait"/>
          <w:cols w:equalWidth="0" w:num="4">
            <w:col w:w="1700" w:space="720"/>
            <w:col w:w="4280" w:space="720"/>
            <w:col w:w="2800" w:space="720"/>
            <w:col w:w="460"/>
          </w:cols>
          <w:pgMar w:left="240" w:top="1102" w:right="259" w:bottom="1440" w:gutter="0" w:footer="0" w:header="0"/>
          <w:type w:val="continuous"/>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7380" w:space="140"/>
            <w:col w:w="400" w:space="160"/>
            <w:col w:w="3320"/>
          </w:cols>
          <w:pgMar w:left="240" w:top="1102" w:right="25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December 9, 2014 was 62,223,790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02"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26, 2014</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189"/>
        </w:trPr>
        <w:tc>
          <w:tcPr>
            <w:tcW w:w="2260" w:type="dxa"/>
            <w:vAlign w:val="bottom"/>
            <w:tcBorders>
              <w:bottom w:val="single" w:sz="8" w:color="0000FF"/>
            </w:tcBorders>
            <w:gridSpan w:val="10"/>
          </w:tcPr>
          <w:p>
            <w:pPr>
              <w:spacing w:after="0" w:line="189" w:lineRule="exact"/>
              <w:rPr>
                <w:sz w:val="20"/>
                <w:szCs w:val="20"/>
                <w:color w:val="auto"/>
              </w:rPr>
            </w:pPr>
            <w:r>
              <w:rPr>
                <w:rFonts w:ascii="Arial" w:cs="Arial" w:eastAsia="Arial" w:hAnsi="Arial"/>
                <w:sz w:val="18"/>
                <w:szCs w:val="18"/>
                <w:b w:val="1"/>
                <w:bCs w:val="1"/>
                <w:color w:val="0000FF"/>
                <w:w w:val="94"/>
              </w:rPr>
              <w:t>Part I. Financial Information</w:t>
            </w:r>
          </w:p>
        </w:tc>
        <w:tc>
          <w:tcPr>
            <w:tcW w:w="8040" w:type="dxa"/>
            <w:vAlign w:val="bottom"/>
            <w:gridSpan w:val="8"/>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360" w:type="dxa"/>
            <w:vAlign w:val="bottom"/>
          </w:tcPr>
          <w:p>
            <w:pPr>
              <w:spacing w:after="0"/>
              <w:rPr>
                <w:sz w:val="22"/>
                <w:szCs w:val="22"/>
                <w:color w:val="auto"/>
              </w:rPr>
            </w:pPr>
          </w:p>
        </w:tc>
        <w:tc>
          <w:tcPr>
            <w:tcW w:w="994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Financial Statements</w:t>
              </w:r>
            </w:hyperlink>
          </w:p>
        </w:tc>
        <w:tc>
          <w:tcPr>
            <w:tcW w:w="6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9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Quarter Ended September 26, 2014 and September 27, 2013 (Unaudited)</w:t>
              </w:r>
            </w:hyperlink>
          </w:p>
        </w:tc>
        <w:tc>
          <w:tcPr>
            <w:tcW w:w="480" w:type="dxa"/>
            <w:vAlign w:val="bottom"/>
            <w:gridSpan w:val="2"/>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9940" w:type="dxa"/>
            <w:vAlign w:val="bottom"/>
            <w:gridSpan w:val="1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Comprehensive Loss for the Quarter Ended September 26, 2014 and September 27, 2013</w:t>
              </w:r>
            </w:hyperlink>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w:t>
              </w:r>
            </w:hyperlink>
          </w:p>
        </w:tc>
        <w:tc>
          <w:tcPr>
            <w:tcW w:w="8180" w:type="dxa"/>
            <w:vAlign w:val="bottom"/>
            <w:tcBorders>
              <w:top w:val="single" w:sz="8" w:color="0000EE"/>
            </w:tcBorders>
            <w:gridSpan w:val="10"/>
          </w:tcPr>
          <w:p>
            <w:pPr>
              <w:spacing w:after="0"/>
              <w:rPr>
                <w:sz w:val="17"/>
                <w:szCs w:val="17"/>
                <w:color w:val="auto"/>
              </w:rPr>
            </w:pPr>
          </w:p>
        </w:tc>
        <w:tc>
          <w:tcPr>
            <w:tcW w:w="660" w:type="dxa"/>
            <w:vAlign w:val="bottom"/>
            <w:gridSpan w:val="3"/>
          </w:tcPr>
          <w:p>
            <w:pPr>
              <w:spacing w:after="0"/>
              <w:rPr>
                <w:sz w:val="17"/>
                <w:szCs w:val="17"/>
                <w:color w:val="auto"/>
              </w:rPr>
            </w:pPr>
          </w:p>
        </w:tc>
        <w:tc>
          <w:tcPr>
            <w:tcW w:w="5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360" w:type="dxa"/>
            <w:vAlign w:val="bottom"/>
          </w:tcPr>
          <w:p>
            <w:pPr>
              <w:spacing w:after="0"/>
              <w:rPr>
                <w:sz w:val="21"/>
                <w:szCs w:val="21"/>
                <w:color w:val="auto"/>
              </w:rPr>
            </w:pPr>
          </w:p>
        </w:tc>
        <w:tc>
          <w:tcPr>
            <w:tcW w:w="99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26, 2014 and June 27, 2014 (Unaudited)</w:t>
              </w:r>
            </w:hyperlink>
          </w:p>
        </w:tc>
        <w:tc>
          <w:tcPr>
            <w:tcW w:w="6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520" w:type="dxa"/>
            <w:vAlign w:val="bottom"/>
            <w:tcBorders>
              <w:left w:val="single" w:sz="8" w:color="0000EE"/>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95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Quarter Ended September 26, 2014 and September 27, 2013 (Unaudited)</w:t>
              </w:r>
            </w:hyperlink>
          </w:p>
        </w:tc>
        <w:tc>
          <w:tcPr>
            <w:tcW w:w="42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4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5040" w:type="dxa"/>
            <w:vAlign w:val="bottom"/>
            <w:gridSpan w:val="5"/>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7000" w:type="dxa"/>
            <w:vAlign w:val="bottom"/>
            <w:gridSpan w:val="13"/>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 Management’s Discussion and Analysis of Financial Condition and Results of Operations</w:t>
              </w:r>
            </w:hyperlink>
          </w:p>
        </w:tc>
        <w:tc>
          <w:tcPr>
            <w:tcW w:w="2940" w:type="dxa"/>
            <w:vAlign w:val="bottom"/>
            <w:gridSpan w:val="4"/>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2940" w:type="dxa"/>
            <w:vAlign w:val="bottom"/>
            <w:gridSpan w:val="4"/>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900" w:type="dxa"/>
            <w:vAlign w:val="bottom"/>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5040" w:type="dxa"/>
            <w:vAlign w:val="bottom"/>
            <w:gridSpan w:val="5"/>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6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6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Part II. Other Information</w:t>
              </w:r>
            </w:hyperlink>
          </w:p>
        </w:tc>
        <w:tc>
          <w:tcPr>
            <w:tcW w:w="8240" w:type="dxa"/>
            <w:vAlign w:val="bottom"/>
            <w:gridSpan w:val="10"/>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1880" w:type="dxa"/>
            <w:vAlign w:val="bottom"/>
            <w:gridSpan w:val="8"/>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Item 1. Legal Proceedings</w:t>
              </w:r>
            </w:hyperlink>
          </w:p>
        </w:tc>
        <w:tc>
          <w:tcPr>
            <w:tcW w:w="8060" w:type="dxa"/>
            <w:vAlign w:val="bottom"/>
            <w:gridSpan w:val="9"/>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6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gridSpan w:val="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1A. Risk Factors</w:t>
              </w:r>
            </w:hyperlink>
          </w:p>
        </w:tc>
        <w:tc>
          <w:tcPr>
            <w:tcW w:w="300" w:type="dxa"/>
            <w:vAlign w:val="bottom"/>
            <w:gridSpan w:val="2"/>
          </w:tcPr>
          <w:p>
            <w:pPr>
              <w:spacing w:after="0"/>
              <w:rPr>
                <w:sz w:val="21"/>
                <w:szCs w:val="21"/>
                <w:color w:val="auto"/>
              </w:rPr>
            </w:pPr>
          </w:p>
        </w:tc>
        <w:tc>
          <w:tcPr>
            <w:tcW w:w="8060" w:type="dxa"/>
            <w:vAlign w:val="bottom"/>
            <w:gridSpan w:val="9"/>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36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140" w:type="dxa"/>
            <w:vAlign w:val="bottom"/>
            <w:gridSpan w:val="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6. Exhibits</w:t>
              </w:r>
            </w:hyperlink>
          </w:p>
        </w:tc>
        <w:tc>
          <w:tcPr>
            <w:tcW w:w="440" w:type="dxa"/>
            <w:vAlign w:val="bottom"/>
          </w:tcPr>
          <w:p>
            <w:pPr>
              <w:spacing w:after="0"/>
              <w:rPr>
                <w:sz w:val="21"/>
                <w:szCs w:val="21"/>
                <w:color w:val="auto"/>
              </w:rPr>
            </w:pPr>
          </w:p>
        </w:tc>
        <w:tc>
          <w:tcPr>
            <w:tcW w:w="8360" w:type="dxa"/>
            <w:vAlign w:val="bottom"/>
            <w:gridSpan w:val="11"/>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40" w:type="dxa"/>
            <w:vAlign w:val="bottom"/>
            <w:gridSpan w:val="3"/>
          </w:tcPr>
          <w:p>
            <w:pPr>
              <w:spacing w:after="0"/>
              <w:rPr>
                <w:rFonts w:ascii="Arial" w:cs="Arial" w:eastAsia="Arial" w:hAnsi="Arial"/>
                <w:sz w:val="18"/>
                <w:szCs w:val="18"/>
                <w:b w:val="1"/>
                <w:bCs w:val="1"/>
                <w:color w:val="0000EE"/>
                <w:w w:val="86"/>
              </w:rPr>
            </w:pPr>
            <w:hyperlink w:anchor="page32">
              <w:r>
                <w:rPr>
                  <w:rFonts w:ascii="Arial" w:cs="Arial" w:eastAsia="Arial" w:hAnsi="Arial"/>
                  <w:sz w:val="18"/>
                  <w:szCs w:val="18"/>
                  <w:b w:val="1"/>
                  <w:bCs w:val="1"/>
                  <w:color w:val="0000EE"/>
                  <w:w w:val="86"/>
                </w:rPr>
                <w:t>Signature</w:t>
              </w:r>
            </w:hyperlink>
          </w:p>
        </w:tc>
        <w:tc>
          <w:tcPr>
            <w:tcW w:w="9560" w:type="dxa"/>
            <w:vAlign w:val="bottom"/>
            <w:gridSpan w:val="15"/>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0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 Index</w:t>
              </w:r>
            </w:hyperlink>
          </w:p>
        </w:tc>
        <w:tc>
          <w:tcPr>
            <w:tcW w:w="6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c>
          <w:tcPr>
            <w:tcW w:w="20" w:type="dxa"/>
            <w:vAlign w:val="bottom"/>
          </w:tcPr>
          <w:p>
            <w:pPr>
              <w:spacing w:after="0"/>
              <w:rPr>
                <w:sz w:val="21"/>
                <w:szCs w:val="21"/>
                <w:color w:val="auto"/>
              </w:rPr>
            </w:pPr>
          </w:p>
        </w:tc>
      </w:tr>
      <w:tr>
        <w:trPr>
          <w:trHeight w:val="723"/>
        </w:trPr>
        <w:tc>
          <w:tcPr>
            <w:tcW w:w="1040" w:type="dxa"/>
            <w:vAlign w:val="bottom"/>
            <w:tcBorders>
              <w:top w:val="single" w:sz="8" w:color="0000EE"/>
            </w:tcBorders>
            <w:gridSpan w:val="4"/>
          </w:tcPr>
          <w:p>
            <w:pPr>
              <w:spacing w:after="0"/>
              <w:rPr>
                <w:sz w:val="24"/>
                <w:szCs w:val="24"/>
                <w:color w:val="auto"/>
              </w:rPr>
            </w:pPr>
          </w:p>
        </w:tc>
        <w:tc>
          <w:tcPr>
            <w:tcW w:w="6320" w:type="dxa"/>
            <w:vAlign w:val="bottom"/>
            <w:gridSpan w:val="10"/>
          </w:tcPr>
          <w:p>
            <w:pPr>
              <w:jc w:val="right"/>
              <w:ind w:right="186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40"/>
          </w:cols>
          <w:pgMar w:left="500" w:top="580" w:right="45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260" w:type="dxa"/>
            <w:vAlign w:val="bottom"/>
          </w:tcPr>
          <w:p>
            <w:pPr>
              <w:spacing w:after="0"/>
              <w:rPr>
                <w:sz w:val="24"/>
                <w:szCs w:val="24"/>
                <w:color w:val="auto"/>
              </w:rPr>
            </w:pPr>
          </w:p>
        </w:tc>
        <w:tc>
          <w:tcPr>
            <w:tcW w:w="7320" w:type="dxa"/>
            <w:vAlign w:val="bottom"/>
          </w:tcPr>
          <w:p>
            <w:pPr>
              <w:jc w:val="center"/>
              <w:ind w:left="1510"/>
              <w:spacing w:after="0"/>
              <w:rPr>
                <w:sz w:val="20"/>
                <w:szCs w:val="20"/>
                <w:color w:val="auto"/>
              </w:rPr>
            </w:pPr>
            <w:r>
              <w:rPr>
                <w:rFonts w:ascii="Arial" w:cs="Arial" w:eastAsia="Arial" w:hAnsi="Arial"/>
                <w:sz w:val="18"/>
                <w:szCs w:val="18"/>
                <w:b w:val="1"/>
                <w:bCs w:val="1"/>
                <w:color w:val="auto"/>
              </w:rPr>
              <w:t>AVIAT NETWORKS, INC.</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732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7320" w:type="dxa"/>
            <w:vAlign w:val="bottom"/>
          </w:tcPr>
          <w:p>
            <w:pPr>
              <w:jc w:val="center"/>
              <w:ind w:left="149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12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3"/>
                <w:szCs w:val="13"/>
                <w:b w:val="1"/>
                <w:bCs w:val="1"/>
                <w:color w:val="auto"/>
              </w:rPr>
              <w:t>Quarter Ended</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September 26,</w:t>
            </w:r>
          </w:p>
        </w:tc>
        <w:tc>
          <w:tcPr>
            <w:tcW w:w="200" w:type="dxa"/>
            <w:vAlign w:val="bottom"/>
          </w:tcPr>
          <w:p>
            <w:pPr>
              <w:spacing w:after="0"/>
              <w:rPr>
                <w:sz w:val="12"/>
                <w:szCs w:val="12"/>
                <w:color w:val="auto"/>
              </w:rPr>
            </w:pPr>
          </w:p>
        </w:tc>
        <w:tc>
          <w:tcPr>
            <w:tcW w:w="1160" w:type="dxa"/>
            <w:vAlign w:val="bottom"/>
          </w:tcPr>
          <w:p>
            <w:pPr>
              <w:jc w:val="right"/>
              <w:ind w:right="220"/>
              <w:spacing w:after="0" w:line="144" w:lineRule="exact"/>
              <w:rPr>
                <w:sz w:val="20"/>
                <w:szCs w:val="20"/>
                <w:color w:val="auto"/>
              </w:rPr>
            </w:pPr>
            <w:r>
              <w:rPr>
                <w:rFonts w:ascii="Arial" w:cs="Arial" w:eastAsia="Arial" w:hAnsi="Arial"/>
                <w:sz w:val="13"/>
                <w:szCs w:val="13"/>
                <w:b w:val="1"/>
                <w:bCs w:val="1"/>
                <w:color w:val="auto"/>
                <w:w w:val="94"/>
              </w:rPr>
              <w:t>September 27,</w:t>
            </w:r>
          </w:p>
        </w:tc>
        <w:tc>
          <w:tcPr>
            <w:tcW w:w="0" w:type="dxa"/>
            <w:vAlign w:val="bottom"/>
          </w:tcPr>
          <w:p>
            <w:pPr>
              <w:spacing w:after="0"/>
              <w:rPr>
                <w:sz w:val="1"/>
                <w:szCs w:val="1"/>
                <w:color w:val="auto"/>
              </w:rPr>
            </w:pPr>
          </w:p>
        </w:tc>
      </w:tr>
      <w:tr>
        <w:trPr>
          <w:trHeight w:val="17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color w:val="auto"/>
              </w:rPr>
              <w:t>(In millions, except per share amounts)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7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Revenue from product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33"/>
        </w:trPr>
        <w:tc>
          <w:tcPr>
            <w:tcW w:w="8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from services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88"/>
              </w:rPr>
              <w:t>Cost of revenues:</w:t>
            </w:r>
          </w:p>
        </w:tc>
        <w:tc>
          <w:tcPr>
            <w:tcW w:w="7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Cost of product sales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services</w:t>
            </w:r>
          </w:p>
        </w:tc>
        <w:tc>
          <w:tcPr>
            <w:tcW w:w="7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Total cost of revenues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7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Selling and administrative expenses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8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identifiable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7"/>
        </w:trPr>
        <w:tc>
          <w:tcPr>
            <w:tcW w:w="1260" w:type="dxa"/>
            <w:vAlign w:val="bottom"/>
          </w:tcPr>
          <w:p>
            <w:pPr>
              <w:ind w:left="40"/>
              <w:spacing w:after="0"/>
              <w:rPr>
                <w:sz w:val="20"/>
                <w:szCs w:val="20"/>
                <w:color w:val="auto"/>
              </w:rPr>
            </w:pPr>
            <w:r>
              <w:rPr>
                <w:rFonts w:ascii="Arial" w:cs="Arial" w:eastAsia="Arial" w:hAnsi="Arial"/>
                <w:sz w:val="16"/>
                <w:szCs w:val="16"/>
                <w:b w:val="1"/>
                <w:bCs w:val="1"/>
                <w:color w:val="auto"/>
              </w:rPr>
              <w:t>Operating loss</w:t>
            </w:r>
          </w:p>
        </w:tc>
        <w:tc>
          <w:tcPr>
            <w:tcW w:w="7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7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Loss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Loss from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7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Basic and diluted income (loss) per common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00"/>
              <w:spacing w:after="0"/>
              <w:rPr>
                <w:sz w:val="20"/>
                <w:szCs w:val="20"/>
                <w:color w:val="auto"/>
              </w:rPr>
            </w:pPr>
            <w:r>
              <w:rPr>
                <w:rFonts w:ascii="Arial" w:cs="Arial" w:eastAsia="Arial" w:hAnsi="Arial"/>
                <w:sz w:val="16"/>
                <w:szCs w:val="16"/>
                <w:color w:val="auto"/>
              </w:rPr>
              <w:t>Discontinued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7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 average shares outstanding, basic and diluted</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3"/>
                <w:szCs w:val="13"/>
                <w:color w:val="auto"/>
              </w:rPr>
            </w:pPr>
          </w:p>
        </w:tc>
        <w:tc>
          <w:tcPr>
            <w:tcW w:w="118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w w:val="93"/>
              </w:rPr>
              <w:t>September 27,</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60"/>
              <w:spacing w:after="0"/>
              <w:rPr>
                <w:sz w:val="20"/>
                <w:szCs w:val="20"/>
                <w:color w:val="auto"/>
              </w:rPr>
            </w:pPr>
            <w:r>
              <w:rPr>
                <w:rFonts w:ascii="Arial" w:cs="Arial" w:eastAsia="Arial" w:hAnsi="Arial"/>
                <w:sz w:val="16"/>
                <w:szCs w:val="16"/>
                <w:color w:val="auto"/>
              </w:rPr>
              <w:t>Change in unrealized gain (loss) on cash flow hedges</w:t>
            </w:r>
          </w:p>
        </w:tc>
        <w:tc>
          <w:tcPr>
            <w:tcW w:w="16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Reclassification adjustment for realized net gain (loss) 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5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cash flow hedges included in net loss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7"/>
        </w:trPr>
        <w:tc>
          <w:tcPr>
            <w:tcW w:w="8580" w:type="dxa"/>
            <w:vAlign w:val="bottom"/>
          </w:tcPr>
          <w:p>
            <w:pPr>
              <w:ind w:left="680"/>
              <w:spacing w:after="0"/>
              <w:rPr>
                <w:sz w:val="20"/>
                <w:szCs w:val="20"/>
                <w:color w:val="auto"/>
              </w:rPr>
            </w:pPr>
            <w:r>
              <w:rPr>
                <w:rFonts w:ascii="Arial" w:cs="Arial" w:eastAsia="Arial" w:hAnsi="Arial"/>
                <w:sz w:val="16"/>
                <w:szCs w:val="16"/>
                <w:color w:val="auto"/>
              </w:rPr>
              <w:t>Net change in unrealized gain or loss on cash flow hedges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 (loss)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8580" w:type="dxa"/>
            <w:vAlign w:val="bottom"/>
          </w:tcPr>
          <w:p>
            <w:pPr>
              <w:ind w:left="20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26,</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costs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service 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Restructuring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Commitments and Contingencies (Note 12)</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20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6"/>
              </w:rPr>
              <w:t>September 27,</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Amortization of identifiable intangible assets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Depreciation and amortization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Bad debt expenses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Charges for inventory and customer service inventory write-downs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Gain on disposition of the WiMAX business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Unbilled costs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Customer service inventories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Income taxes payable or receivable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Reserve for uncertain tax positions and deferred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Other assets and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of property, plant and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capital leases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by us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quarter ended September 26, 2014 (the “first quarter of fiscal 2015”)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27, 2014.</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financial statements include the accounts of the Company and its wholly-owned and majority 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quarter of fiscal 2015 and 2014 included 13 weeks in each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intangible assets, property, plant and equipment.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first quarter of fiscal 2015, as compared to the significant accounting policies described in our Annual Report on Form 10-K for the fiscal year ended June 27, 2014.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July 2013, the Financial Accounting Standards Board (“FASB”) issued an amendment to the accounting guidance on the presentation of an unrecognized tax benefit when a net operating loss carryforward, a similar tax loss, or tax credit carryforward exists. This new guidance requires entities, if certain criteria are met, to present an unrecognized tax benefit, or portion of an unrecognized tax benefit, in the financial statements as a reduction to a deferred tax asset for a net operating loss carryforward, a similar tax loss, or a tax credit carryforward when such items exist in the same taxing jurisdiction. We adopted this new guidance in the first quarter of fiscal 2015 and the adoption of this standard did not have an effect on our consolidated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beginning in our fiscal year 2018. Early application is not permitted.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consolidated financial position or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components of our accumulated other comprehensive loss during the first quarter of fiscal 2015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27,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cash flow hedges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September 26, 2014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As we incurred net loss in all periods presented, all potential dilutive securities from stock options, restricted stocks and units and performance shares and units have been excluded from the diluted net loss per share calculations, as their effect would have been anti-dilutive. The following table summarizes the potential weighted average shares of common stock outstanding that have been excluded from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diluted net loss per share calculations: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180" w:type="dxa"/>
            <w:vAlign w:val="bottom"/>
          </w:tcPr>
          <w:p>
            <w:pPr>
              <w:spacing w:after="0"/>
              <w:rPr>
                <w:sz w:val="13"/>
                <w:szCs w:val="13"/>
                <w:color w:val="auto"/>
              </w:rPr>
            </w:pPr>
          </w:p>
        </w:tc>
        <w:tc>
          <w:tcPr>
            <w:tcW w:w="11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stock awards and units and performance shares and units</w:t>
            </w:r>
          </w:p>
        </w:tc>
        <w:tc>
          <w:tcPr>
            <w:tcW w:w="16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i w:val="1"/>
                <w:iCs w:val="1"/>
                <w:color w:val="auto"/>
              </w:rPr>
              <w:t>Receivables, net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420"/>
              <w:spacing w:after="0"/>
              <w:rPr>
                <w:sz w:val="20"/>
                <w:szCs w:val="20"/>
                <w:color w:val="auto"/>
              </w:rPr>
            </w:pPr>
            <w:r>
              <w:rPr>
                <w:rFonts w:ascii="Arial" w:cs="Arial" w:eastAsia="Arial" w:hAnsi="Arial"/>
                <w:sz w:val="18"/>
                <w:szCs w:val="18"/>
                <w:color w:val="auto"/>
              </w:rPr>
              <w:t>Our receivables are summarized below:</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26,</w:t>
            </w:r>
          </w:p>
        </w:tc>
        <w:tc>
          <w:tcPr>
            <w:tcW w:w="180" w:type="dxa"/>
            <w:vAlign w:val="bottom"/>
          </w:tcPr>
          <w:p>
            <w:pPr>
              <w:spacing w:after="0"/>
              <w:rPr>
                <w:sz w:val="24"/>
                <w:szCs w:val="2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June 27,</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regularly require letters of credit from certain customers and we generally discount these letters of credit with various financial institutions. Under these arrangements, collection risk is fully transferred to the financial institutions. We record the cost of discounting these letters of credit as interest expense. Total customer letters of credit being discounted and related interest expense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3"/>
                <w:szCs w:val="13"/>
                <w:color w:val="auto"/>
              </w:rPr>
            </w:pPr>
          </w:p>
        </w:tc>
        <w:tc>
          <w:tcPr>
            <w:tcW w:w="120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1"/>
              </w:rPr>
              <w:t>September 27,</w:t>
            </w: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8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486"/>
        </w:trPr>
        <w:tc>
          <w:tcPr>
            <w:tcW w:w="85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858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24"/>
                <w:szCs w:val="24"/>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27,</w:t>
            </w: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5.3</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r>
      <w:tr>
        <w:trPr>
          <w:trHeight w:val="237"/>
        </w:trPr>
        <w:tc>
          <w:tcPr>
            <w:tcW w:w="85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38.1</w:t>
            </w:r>
          </w:p>
        </w:tc>
      </w:tr>
      <w:tr>
        <w:trPr>
          <w:trHeight w:val="67"/>
        </w:trPr>
        <w:tc>
          <w:tcPr>
            <w:tcW w:w="8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sales included within 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6.6</w:t>
            </w:r>
          </w:p>
        </w:tc>
      </w:tr>
    </w:tbl>
    <w:p>
      <w:pPr>
        <w:spacing w:after="0" w:line="229"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recorded charges to adjust our inventory and customer service inventory to the lower of cost or market. These charges were primarily due to excess and obsolete inventory resulting from product transitioning and discontinuance, or customer insolvency. During the first quarter of fiscal 2015 and 2014, such charges incurred were classified in cost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product sales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935"/>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w w:val="93"/>
              </w:rPr>
              <w:t>September 27,</w:t>
            </w:r>
          </w:p>
        </w:tc>
      </w:tr>
      <w:tr>
        <w:trPr>
          <w:trHeight w:val="192"/>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r>
      <w:tr>
        <w:trPr>
          <w:trHeight w:val="250"/>
        </w:trPr>
        <w:tc>
          <w:tcPr>
            <w:tcW w:w="8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gridSpan w:val="6"/>
          </w:tcPr>
          <w:p>
            <w:pPr>
              <w:jc w:val="right"/>
              <w:ind w:right="415"/>
              <w:spacing w:after="0"/>
              <w:rPr>
                <w:sz w:val="20"/>
                <w:szCs w:val="20"/>
                <w:color w:val="auto"/>
              </w:rPr>
            </w:pPr>
            <w:r>
              <w:rPr>
                <w:rFonts w:ascii="Arial" w:cs="Arial" w:eastAsia="Arial" w:hAnsi="Arial"/>
                <w:sz w:val="14"/>
                <w:szCs w:val="14"/>
                <w:b w:val="1"/>
                <w:bCs w:val="1"/>
                <w:color w:val="auto"/>
              </w:rPr>
              <w:t>(In millions, except percentages)</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and deferred cost of sales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1.3</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ind w:left="7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rPr>
              <w:t>0.4</w:t>
            </w: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2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Arial" w:cs="Arial" w:eastAsia="Arial" w:hAnsi="Arial"/>
                <w:sz w:val="18"/>
                <w:szCs w:val="18"/>
                <w:color w:val="auto"/>
                <w:w w:val="92"/>
              </w:rPr>
              <w:t>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w w:val="97"/>
              </w:rPr>
              <w:t>1.8%</w:t>
            </w:r>
          </w:p>
        </w:tc>
      </w:tr>
      <w:tr>
        <w:trPr>
          <w:trHeight w:val="486"/>
        </w:trPr>
        <w:tc>
          <w:tcPr>
            <w:tcW w:w="842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8420" w:type="dxa"/>
            <w:vAlign w:val="bottom"/>
          </w:tcPr>
          <w:p>
            <w:pPr>
              <w:ind w:left="440"/>
              <w:spacing w:after="0"/>
              <w:rPr>
                <w:sz w:val="20"/>
                <w:szCs w:val="20"/>
                <w:color w:val="auto"/>
              </w:rPr>
            </w:pPr>
            <w:r>
              <w:rPr>
                <w:rFonts w:ascii="Arial" w:cs="Arial" w:eastAsia="Arial" w:hAnsi="Arial"/>
                <w:sz w:val="18"/>
                <w:szCs w:val="18"/>
                <w:color w:val="auto"/>
              </w:rPr>
              <w:t>Our property, plant and equipment, net are summarized below:</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8"/>
        </w:trPr>
        <w:tc>
          <w:tcPr>
            <w:tcW w:w="8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27,</w:t>
            </w:r>
          </w:p>
        </w:tc>
      </w:tr>
      <w:tr>
        <w:trPr>
          <w:trHeight w:val="192"/>
        </w:trPr>
        <w:tc>
          <w:tcPr>
            <w:tcW w:w="8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196"/>
        </w:trPr>
        <w:tc>
          <w:tcPr>
            <w:tcW w:w="8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6"/>
          </w:tcPr>
          <w:p>
            <w:pPr>
              <w:jc w:val="right"/>
              <w:ind w:right="95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10.3</w:t>
            </w: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47.1</w:t>
            </w: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71.3</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26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27,</w:t>
            </w: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3"/>
          </w:tcPr>
          <w:p>
            <w:pPr>
              <w:ind w:left="900"/>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We accrue for the estimated cost to repair or replace products under warranty at the time of sale. Changes in our warranty liability, which are included as a component of other accrued expenses in the consolidated balance sheets, during the first quarter of fiscal 2015 and 2014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27,</w:t>
            </w: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w:t>
            </w: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ind w:right="220"/>
        <w:spacing w:after="0" w:line="277" w:lineRule="auto"/>
        <w:rPr>
          <w:sz w:val="20"/>
          <w:szCs w:val="20"/>
          <w:color w:val="auto"/>
        </w:rPr>
      </w:pPr>
      <w:r>
        <w:rPr>
          <w:rFonts w:ascii="Arial" w:cs="Arial" w:eastAsia="Arial" w:hAnsi="Arial"/>
          <w:sz w:val="18"/>
          <w:szCs w:val="18"/>
          <w:color w:val="auto"/>
        </w:rPr>
        <w:t>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1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September 26, 2014 and June 27, 2014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4"/>
                <w:szCs w:val="14"/>
                <w:b w:val="1"/>
                <w:bCs w:val="1"/>
                <w:color w:val="auto"/>
              </w:rPr>
              <w:t>September 26, 2014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June 27, 2014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Valuation Inputs</w:t>
            </w:r>
          </w:p>
        </w:tc>
      </w:tr>
      <w:tr>
        <w:trPr>
          <w:trHeight w:val="264"/>
        </w:trPr>
        <w:tc>
          <w:tcPr>
            <w:tcW w:w="5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bl>
    <w:p>
      <w:pPr>
        <w:spacing w:after="0" w:line="22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include shares in money market funds purchased from two major financial institutions. As of September 26, 2014 and June 27, 2014, these money market shares were valued at $1.00 net asset value per share by these financial institutions.</w:t>
      </w:r>
    </w:p>
    <w:p>
      <w:pPr>
        <w:spacing w:after="0" w:line="127"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w:t>
      </w:r>
    </w:p>
    <w:p>
      <w:pPr>
        <w:spacing w:after="0" w:line="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quarter of fiscal 2015 and 2014,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On March 28, 2014, we entered into a Second Amended and Restated Loan Agreement with Silicon Valley Bank (the "SVB Credit Facility"). This agreement amends and restates our existing First Amended and Restated Loan and Security Agreement, which was entered into on September 27, 2013 and amended on October 29, 2013, November 20, 2013 and February 10, 2014, respectively, providing for certain amendments to the maximum borrowing limit and financial covenants. On September 27, 2013, we repaid the remaining $1.7 million outstanding balance of the original $8.3 million two-year term loan that we borrowed on January 30, 2012. As of September 26, 2014, our outstanding debt under the SVB Credit Facility consisted of the $6.0 million borrowings that we advanced under a previous SVB credit facility in fiscal 2011.</w:t>
      </w:r>
    </w:p>
    <w:p>
      <w:pPr>
        <w:spacing w:after="0" w:line="138" w:lineRule="exact"/>
        <w:rPr>
          <w:sz w:val="20"/>
          <w:szCs w:val="20"/>
          <w:color w:val="auto"/>
        </w:rPr>
      </w:pPr>
    </w:p>
    <w:p>
      <w:pPr>
        <w:ind w:right="80" w:firstLine="432"/>
        <w:spacing w:after="0" w:line="303" w:lineRule="auto"/>
        <w:rPr>
          <w:sz w:val="20"/>
          <w:szCs w:val="20"/>
          <w:color w:val="auto"/>
        </w:rPr>
      </w:pPr>
      <w:r>
        <w:rPr>
          <w:rFonts w:ascii="Arial" w:cs="Arial" w:eastAsia="Arial" w:hAnsi="Arial"/>
          <w:sz w:val="16"/>
          <w:szCs w:val="16"/>
          <w:color w:val="auto"/>
        </w:rPr>
        <w:t xml:space="preserve">The SVB Credit Facility provides for a committed amount of up to $40.0 million, with a $30.0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We may prepay loans under the SVB Credit Facility in whole or in part at any time without premium or penalty. </w:t>
      </w:r>
      <w:r>
        <w:rPr>
          <w:rFonts w:ascii="Arial" w:cs="Arial" w:eastAsia="Arial" w:hAnsi="Arial"/>
          <w:sz w:val="17"/>
          <w:szCs w:val="17"/>
          <w:color w:val="auto"/>
        </w:rPr>
        <w:t>We currently do not expect to repay any</w:t>
      </w:r>
      <w:r>
        <w:rPr>
          <w:rFonts w:ascii="Arial" w:cs="Arial" w:eastAsia="Arial" w:hAnsi="Arial"/>
          <w:sz w:val="16"/>
          <w:szCs w:val="16"/>
          <w:color w:val="auto"/>
        </w:rPr>
        <w:t xml:space="preserve"> </w:t>
      </w:r>
      <w:r>
        <w:rPr>
          <w:rFonts w:ascii="Arial" w:cs="Arial" w:eastAsia="Arial" w:hAnsi="Arial"/>
          <w:sz w:val="17"/>
          <w:szCs w:val="17"/>
          <w:color w:val="auto"/>
        </w:rPr>
        <w:t xml:space="preserve">loans within the next 12 months. </w:t>
      </w:r>
      <w:r>
        <w:rPr>
          <w:rFonts w:ascii="Arial" w:cs="Arial" w:eastAsia="Arial" w:hAnsi="Arial"/>
          <w:sz w:val="16"/>
          <w:szCs w:val="16"/>
          <w:color w:val="auto"/>
        </w:rPr>
        <w:t>As of September 26, 2014, available credit under the SVB Credit Facility was $26.1 million reflecting the calculated</w:t>
      </w:r>
      <w:r>
        <w:rPr>
          <w:rFonts w:ascii="Arial" w:cs="Arial" w:eastAsia="Arial" w:hAnsi="Arial"/>
          <w:sz w:val="17"/>
          <w:szCs w:val="17"/>
          <w:color w:val="auto"/>
        </w:rPr>
        <w:t xml:space="preserve"> </w:t>
      </w:r>
      <w:r>
        <w:rPr>
          <w:rFonts w:ascii="Arial" w:cs="Arial" w:eastAsia="Arial" w:hAnsi="Arial"/>
          <w:sz w:val="16"/>
          <w:szCs w:val="16"/>
          <w:color w:val="auto"/>
        </w:rPr>
        <w:t>borrowing base of $38.0 million less existing borrowings of $6.0 million and outstanding letters of credit of $5.9 million.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ind w:right="20" w:firstLine="432"/>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quarter of fiscal 2015, the weighted average interest rate on our $6.0 million loan was 3.8%.</w:t>
      </w:r>
    </w:p>
    <w:p>
      <w:pPr>
        <w:spacing w:after="0" w:line="13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8"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As of September 26, 2014, we were in compliance with the quarterly financial covenants contained in the SVB Credit Facility. However, as a result of uncertainty on our ability to meet the financial covenants and the fact that the SVB Credit Facility contains subjective acceleration clauses that could be triggered by the lender, the $6.0 million borrowing was classified as a current liability as of September 26,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2014-2015 Plan</w:t>
      </w:r>
    </w:p>
    <w:p>
      <w:pPr>
        <w:spacing w:after="0" w:line="175"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downsizing of our Santa Clara, California headquarters.</w:t>
      </w:r>
    </w:p>
    <w:p>
      <w:pPr>
        <w:spacing w:after="0" w:line="11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first quarter of fiscal 2015, estimated additional costs to be incurred and estimated total costs expected to be incurred as of September 26, 2014 under the Fiscal 2014-2015 Plan:</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Costs Incurred</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Cumulative</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Estimated Additional</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1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During Quarter Ended</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3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2"/>
                <w:szCs w:val="12"/>
                <w:color w:val="auto"/>
              </w:rPr>
            </w:pPr>
          </w:p>
        </w:tc>
        <w:tc>
          <w:tcPr>
            <w:tcW w:w="13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26, 2014</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26, 2014</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Severance and benefits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120" w:type="dxa"/>
            <w:vAlign w:val="bottom"/>
          </w:tcPr>
          <w:p>
            <w:pPr>
              <w:ind w:left="700"/>
              <w:spacing w:after="0"/>
              <w:rPr>
                <w:sz w:val="20"/>
                <w:szCs w:val="20"/>
                <w:color w:val="auto"/>
              </w:rPr>
            </w:pPr>
            <w:r>
              <w:rPr>
                <w:rFonts w:ascii="Arial" w:cs="Arial" w:eastAsia="Arial" w:hAnsi="Arial"/>
                <w:sz w:val="18"/>
                <w:szCs w:val="18"/>
                <w:color w:val="auto"/>
              </w:rPr>
              <w:t>Facilities and other</w:t>
            </w: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 Fiscal 2014-2015 Plan</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During the first quarter of fiscal 2015, our severance and benefits charges under the Fiscal 2014-2015 Plan primarily related to reductions in force in Santa Clara, California, and several international locations. We intend to substantially complete the remaining restructuring activities under the Fiscal 2014-2015 Plan by the end of the second quarter of fiscal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2013-2014 Plan</w:t>
      </w:r>
    </w:p>
    <w:p>
      <w:pPr>
        <w:spacing w:after="0" w:line="17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to bring our cost structure in line with the changing business environment of the worldwide microwave radio and telecommunication markets, primarily in North America, Europe and Asia. Activities under the Fiscal 2013-2014 Plan include the downsizing of our Santa Clara, California headquarters and certain U.S. and international field offices, and reductions in force to reduce our operating expenses.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ind w:right="640"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first quarter of fiscal 2015 and 2014, estimated additional costs to be incurred and estimated total costs expected to be incurred as of September 26, 2014 under the Fiscal 2013-2014 Plan: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Costs Incurred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Cumulative</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Estimated Additional</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gridSpan w:val="3"/>
          </w:tcPr>
          <w:p>
            <w:pPr>
              <w:jc w:val="right"/>
              <w:ind w:right="116"/>
              <w:spacing w:after="0" w:line="149" w:lineRule="exact"/>
              <w:rPr>
                <w:sz w:val="20"/>
                <w:szCs w:val="20"/>
                <w:color w:val="auto"/>
              </w:rPr>
            </w:pPr>
            <w:r>
              <w:rPr>
                <w:rFonts w:ascii="Arial" w:cs="Arial" w:eastAsia="Arial" w:hAnsi="Arial"/>
                <w:sz w:val="14"/>
                <w:szCs w:val="14"/>
                <w:b w:val="1"/>
                <w:bCs w:val="1"/>
                <w:color w:val="auto"/>
              </w:rPr>
              <w:t>During Quarter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1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September 26, 2014</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September 27, 2013</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5"/>
              </w:rPr>
              <w:t>Through</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2"/>
                <w:szCs w:val="12"/>
                <w:color w:val="auto"/>
              </w:rPr>
            </w:pPr>
          </w:p>
        </w:tc>
        <w:tc>
          <w:tcPr>
            <w:tcW w:w="1340" w:type="dxa"/>
            <w:vAlign w:val="bottom"/>
          </w:tcPr>
          <w:p>
            <w:pPr>
              <w:jc w:val="center"/>
              <w:ind w:right="39"/>
              <w:spacing w:after="0" w:line="13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26, 2014</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78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4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2013-2014 Plan</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During the first quarter of fiscal 2015, we wrote off certain accrued outplacement service benefits under the Fiscal 2013-2014 Plan. Facilities and other charges in the first quarter of fiscal 2015 included obligations under a non-cancelable lease for facilities that we ceased to use at our Santa Clara, California headquarters and certain U.S. and international field offices. We have completed a majority of the remaining restructuring activities in fiscal 2014. As of September 26, 2014, the remaining additional costs to be incurred under the Fiscal 2013-2014 Plan were related to our facility charges through the remaining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restructuring liabilities consisted primarily of accrued severance and benefits as well as facilities restructuring reserves related to our office leases in California and North Carolina. The information in the following table summarizes the changes in our restructuring liabilities during the first quarter of fiscal 2015: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Severance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Facilities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liabilities as of June 27,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Provision and adjustments</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liabilities as of September 26,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liabilities as of September 26, 2014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Long-term portion included in other long-term liabilities as of September 26, 2014</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w:t>
      </w:r>
    </w:p>
    <w:p>
      <w:pPr>
        <w:spacing w:after="0" w:line="17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As of September 26, 2014, we received $0.1 million of such contingent payments and do not expect any further payments from EION. EION is entitled to receive cash payments up to $2.0 million upon collection of certain WiMAX accounts receivable. As of September 26, 2014, we have paid $1.6 million to EION and reduced $0.4 million of our liability to EION primarily resulting from the write-down of the corresponding WiMAX accounts receivable. As of September 26, 2014 and June 27, 2014, our accrued liabilities related to the disposition of the WiMAX business were zero and $0.1 million, respectively, and we do not expect to make any future payments to EION.</w:t>
      </w:r>
    </w:p>
    <w:p>
      <w:pPr>
        <w:spacing w:after="0" w:line="1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were included in discontinued operations in our condensed consolidated financial statements for all periods presented. The income recognized in the first quarter of fiscal 2015 was primarily due to the recovery of certain WiMAX customer receivables that was previously written down and a gain on disposition of WiMAX resulting from an adjustment on accrued liabilities to EION.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26, 2014</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27, 2013</w:t>
            </w:r>
          </w:p>
        </w:tc>
      </w:tr>
      <w:tr>
        <w:trPr>
          <w:trHeight w:val="196"/>
        </w:trPr>
        <w:tc>
          <w:tcPr>
            <w:tcW w:w="8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7"/>
                <w:szCs w:val="17"/>
                <w:color w:val="auto"/>
              </w:rPr>
            </w:pPr>
          </w:p>
        </w:tc>
      </w:tr>
      <w:tr>
        <w:trPr>
          <w:trHeight w:val="27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from operations related to WiMAX</w:t>
            </w:r>
          </w:p>
        </w:tc>
        <w:tc>
          <w:tcPr>
            <w:tcW w:w="54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disposal</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5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Equity Plan and Activities</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of September 26, 2014,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3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three vesting schedules: (1) 50% one year from the grant date and 25% each year thereafter over a three-year period from the date of grant; (2) one-third annually over a three-year period from the date of grant; or (3) one-fourth annually over a four-year period from date of grant. Stock options are issued to directors annually and generally vest on the day before the annual shareholders' meeting.</w:t>
      </w:r>
    </w:p>
    <w:p>
      <w:pPr>
        <w:spacing w:after="0" w:line="11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on the day before the annual shareholders' meeting.</w:t>
      </w:r>
    </w:p>
    <w:p>
      <w:pPr>
        <w:spacing w:after="0" w:line="93"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first quarter of fiscal 2015, we granted options to purchase 216,787 shares of our common stock to employees under our 2007 Stock Plan.</w:t>
      </w:r>
    </w:p>
    <w:p>
      <w:pPr>
        <w:spacing w:after="0" w:line="19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3,782,401 as of September 26,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Total compensation expense for share-based awards included in our condensed consolidated statements of operations for the first quarter of fiscal 2015 and 2014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2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6"/>
              </w:rPr>
              <w:t>September 27,</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02"/>
        </w:trPr>
        <w:tc>
          <w:tcPr>
            <w:tcW w:w="85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5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September 26, 2014, there was $2.1 million of total unrecognized compensation expense related to nonvested share-based awards granted under our 2007 Stock Plan. This expense is expected to be recognized over a weighted average period of 1.63 years.</w:t>
      </w:r>
    </w:p>
    <w:p>
      <w:pPr>
        <w:spacing w:after="0" w:line="17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3"/>
                <w:szCs w:val="13"/>
                <w:color w:val="auto"/>
              </w:rPr>
            </w:pPr>
          </w:p>
        </w:tc>
        <w:tc>
          <w:tcPr>
            <w:tcW w:w="126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r>
      <w:tr>
        <w:trPr>
          <w:trHeight w:val="192"/>
        </w:trPr>
        <w:tc>
          <w:tcPr>
            <w:tcW w:w="8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2013</w:t>
            </w: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9"/>
              </w:rPr>
              <w:t>—%</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w w:val="93"/>
              </w:rPr>
              <w:t>53.3%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ind w:left="760"/>
              <w:spacing w:after="0"/>
              <w:rPr>
                <w:sz w:val="20"/>
                <w:szCs w:val="20"/>
                <w:color w:val="auto"/>
              </w:rPr>
            </w:pPr>
            <w:r>
              <w:rPr>
                <w:rFonts w:ascii="Arial" w:cs="Arial" w:eastAsia="Arial" w:hAnsi="Arial"/>
                <w:sz w:val="18"/>
                <w:szCs w:val="18"/>
                <w:color w:val="auto"/>
                <w:w w:val="93"/>
              </w:rPr>
              <w:t>54.5%</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3"/>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3"/>
              </w:rPr>
              <w:t>1.28%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ind w:left="760"/>
              <w:spacing w:after="0"/>
              <w:rPr>
                <w:sz w:val="20"/>
                <w:szCs w:val="20"/>
                <w:color w:val="auto"/>
              </w:rPr>
            </w:pPr>
            <w:r>
              <w:rPr>
                <w:rFonts w:ascii="Arial" w:cs="Arial" w:eastAsia="Arial" w:hAnsi="Arial"/>
                <w:sz w:val="18"/>
                <w:szCs w:val="18"/>
                <w:color w:val="auto"/>
              </w:rPr>
              <w:t>4.49</w:t>
            </w:r>
          </w:p>
        </w:tc>
      </w:tr>
      <w:tr>
        <w:trPr>
          <w:trHeight w:val="27"/>
        </w:trPr>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1.18</w:t>
            </w:r>
          </w:p>
        </w:tc>
      </w:tr>
      <w:tr>
        <w:trPr>
          <w:trHeight w:val="27"/>
        </w:trPr>
        <w:tc>
          <w:tcPr>
            <w:tcW w:w="8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 (the “CODM”).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5" w:name="page16"/>
    <w:bookmarkEnd w:id="15"/>
    <w:p>
      <w:pPr>
        <w:ind w:right="20" w:firstLine="405"/>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first quarter of fiscal 2015 and 2014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2014</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2013</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52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7"/>
        </w:trPr>
        <w:tc>
          <w:tcPr>
            <w:tcW w:w="8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85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r>
      <w:tr>
        <w:trPr>
          <w:trHeight w:val="20"/>
        </w:trPr>
        <w:tc>
          <w:tcPr>
            <w:tcW w:w="8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the first quarter of fiscal 2015 and 2014, we had one international customer in Africa (Mobile Telephone Networks Group or "MTN Group") that accounted for more than 10% of our total revenue. MTN Group also accounted for more than 10% of our accounts receivable at September 26, 2014 and June 27,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During interim periods, we accrue tax expenses for foreign jurisdictions that are anticipated to be profitable for fiscal 2015.</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determination of our provision for the first quarter of fiscal 2015 and 2014 was based on our estimated annual effective tax rate adjusted for losses in certain jurisdictions for which no tax benefit can be recognized. The tax expense for the first quarter of fiscal 2015 was primarily attributable to tax expense related to profitable foreign subsidiaries.</w:t>
      </w:r>
    </w:p>
    <w:p>
      <w:pPr>
        <w:spacing w:after="0" w:line="12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2011.</w:t>
      </w:r>
    </w:p>
    <w:p>
      <w:pPr>
        <w:spacing w:after="0" w:line="12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During the first quarter of fiscal 2015 and 2014, we accrued $0.0 million and $0.1 million of additional interest,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September 26, 2014, future minimum lease payments for our headquarters total $14.5 million through April 2020. As of September 26, 2014, approximately three-fourths of our Santa Clara headquarters building was vacated and available for sublease.</w:t>
      </w:r>
    </w:p>
    <w:p>
      <w:pPr>
        <w:spacing w:after="0" w:line="13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September 26, 2014, our future minimum lease payments under all non-cancelable operating leases with an initial lease term in excess of one year were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(three quarters remaining)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 (through April 2020)</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was $0.2 million as of September 26,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Quarter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26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27,</w:t>
            </w: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3"/>
          </w:tcPr>
          <w:p>
            <w:pPr>
              <w:ind w:left="900"/>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w:t>
            </w:r>
          </w:p>
        </w:tc>
      </w:tr>
      <w:tr>
        <w:trPr>
          <w:trHeight w:val="27"/>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September 26, 2014, we had outstanding purchase obligations with our suppliers or contract manufacturers of $36.7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90"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September 26, 2014, we had no guarantees applicable to our debt arrangements.</w:t>
      </w:r>
    </w:p>
    <w:p>
      <w:pPr>
        <w:spacing w:after="0" w:line="3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26, 2014, we had commercial commitments of $48.0 million outstanding that were not recorded in our condensed consolidated balance sheets. We do not believe, based on historical experience and information currently available, that it is probable that any amounts will be required to be paid on the performance guarantees.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September 26, 2014,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38" w:right="23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September 26, 2014, we had not recorded any liabilities related to these indemnifications.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From time to time, we may be involved in various legal claims and litigation that arise in the normal course of our operations. 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w:t>
      </w:r>
    </w:p>
    <w:p>
      <w:pPr>
        <w:spacing w:after="0" w:line="117"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w:t>
      </w:r>
    </w:p>
    <w:p>
      <w:pPr>
        <w:spacing w:after="0" w:line="11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ind w:right="120"/>
        <w:spacing w:after="0" w:line="259" w:lineRule="auto"/>
        <w:rPr>
          <w:sz w:val="20"/>
          <w:szCs w:val="20"/>
          <w:color w:val="auto"/>
        </w:rPr>
      </w:pPr>
      <w:r>
        <w:rPr>
          <w:rFonts w:ascii="Arial" w:cs="Arial" w:eastAsia="Arial" w:hAnsi="Arial"/>
          <w:sz w:val="18"/>
          <w:szCs w:val="18"/>
          <w:color w:val="auto"/>
        </w:rPr>
        <w:t>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material weaknesses identified in our system of internal control and associated remediation efforts and investments and actions needed to remedy those material weaknesses;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right="6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2014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Business; Operating Environment and Key Factors Impacting Fiscal 2014 and 2015 Results</w:t>
      </w:r>
    </w:p>
    <w:p>
      <w:pPr>
        <w:spacing w:after="0" w:line="17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19" w:name="page20"/>
    <w:bookmarkEnd w:id="19"/>
    <w:p>
      <w:pPr>
        <w:ind w:right="200"/>
        <w:spacing w:after="0" w:line="277" w:lineRule="auto"/>
        <w:rPr>
          <w:sz w:val="20"/>
          <w:szCs w:val="20"/>
          <w:color w:val="auto"/>
        </w:rPr>
      </w:pPr>
      <w:r>
        <w:rPr>
          <w:rFonts w:ascii="Arial" w:cs="Arial" w:eastAsia="Arial" w:hAnsi="Arial"/>
          <w:sz w:val="18"/>
          <w:szCs w:val="18"/>
          <w:color w:val="auto"/>
        </w:rPr>
        <w:t>with, our consolidated financial statements and the accompanying notes. In the discussion below, our fiscal year ending July 3, 2015 is referred to as “fiscal 2015” or “2015” and fiscal year ended June 27, 2014 as “fiscal 2014” or “2014”.</w:t>
      </w:r>
    </w:p>
    <w:p>
      <w:pPr>
        <w:spacing w:after="0" w:line="116"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40" w:firstLine="432"/>
        <w:spacing w:after="0" w:line="302" w:lineRule="auto"/>
        <w:rPr>
          <w:sz w:val="20"/>
          <w:szCs w:val="20"/>
          <w:color w:val="auto"/>
        </w:rPr>
      </w:pPr>
      <w:r>
        <w:rPr>
          <w:rFonts w:ascii="Arial" w:cs="Arial" w:eastAsia="Arial" w:hAnsi="Arial"/>
          <w:sz w:val="16"/>
          <w:szCs w:val="16"/>
          <w:color w:val="auto"/>
        </w:rPr>
        <w:t>Our strategic focus in fiscal 2015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During fiscal 2015,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283"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2014 Annual Report on Form 10-K, a number of factors could prevent us from achieving our objectives, including ongoing pricing pressures attributable to competition and macroeconomic conditions in the geographic markets that we service.</w:t>
      </w:r>
    </w:p>
    <w:p>
      <w:pPr>
        <w:spacing w:after="0" w:line="1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announced a new restructuring plan (the “Fiscal 2014-2015 Plan”). Our restructuring expenses incurred during the first quarter of fiscal 2015 primarily related to this plan and we intend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ind w:right="80"/>
        <w:spacing w:after="0" w:line="277" w:lineRule="auto"/>
        <w:rPr>
          <w:sz w:val="20"/>
          <w:szCs w:val="20"/>
          <w:color w:val="auto"/>
        </w:rPr>
      </w:pPr>
      <w:r>
        <w:rPr>
          <w:rFonts w:ascii="Arial" w:cs="Arial" w:eastAsia="Arial" w:hAnsi="Arial"/>
          <w:sz w:val="18"/>
          <w:szCs w:val="18"/>
          <w:color w:val="auto"/>
        </w:rPr>
        <w:t>complete a majority of the remaining restructuring activities under the current plans by the end of second quarter of fiscal 2015. See “Restructuring Charges” below.</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manage our sales activities primarily on a geographic basis in North America and three international geographic regions: (1) Africa and Middle East,</w:t>
      </w:r>
    </w:p>
    <w:p>
      <w:pPr>
        <w:spacing w:after="0" w:line="46" w:lineRule="exact"/>
        <w:rPr>
          <w:sz w:val="20"/>
          <w:szCs w:val="20"/>
          <w:color w:val="auto"/>
        </w:rPr>
      </w:pPr>
    </w:p>
    <w:p>
      <w:pPr>
        <w:ind w:right="30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 and Russia, and (3) Latin America and Asia Pacific. Revenue by region for the first quarter of fiscal 2015 and 2014 and the related changes are shown in the table below: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26, 2014</w:t>
            </w:r>
          </w:p>
        </w:tc>
        <w:tc>
          <w:tcPr>
            <w:tcW w:w="120" w:type="dxa"/>
            <w:vAlign w:val="bottom"/>
            <w:vMerge w:val="restart"/>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27, 2013</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4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revenue in North America increased $4.9 million, or 14.5%, during the first quarter of fiscal 2015 compared with the same quarter of fiscal 2014. While revenue from wireless operator customers increased slightly, the majority of the increase in the first quarter of fiscal 2015 came from government and utility markets.</w:t>
      </w:r>
    </w:p>
    <w:p>
      <w:pPr>
        <w:spacing w:after="0" w:line="127"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Our revenue in Africa and Middle East was down $12.4 million, or 33.5%, for the first quarter of fiscal 2015 compared with the same quarter of fiscal 2014. The majority of this decrease was from our business in Africa, where our customers continued to closely manage their capital spending.</w:t>
      </w:r>
    </w:p>
    <w:p>
      <w:pPr>
        <w:spacing w:after="0" w:line="9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Revenue in Europe and Russia decreased $0.4 million, or 4.7%, for the first quarter of fiscal 2015 compared with the same quarter of fiscal 2014. This increase came from normal variances in purchase patterns with our larger customers in the sector.</w:t>
      </w:r>
    </w:p>
    <w:p>
      <w:pPr>
        <w:spacing w:after="0" w:line="11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Revenue in Latin America and Asia Pacific decreased $3.1 million, or 22.0%, during the first quarter of fiscal 2015 compared with the same quarter in fiscal 2014. The decrease was primarily due to fewer deliveries to customers in Latin America in the first quarter of fiscal 2015, while our business in Asia Pacific was slightly up.</w:t>
      </w:r>
    </w:p>
    <w:p>
      <w:pPr>
        <w:spacing w:after="0" w:line="12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revenue from product sales was down by $7.6 million, or 12.0%, for the first quarter of fiscal 2015 compared with the same quarter in fiscal 2014. The decrease came primarily from weaker sales in Africa and Latin America, offset in part by stronger product sales in North America and Asia. Our services revenue was down by $3.4 million, or 11.4%, during the first quarter of fiscal 2015 compared with the same quarter of fiscal 2014, due to reduced service activities in North America.</w:t>
      </w:r>
    </w:p>
    <w:p>
      <w:pPr>
        <w:spacing w:after="0" w:line="133"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During the first quarter of fiscal 2015 and 2014, the MTN Group in Africa accounted for more than 10% of our total revenue. We have entered into separate and distinct contracts with MTN Group as well as separate arrangements with various MTN Group subsidiaries. The loss of all business from the MTN Group could adversely affect our results of operations, cash flows and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6"/>
              </w:rPr>
              <w:t>Quarter Ended</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4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September 26, 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September 27, 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38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w w:val="93"/>
              </w:rPr>
              <w:t>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820"/>
              <w:spacing w:after="0"/>
              <w:rPr>
                <w:sz w:val="20"/>
                <w:szCs w:val="20"/>
                <w:color w:val="auto"/>
              </w:rPr>
            </w:pPr>
            <w:r>
              <w:rPr>
                <w:rFonts w:ascii="Arial" w:cs="Arial" w:eastAsia="Arial" w:hAnsi="Arial"/>
                <w:sz w:val="18"/>
                <w:szCs w:val="18"/>
                <w:color w:val="auto"/>
                <w:w w:val="93"/>
              </w:rPr>
              <w:t>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86"/>
        </w:trPr>
        <w:tc>
          <w:tcPr>
            <w:tcW w:w="3820" w:type="dxa"/>
            <w:vAlign w:val="bottom"/>
          </w:tcPr>
          <w:p>
            <w:pPr>
              <w:spacing w:after="0"/>
              <w:rPr>
                <w:sz w:val="24"/>
                <w:szCs w:val="24"/>
                <w:color w:val="auto"/>
              </w:rPr>
            </w:pPr>
          </w:p>
        </w:tc>
        <w:tc>
          <w:tcPr>
            <w:tcW w:w="246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ind w:right="80" w:firstLine="432"/>
        <w:spacing w:after="0" w:line="255" w:lineRule="auto"/>
        <w:rPr>
          <w:sz w:val="20"/>
          <w:szCs w:val="20"/>
          <w:color w:val="auto"/>
        </w:rPr>
      </w:pPr>
      <w:r>
        <w:rPr>
          <w:rFonts w:ascii="Arial" w:cs="Arial" w:eastAsia="Arial" w:hAnsi="Arial"/>
          <w:sz w:val="18"/>
          <w:szCs w:val="18"/>
          <w:color w:val="auto"/>
        </w:rPr>
        <w:t>Gross margin for the first quarter of fiscal 2015 was lower by $1.3 million, or 5.6%, compared with the same quarter of fiscal 2014. Most of the gross margin decrease came from lower sales volume in the quarter, primarily in Africa and Middle East and Latin America. These decreases were offset in part by an increase in North America margins. Gross margin as a percentage of revenue increased in the first quarter of fiscal 2015 compared with the same quarter of fiscal 2014, primarily due to higher product and service gross margin rates in North America, offset in part by lower profitability in other regions, and reduced supply chain costs compared to the previous year period. Much of these gross margin rate variances were driven by changes in the mix of products and services delivered.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8"/>
              </w:rPr>
              <w:t>Quarter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26, 2014</w:t>
            </w:r>
          </w:p>
        </w:tc>
        <w:tc>
          <w:tcPr>
            <w:tcW w:w="12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27, 2013</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21"/>
                <w:szCs w:val="21"/>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w w:val="97"/>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research and development (“R&amp;D”) expenses decreased $3.1 million, or 32.0%, in the first quarter of fiscal 2015 compared with the same quarter in fiscal 2014, primarily due to a $1.8 million reduction in personnel and related expenses, a $0.6 million decrease in new product development costs, a $0.4 million decrease in facility expense due to restructuring of R&amp;D in Santa Clara, California, and a $0.2 million decrease in share-based compensation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98"/>
              </w:rPr>
              <w:t>Quarter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26, 2014</w:t>
            </w:r>
          </w:p>
        </w:tc>
        <w:tc>
          <w:tcPr>
            <w:tcW w:w="1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27, 2013</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Arial" w:cs="Arial" w:eastAsia="Arial" w:hAnsi="Arial"/>
                <w:sz w:val="18"/>
                <w:szCs w:val="18"/>
                <w:color w:val="auto"/>
                <w:w w:val="97"/>
              </w:rPr>
              <w:t>23.3%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ind w:left="800"/>
              <w:spacing w:after="0"/>
              <w:rPr>
                <w:sz w:val="20"/>
                <w:szCs w:val="20"/>
                <w:color w:val="auto"/>
              </w:rPr>
            </w:pPr>
            <w:r>
              <w:rPr>
                <w:rFonts w:ascii="Arial" w:cs="Arial" w:eastAsia="Arial" w:hAnsi="Arial"/>
                <w:sz w:val="18"/>
                <w:szCs w:val="18"/>
                <w:color w:val="auto"/>
                <w:w w:val="97"/>
              </w:rPr>
              <w:t>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7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selling and administrative expenses declined $3.0 million, or 13.5%, in the first quarter of fiscal 2015 compared with the same period in fiscal 2014. The decrease for the first quarter of fiscal 2015 compared with the same quarter in fiscal 2014 was primarily due to a $2.2 million decrease in personnel and related expenses, a $0.7 million decrease in share-based compensation expenses resulting from employee terminations and full vesting of stock awards in prior periods, and a $0.5 million decrease in sales incentive compensation partially offset by a $0.3 million increase in amortization expense of our enterprise resource planning software, and $0.7 million increase in professional fees associated with the annual audit and quarterly review of our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initiated the Fiscal 2014-2015 Plan to reduce our operating costs, primarily in North America, Europe and Asia. Activities under the Fiscal 2014-2015 Plan primarily related to reductions in force.</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fourth quarter of fiscal 2013, we initiated the Fiscal 2013-2014 Plan that was intended to bring our cost structure in line with the changing business environment of the worldwide microwave radio and telecommunication markets, primarily in North America, Europe and Asia. Activities under the Fiscal 2013-2014 Plan included the downsizing of our Santa Clara, California headquarters and certain international field offices, and reductions in force to reduce our operating expenses.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by plan for first quarter of fiscal 2015 and 2014 are summarized in the table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By Plan:</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2014-2015 Plan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Fiscal 2013-2014 Plan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restructuring expenses consisted primarily of severance and related benefit charges and facilities costs related to obligations under non-cancelable leases for facilities that we ceased to use. Restructuring charges for the first quarter of fiscal 2015 included a $1.3 million facilities charge related to ceasing to use a portion of our Santa Clara headquarters building and a $0.2 million employee termination charge. We have substantially completed our activities under the Fiscal 2013-2014 Plan and intend to complete a majority of the remaining restructuring activities under the Fiscal 2014-2015 Plan by the end of the second quarter of fiscal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3"/>
                <w:szCs w:val="13"/>
                <w:color w:val="auto"/>
              </w:rPr>
            </w:pPr>
          </w:p>
        </w:tc>
        <w:tc>
          <w:tcPr>
            <w:tcW w:w="120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w w:val="96"/>
              </w:rPr>
              <w:t>September 27,</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was primarily related to interest associated with borrowings, term loan and letters of credit under the SVB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September 26, 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September 27, 2013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 Change</w:t>
            </w: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0.1</w:t>
            </w:r>
          </w:p>
        </w:tc>
      </w:tr>
      <w:tr>
        <w:trPr>
          <w:trHeight w:val="27"/>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loss from continuing operations before income taxes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7"/>
        </w:trPr>
        <w:tc>
          <w:tcPr>
            <w:tcW w:w="7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estimate our annual effective rate at the end of each quarterly period, and we record the tax effect of certain discrete items in the interim period in which they occur, including changes in judgment about uncertain tax positions and deferred tax valuation allowances. The determination of the effective tax rate reflects tax expense and benefit generated in certain foreign jurisdictions. However, jurisdictions with a year-to-date loss where no tax benefit can be recognized are excluded from the annual effective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September 26, 2014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27, 2013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1"/>
              </w:rPr>
              <w:t>$ Change</w:t>
            </w: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8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r>
      <w:tr>
        <w:trPr>
          <w:trHeight w:val="27"/>
        </w:trPr>
        <w:tc>
          <w:tcPr>
            <w:tcW w:w="75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discontinued operations consist of the WiMAX business, which was sold to EION on September 2, 2011. We completed the business transition with EION in fiscal 2012. The income recognized in the first quarter of fiscal 2015 was primarily due to the recovery of certain WiMAX customer receivables that were previously written down and a $0.1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00" w:right="239" w:bottom="1440" w:gutter="0" w:footer="0" w:header="0"/>
        </w:sectPr>
      </w:pPr>
    </w:p>
    <w:bookmarkStart w:id="23" w:name="page24"/>
    <w:bookmarkEnd w:id="23"/>
    <w:p>
      <w:pPr>
        <w:ind w:right="640"/>
        <w:spacing w:after="0" w:line="277" w:lineRule="auto"/>
        <w:rPr>
          <w:sz w:val="20"/>
          <w:szCs w:val="20"/>
          <w:color w:val="auto"/>
        </w:rPr>
      </w:pPr>
      <w:r>
        <w:rPr>
          <w:rFonts w:ascii="Arial" w:cs="Arial" w:eastAsia="Arial" w:hAnsi="Arial"/>
          <w:sz w:val="18"/>
          <w:szCs w:val="18"/>
          <w:color w:val="auto"/>
        </w:rPr>
        <w:t>million write-off of accrued liabilities due to EION. The income recognized in the first quarter of fiscal 2014 was primarily due to recovery of certain WiMAX deferred cost of sales that was previously written down.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As of September 26, 2014, our total cash and cash equivalents were $42.4 million. Approximately $7.4 million, or 18% of our total cash and cash equivalents, was held by entities domiciled in the United States. The remaining balance of $35.0 million, or 83%, was held by entities outside the United States. Of the amount of cash and cash equivalents held by our foreign subsidiaries at September 26, 2014, $24.3 million was held in jurisdictions where our undistributed earnings are indefinitely reinvested and would be subject to U.S. taxes if repatriated.</w:t>
      </w:r>
    </w:p>
    <w:p>
      <w:pPr>
        <w:spacing w:after="0" w:line="133"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As of September 26, 2014, our principal sources of liquidity consisted of the $42.4 million in cash and cash equivalents, $26.1 million of available credit under our $40.0 million SVB Credit Facility, and future collections of receivables from customers. As of September 26, 2014, we were in compliance with the financial covenants contained in the SVB Credit Facility.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quarter of fiscal 2015, our total cash and cash equivalents decreased by $6.4 million primarily due to $1.2 million of cash being used for capital expenditures and $4.7 million of cash used in operating activities.</w:t>
      </w:r>
    </w:p>
    <w:p>
      <w:pPr>
        <w:spacing w:after="0" w:line="12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Cash used in operating activities was $4.7 million in the first quarter of fiscal 2015, primarily due to our net loss of $5.7 million, adjusted by non-cash expense items of $4.5 million, increases in inventories of $6.7 million and accounts receivables of $7.4 million, partially offset by increases in accounts payable and accrued expenses of $3.1 million and in customer advance payments and unearned income of $8.2 million. The increase in inventories was primarily due to higher deferred cost of sales associated with higher unearned income and the timing of customer shipments. The increase in accounts receivable was due to the billings during the first quarter of fiscal 2015 exceeding collections, including higher billings associated with higher unearned income. The increases in accounts payable and accrued expenses were primarily due to the timing of payments to our contract manufacturers and suppliers for inventory purchases. The increase in customer advance payments and unearned income was due to the timing of revenue recognition on several large contracts and a large advanced payment from a customer in the first quarter of 2015. We used $1.4 million in cash during the first quarter of fiscal 2015 on expenses related to restructuring liabilities.</w:t>
      </w:r>
    </w:p>
    <w:p>
      <w:pPr>
        <w:spacing w:after="0" w:line="143"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During the remainder of fiscal year 2015, we expect to spend approximately $5.1 million for capital expenditures, primarily on equipment for development of new products and to support customer managed services.</w:t>
      </w:r>
    </w:p>
    <w:p>
      <w:pPr>
        <w:spacing w:after="0" w:line="11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the next 12 months and the foreseeable future. There can be no assurance, however, that our business will generate cash flow, we will be in compliance with the quarterly financial covenants contained in the SVB Credit Facility, or that anticipated operational improvements will be achieved. If we are not in compliance with the financial covenants, the availability of our credit facility is not certain or may be diminished.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On March 28, 2014, we entered into the SVB Credit Facility. This agreement amends and restates our existing First Amended and Restated Loan and Security Agreement, which was entered into on September 27, 2013 and amended on October 29, 2013, November 20, 2013 and February 10, 2014, respectively, providing for certain amendments to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t>maximum borrowing limit and financial covenants. On September 27, 2013, we repaid the remaining $1.7 million outstanding balance of the original $8.3 million two-year term loan that we borrowed on January 30, 2012. As of September 26, 2014, our outstanding debt under the SVB Credit Facility consisted of the $6.0 million borrowings that we advanced under a previous SVB credit facility in fiscal 2011.</w:t>
      </w:r>
    </w:p>
    <w:p>
      <w:pPr>
        <w:spacing w:after="0" w:line="127"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SVB Credit Facility provides for a committed amount of up to $40.0 million, with a $30.0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We may prepay loans under the SVB Credit Facility in whole or in part at any time without premium or penalty. We currently do not expect to repay any loans within the next 12 months. As of September 26, 2014, available credit under the SVB Credit Facility was $26.1 million reflecting the calculated borrowing base of $38.0 million less existing borrowings of $6.0 million and outstanding letters of credit of $5.9 million.</w:t>
      </w:r>
    </w:p>
    <w:p>
      <w:pPr>
        <w:spacing w:after="0" w:line="11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quarter of fiscal 2015, the weighted average interest rate on our $6.0 million loan was 3.8%.</w:t>
      </w:r>
    </w:p>
    <w:p>
      <w:pPr>
        <w:spacing w:after="0" w:line="13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8"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As of September 26, 2014, we were in compliance with the quarterly financial covenants contained in the SVB Credit Facility. However, as a result of uncertainty on our ability to meet the financial covenants and the fact that the SVB Credit Facility contains subjective acceleration clauses that could be triggered by the lender, the $6.0 million borrowing was classified as a current liability as of September 26,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We have liabilities for restructuring activities totaling $5.3 million as of September 26, 2014, $2.5 million of which is classified as current liability and expected to be paid out in cash over the next 12 months. We expect to fund these future payments with available cash and cash provided by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amounts disclosed in our fiscal 2014 Annual Report on Form 10-K include our commercial commitments and contractual obligations. During the first quarter of fiscal 2015, no material changes occurred in our contractual obligations to repay debt, to purchase goods and services and to make payments under operating leases or our commercial commitments and contingent liabilities on outstanding letters of credit, guarantees and other arrangements as disclosed in our fiscal 2014 Annual Report on Form 10-K. Please refer to Note 12, "Commitments and Contingencies"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ind w:right="120"/>
        <w:spacing w:after="0" w:line="286" w:lineRule="auto"/>
        <w:rPr>
          <w:sz w:val="20"/>
          <w:szCs w:val="20"/>
          <w:color w:val="auto"/>
        </w:rPr>
      </w:pPr>
      <w:r>
        <w:rPr>
          <w:rFonts w:ascii="Arial" w:cs="Arial" w:eastAsia="Arial" w:hAnsi="Arial"/>
          <w:sz w:val="17"/>
          <w:szCs w:val="17"/>
          <w:color w:val="auto"/>
        </w:rPr>
        <w:t>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 Please refer to Note 12, "Commitments and Contingencies"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2014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As of September 26, 2014, we had foreign currency forward contracts outstanding with a total notional amount of $23.2 million consisting of 11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different currencies. The following is a summary of the gross notional amount of our outstanding contracts grouped by the underlying foreign currency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160" w:type="dxa"/>
            <w:vAlign w:val="bottom"/>
          </w:tcPr>
          <w:p>
            <w:pPr>
              <w:jc w:val="center"/>
              <w:ind w:right="355"/>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ind w:right="355"/>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4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2"/>
                <w:szCs w:val="12"/>
                <w:color w:val="auto"/>
              </w:rPr>
            </w:pPr>
          </w:p>
        </w:tc>
        <w:tc>
          <w:tcPr>
            <w:tcW w:w="1160" w:type="dxa"/>
            <w:vAlign w:val="bottom"/>
          </w:tcPr>
          <w:p>
            <w:pPr>
              <w:jc w:val="center"/>
              <w:ind w:right="335"/>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7"/>
              </w:rPr>
              <w:t>(Local Currency)</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5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5420" w:type="dxa"/>
            <w:vAlign w:val="bottom"/>
            <w:gridSpan w:val="3"/>
          </w:tcPr>
          <w:p>
            <w:pPr>
              <w:jc w:val="right"/>
              <w:ind w:right="124"/>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5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7.7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Indian rupee</w:t>
            </w:r>
          </w:p>
        </w:tc>
        <w:tc>
          <w:tcPr>
            <w:tcW w:w="5420" w:type="dxa"/>
            <w:vAlign w:val="bottom"/>
            <w:gridSpan w:val="3"/>
          </w:tcPr>
          <w:p>
            <w:pPr>
              <w:jc w:val="right"/>
              <w:ind w:right="124"/>
              <w:spacing w:after="0"/>
              <w:rPr>
                <w:sz w:val="20"/>
                <w:szCs w:val="20"/>
                <w:color w:val="auto"/>
              </w:rPr>
            </w:pPr>
            <w:r>
              <w:rPr>
                <w:rFonts w:ascii="Arial" w:cs="Arial" w:eastAsia="Arial" w:hAnsi="Arial"/>
                <w:sz w:val="18"/>
                <w:szCs w:val="18"/>
                <w:color w:val="auto"/>
              </w:rPr>
              <w:t>207.4</w:t>
            </w:r>
          </w:p>
        </w:tc>
        <w:tc>
          <w:tcPr>
            <w:tcW w:w="4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Philippine peso</w:t>
            </w:r>
          </w:p>
        </w:tc>
        <w:tc>
          <w:tcPr>
            <w:tcW w:w="5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145.4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Polish zloty</w:t>
            </w:r>
          </w:p>
        </w:tc>
        <w:tc>
          <w:tcPr>
            <w:tcW w:w="5420" w:type="dxa"/>
            <w:vAlign w:val="bottom"/>
            <w:gridSpan w:val="3"/>
          </w:tcPr>
          <w:p>
            <w:pPr>
              <w:jc w:val="right"/>
              <w:ind w:right="124"/>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 dollar</w:t>
            </w:r>
          </w:p>
        </w:tc>
        <w:tc>
          <w:tcPr>
            <w:tcW w:w="5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Republic of South Africa rand</w:t>
            </w:r>
          </w:p>
        </w:tc>
        <w:tc>
          <w:tcPr>
            <w:tcW w:w="5420" w:type="dxa"/>
            <w:vAlign w:val="bottom"/>
            <w:gridSpan w:val="3"/>
          </w:tcPr>
          <w:p>
            <w:pPr>
              <w:jc w:val="right"/>
              <w:ind w:right="124"/>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3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4400" w:type="dxa"/>
            <w:vAlign w:val="bottom"/>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3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0" w:type="dxa"/>
            <w:vAlign w:val="bottom"/>
            <w:vMerge w:val="restart"/>
          </w:tcPr>
          <w:p>
            <w:pPr>
              <w:jc w:val="right"/>
              <w:ind w:right="21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6" w:name="page27"/>
    <w:bookmarkEnd w:id="26"/>
    <w:p>
      <w:pPr>
        <w:ind w:left="420"/>
        <w:spacing w:after="0"/>
        <w:rPr>
          <w:sz w:val="20"/>
          <w:szCs w:val="20"/>
          <w:color w:val="auto"/>
        </w:rPr>
      </w:pPr>
      <w:r>
        <w:rPr>
          <w:rFonts w:ascii="Arial" w:cs="Arial" w:eastAsia="Arial" w:hAnsi="Arial"/>
          <w:sz w:val="17"/>
          <w:szCs w:val="17"/>
          <w:color w:val="auto"/>
        </w:rPr>
        <w:t>Net foreign exchange loss recorded in our consolidated statements of operations during the first quarter of fiscal 2015 and 2014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September 26, 2014 would have an impact of approximately $2.3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9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September 26, 2014 and June 27, 2014, the cumulative translation adjustment decreased our stockholders’ equity by $4.2 million and $2.9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We had $42.4 million in total cash and cash equivalents as of September 26, 2014. Cash equivalents totaled $8.1 million as of September 26, 2014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September 26, 2014 was five days, and these investments had an average yield of 0.9% per annum. A 10% change in interest rates on our cash and cash equivalents is not expected to have a material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During the first quarter of fiscal 2015, we had $6.0 million of borrowings outstanding under the SVB Credit Facility that incurred interest at the prime rate plus a spread of 0.50% to 1.50%. During the first quarter of fiscal 2015, our weighted average interest rate was 3.8% and we recorded total interest expense of $0.1 million on these borrowings.</w:t>
      </w:r>
    </w:p>
    <w:p>
      <w:pPr>
        <w:spacing w:after="0" w:line="12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Material Weaknesses on Internal Control over Financial Reporting</w:t>
      </w:r>
    </w:p>
    <w:p>
      <w:pPr>
        <w:spacing w:after="0" w:line="17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7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management has assessed the effectiveness of the Company’s internal control over financial reporting based on the criteria set forth in the Internal Control - Integrated Framework (1992) issued by the Committee of Sponsoring Organizations of the Treadway Commission.</w:t>
      </w:r>
    </w:p>
    <w:p>
      <w:pPr>
        <w:spacing w:after="0" w:line="127"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A material weakness is a control deficiency or a combination of control deficiencies that results in more than a remote likelihood that a material misstatement of the annual or interim financial statements will not be prevented or detected. In connection with the Company’s assessment of the effectiveness of internal control over financial reporting, the Company identified the following material weaknesses that existed as of June 27, 2014 that continued to exist as of September 26, 2014:</w:t>
      </w:r>
    </w:p>
    <w:p>
      <w:pPr>
        <w:spacing w:after="0" w:line="133" w:lineRule="exact"/>
        <w:rPr>
          <w:sz w:val="20"/>
          <w:szCs w:val="20"/>
          <w:color w:val="auto"/>
        </w:rPr>
      </w:pPr>
    </w:p>
    <w:p>
      <w:pPr>
        <w:ind w:left="820" w:hanging="407"/>
        <w:spacing w:after="0" w:line="285"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COSO Components, Excluding Control Activities. </w:t>
      </w:r>
      <w:r>
        <w:rPr>
          <w:rFonts w:ascii="Arial" w:cs="Arial" w:eastAsia="Arial" w:hAnsi="Arial"/>
          <w:sz w:val="16"/>
          <w:szCs w:val="16"/>
          <w:color w:val="auto"/>
        </w:rPr>
        <w:t>We determined that our controls pertaining to the control environment, risk assessment,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monitoring activities and information and communication activities did not operate effectively, resulting in a material weakness pertaining to these COSO components. Specifically, (i) with respect to the control environment, we did not maintain a sufficient complement of adequately trained personnel with an appropriate level of knowledge, experience, skills and training commensurate with our financial reporting requirements and business environment; (ii) with respect to risk assessment, we did not identify risks associated with (a) implementing our newly installed worldwide enterprise resource planning system, used for financial reporting purposes, including assessing the adequacy of staffing levels and training needs of our global accounting and financial reporting staff, segregation of duty conflicts and the adequacy and effectiveness of compensating controls; (b) the completeness and accuracy of information underlying accounting estimates used in management review controls and procedures, including appropriately documenting risk tolerance and precision of such controls;and (c) certain processes, further noted in the Control Activities discussion below, resulting in inadequately designed control activities; (iii) with respect to information and communication, we did not (a) sufficiently promote an appropriate level of control awareness or commit appropriate human or financial resources to support the development of necessary information systems, including system controls and training related to our newly installed worldwide enterprise resource planning system; and (b) ensure the completeness, accuracy and timeliness of communications between the project management and accounting functions regarding our percentage-of-completion contracts; and (iv) with respect to monitoring activities, (a) we did not design and maintain effective controls for the review, supervision and monitoring of our accounting operations and evaluating the adequacy of our internal control over financial reporting, including adequate documentation of control performance; (b) there were insufficient procedures to effectively determine the adequacy of our internal control over financial reporting; and (c) due to unanticipated turnover in the finance organization late in our fiscal year we did not maintain a sufficient number of accounting professionals with an appropriate level of knowledge, experience, skills and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ind w:left="820" w:right="60"/>
        <w:spacing w:after="0" w:line="304" w:lineRule="auto"/>
        <w:rPr>
          <w:sz w:val="20"/>
          <w:szCs w:val="20"/>
          <w:color w:val="auto"/>
        </w:rPr>
      </w:pPr>
      <w:r>
        <w:rPr>
          <w:rFonts w:ascii="Arial" w:cs="Arial" w:eastAsia="Arial" w:hAnsi="Arial"/>
          <w:sz w:val="18"/>
          <w:szCs w:val="18"/>
          <w:color w:val="auto"/>
        </w:rPr>
        <w:t>training to monitor our compliance with internal control over financial reporting at both our domestic and international locations. The deficiencies in these COSO components are interrelated and represent a material weakness. This material weakness contributed to the other material weaknesses described below and an environment where there was more than a remote likelihood that a material misstatement of the interim and annual consolidated financial statements could occur and not be prevented or detected. As a result, adjustments to various accounts were made to correct immaterial errors to the financial statements.</w:t>
      </w:r>
    </w:p>
    <w:p>
      <w:pPr>
        <w:spacing w:after="0" w:line="107" w:lineRule="exact"/>
        <w:rPr>
          <w:sz w:val="20"/>
          <w:szCs w:val="20"/>
          <w:color w:val="auto"/>
        </w:rPr>
      </w:pPr>
    </w:p>
    <w:p>
      <w:pPr>
        <w:ind w:left="820" w:right="300" w:hanging="407"/>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Manual journal entries. </w:t>
      </w:r>
      <w:r>
        <w:rPr>
          <w:rFonts w:ascii="Arial" w:cs="Arial" w:eastAsia="Arial" w:hAnsi="Arial"/>
          <w:sz w:val="18"/>
          <w:szCs w:val="18"/>
          <w:color w:val="auto"/>
        </w:rPr>
        <w:t>The design and operating effectiveness of our controls were inadequate to ensure that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documentation was identified, accumulated and maintained to support manual journal entries and that such manual journal entries were independently reviewed and approved.</w:t>
      </w:r>
    </w:p>
    <w:p>
      <w:pPr>
        <w:spacing w:after="0" w:line="127" w:lineRule="exact"/>
        <w:rPr>
          <w:rFonts w:ascii="Arial" w:cs="Arial" w:eastAsia="Arial" w:hAnsi="Arial"/>
          <w:sz w:val="18"/>
          <w:szCs w:val="18"/>
          <w:color w:val="auto"/>
        </w:rPr>
      </w:pPr>
    </w:p>
    <w:p>
      <w:pPr>
        <w:ind w:left="820" w:right="80" w:hanging="407"/>
        <w:spacing w:after="0" w:line="286"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Control Activities - Account reconciliations. </w:t>
      </w:r>
      <w:r>
        <w:rPr>
          <w:rFonts w:ascii="Arial" w:cs="Arial" w:eastAsia="Arial" w:hAnsi="Arial"/>
          <w:sz w:val="17"/>
          <w:szCs w:val="17"/>
          <w:color w:val="auto"/>
        </w:rPr>
        <w:t>The design and operating effectiveness of our controls were inadequate to ensure that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reconciliations,including intercompany account reconciliations and eliminations, were reviewed and approved for accuracy and completeness and that we identified, accumulated and documented appropriate information necessary to support account balances.</w:t>
      </w:r>
    </w:p>
    <w:p>
      <w:pPr>
        <w:spacing w:after="0" w:line="111" w:lineRule="exact"/>
        <w:rPr>
          <w:rFonts w:ascii="Arial" w:cs="Arial" w:eastAsia="Arial" w:hAnsi="Arial"/>
          <w:sz w:val="17"/>
          <w:szCs w:val="17"/>
          <w:color w:val="auto"/>
        </w:rPr>
      </w:pPr>
    </w:p>
    <w:p>
      <w:pPr>
        <w:ind w:left="820" w:right="440" w:hanging="407"/>
        <w:spacing w:after="0" w:line="308"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Control Activities - Revenue Recognition on Percentage-of-Completion ("POC") Contracts. </w:t>
      </w:r>
      <w:r>
        <w:rPr>
          <w:rFonts w:ascii="Arial" w:cs="Arial" w:eastAsia="Arial" w:hAnsi="Arial"/>
          <w:sz w:val="17"/>
          <w:szCs w:val="17"/>
          <w:color w:val="auto"/>
        </w:rPr>
        <w:t>The design and operating effectiveness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controls were inadequate to ensure that the reported amount and timing of revenue recognition was accurate.</w:t>
      </w:r>
    </w:p>
    <w:p>
      <w:pPr>
        <w:spacing w:after="0" w:line="93"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Although no material errors were identified in our audited financial statements, these material weaknesses resulted in a reasonable possibility that a material misstatement of our annual or interim consolidated financial statements would not be prevented or detected on a timely basis.</w:t>
      </w:r>
    </w:p>
    <w:p>
      <w:pPr>
        <w:spacing w:after="0" w:line="9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material weaknesses identified by management could result in a material misstatement to our annual or interim financial statements that would not be prevented or detected.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Evaluation of Disclosure Controls and Procedures</w:t>
      </w:r>
    </w:p>
    <w:p>
      <w:pPr>
        <w:spacing w:after="0" w:line="17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as appropriate to allow timely decisions regarding required disclosure.</w:t>
      </w:r>
    </w:p>
    <w:p>
      <w:pPr>
        <w:spacing w:after="0" w:line="227"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As of September 26, 2014, management carried out an evaluation, under the supervision and with the participation of our Chief Executive Officer and Chief Financial Officer, of the effectiveness of our disclosure controls and procedures. Based upon the evaluation and as a result of the material weaknesses described above, our Chief Executive Officer and Chief Financial Officer concluded that, as of September 26, 2014, our disclosure controls and procedures were not effective at the reasonable assurance level.</w:t>
      </w:r>
    </w:p>
    <w:p>
      <w:pPr>
        <w:spacing w:after="0" w:line="241" w:lineRule="exact"/>
        <w:rPr>
          <w:sz w:val="20"/>
          <w:szCs w:val="20"/>
          <w:color w:val="auto"/>
        </w:rPr>
      </w:pPr>
    </w:p>
    <w:p>
      <w:pPr>
        <w:jc w:val="both"/>
        <w:ind w:right="160" w:firstLine="405"/>
        <w:spacing w:after="0" w:line="27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Accordingly, even effective disclosure controls and procedures can only provide reasonable assurances of achieving their control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Subsequent to our June 27, 2014 fiscal year end, we began taking a number of actions, including designing and implementing new controls and revising existing controls, in order to remediate the material weaknesses described above. We expect to continue our remediation efforts, including testing of operating effectiveness of new controls, as described below under “Remedial Actions to Address Material Weaknesses” during the fiscal year ending July 3, 2015 and we plan to provide an update on the status of our remediation activities on a quarterly basis.</w:t>
      </w:r>
    </w:p>
    <w:p>
      <w:pPr>
        <w:spacing w:after="0" w:line="11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26, 2014 that have materially affected, or are reasonably likely to materially affect, our internal control over financial reporting, other than progress with respect to the implementation of certain remediation efforts, as described below.</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73"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(d) Remedial Actions to Address Material Weaknesses</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continue to evaluate the effectiveness of our remediation efforts, including demonstrating that the new or improved controls operate effectively for a reasonable period of time. If appropriate, we expect to make further changes to our internal controls. The following actions have been taken, or we expect to take as soon as practicable, to strengthen our controls and organizational structure:</w:t>
      </w:r>
    </w:p>
    <w:p>
      <w:pPr>
        <w:spacing w:after="0" w:line="181" w:lineRule="exact"/>
        <w:rPr>
          <w:sz w:val="20"/>
          <w:szCs w:val="20"/>
          <w:color w:val="auto"/>
        </w:rPr>
      </w:pPr>
    </w:p>
    <w:p>
      <w:pPr>
        <w:ind w:left="820" w:right="60" w:hanging="407"/>
        <w:spacing w:after="0" w:line="255"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address issues with recent employee turnover, we hired new accounting personnel with an appropriate level of knowledge, experience and skill sets commensurate with our newly installed enterprise resource planning system and business environment. We expect to continue to evaluate our needs for new and additional personnel. We leveraged the services of consulting firms and expect to continue to do so to assist us with strengthening our internal controls and documentation. We expect to provide training in order to enhance the level of communications and understanding of controls with key individuals that provide critical information used in financial accounting and reporting on matters relating to our business and operations</w:t>
      </w:r>
      <w:r>
        <w:rPr>
          <w:rFonts w:ascii="Arial" w:cs="Arial" w:eastAsia="Arial" w:hAnsi="Arial"/>
          <w:sz w:val="18"/>
          <w:szCs w:val="18"/>
          <w:i w:val="1"/>
          <w:iCs w:val="1"/>
          <w:color w:val="auto"/>
        </w:rPr>
        <w:t>.</w:t>
      </w:r>
    </w:p>
    <w:p>
      <w:pPr>
        <w:spacing w:after="0" w:line="193" w:lineRule="exact"/>
        <w:rPr>
          <w:rFonts w:ascii="Arial" w:cs="Arial" w:eastAsia="Arial" w:hAnsi="Arial"/>
          <w:sz w:val="18"/>
          <w:szCs w:val="18"/>
          <w:color w:val="auto"/>
        </w:rPr>
      </w:pPr>
    </w:p>
    <w:p>
      <w:pPr>
        <w:ind w:left="820" w:hanging="407"/>
        <w:spacing w:after="0" w:line="291"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expect to enhance our risk assessment process. With regard to risks associated with our newly installed worldwide enterprise resource planning system, we have identified subject matter experts (“SME”) and SME backups for each of the eight functional areas in our finance organization. The SMEs are expected to lead an international team of users in training, developing global processes and in logging and tracking system issues. The SMEs are expected to also be responsible for documenting all processes and coordinating all training materials and expected to have sufficient resources at our disposal to accomplish their tasks. With regard to procedures to ensure the completeness and accuracy of information used in the performance of control activities, we expect toe enhance oversight of accounting estimates and the precision level of those estimates. We expect to update policies and procedures in key areas, particularly with respect to areas that involve management judgment and the use of estimates</w:t>
      </w:r>
      <w:r>
        <w:rPr>
          <w:rFonts w:ascii="Arial" w:cs="Arial" w:eastAsia="Arial" w:hAnsi="Arial"/>
          <w:sz w:val="16"/>
          <w:szCs w:val="16"/>
          <w:b w:val="1"/>
          <w:bCs w:val="1"/>
          <w:color w:val="auto"/>
        </w:rPr>
        <w:t>.</w:t>
      </w:r>
    </w:p>
    <w:p>
      <w:pPr>
        <w:spacing w:after="0" w:line="167" w:lineRule="exact"/>
        <w:rPr>
          <w:rFonts w:ascii="Arial" w:cs="Arial" w:eastAsia="Arial" w:hAnsi="Arial"/>
          <w:sz w:val="16"/>
          <w:szCs w:val="16"/>
          <w:color w:val="auto"/>
        </w:rPr>
      </w:pPr>
    </w:p>
    <w:p>
      <w:pPr>
        <w:ind w:left="820" w:right="260" w:hanging="407"/>
        <w:spacing w:after="0" w:line="31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implementing processes to improve monitoring activities involving the review and supervision of our accounting operations. We expect this to involve (i)implementing increased and enhanced balance sheet reviews to allow more focus on quality account reconciliations; (ii) enhancing monitoring over international activities; and (iii) implementing more rigorous intercompany reconciliation procedures.</w:t>
      </w:r>
    </w:p>
    <w:p>
      <w:pPr>
        <w:spacing w:after="0" w:line="146" w:lineRule="exact"/>
        <w:rPr>
          <w:rFonts w:ascii="Arial" w:cs="Arial" w:eastAsia="Arial" w:hAnsi="Arial"/>
          <w:sz w:val="16"/>
          <w:szCs w:val="16"/>
          <w:color w:val="auto"/>
        </w:rPr>
      </w:pPr>
    </w:p>
    <w:p>
      <w:pPr>
        <w:ind w:left="820" w:right="100" w:hanging="407"/>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implemented a formal policy that expressly prohibits a manual journal entry being created and approved by the same employee. Further, we have implemented a process that includes the creation of a journal entry report that identifies the preparer and the approver of each journal entry. The report will be reviewed each month by senior accounting personnel so that any exceptions to the policy can be identified on a timely basis and appropriately addressed.</w:t>
      </w:r>
    </w:p>
    <w:p>
      <w:pPr>
        <w:spacing w:after="0" w:line="186" w:lineRule="exact"/>
        <w:rPr>
          <w:rFonts w:ascii="Arial" w:cs="Arial" w:eastAsia="Arial" w:hAnsi="Arial"/>
          <w:sz w:val="18"/>
          <w:szCs w:val="18"/>
          <w:color w:val="auto"/>
        </w:rPr>
      </w:pPr>
    </w:p>
    <w:p>
      <w:pPr>
        <w:ind w:left="820" w:right="80" w:hanging="407"/>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improve the timeliness and accuracy of updates to revenue and cost estimates and the completeness and accuracy of POC revenue recognition, we implemented procedures to allow for more timely and accurate communications between field service project managers and accounting personnel and improved procedures.</w:t>
      </w:r>
    </w:p>
    <w:p>
      <w:pPr>
        <w:spacing w:after="0" w:line="3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Legal Proceedings under Note 12, "Commitments and Contingencies"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2014 Annual Report on Form 10-K.</w:t>
      </w:r>
    </w:p>
    <w:p>
      <w:pPr>
        <w:spacing w:after="0" w:line="11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do not believe that there have been any other material additions or changes to the risk factors previously disclosed in our fiscal 2014 Annual Report on Form 10-K, although we may disclose changes to such factors or disclose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0" w:right="25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additional factors from time to time in our future filings with the SEC. Additional risks and uncertainties not presently known to us or that we currently deem immaterial also may impair our business operations.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746"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Letter Agreement, dated July 25, 2014, between Aviat Networks, Inc., and Charles D. Kissner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July 28, 2014,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18"/>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0980"/>
          </w:cols>
          <w:pgMar w:left="240" w:top="580" w:right="679" w:bottom="1440" w:gutter="0" w:footer="0" w:header="0"/>
        </w:sectPr>
      </w:pPr>
    </w:p>
    <w:bookmarkStart w:id="32" w:name="page33"/>
    <w:bookmarkEnd w:id="32"/>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19,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31750</wp:posOffset>
            </wp:positionV>
            <wp:extent cx="3155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20"/>
          </w:cols>
          <w:pgMar w:left="240" w:top="796" w:right="9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098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588"/>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Letter Agreement, dated July 25, 2014, between Aviat Networks, Inc., and Charles D. Kissner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July 28, 2014,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0980"/>
          </w:cols>
          <w:pgMar w:left="240" w:top="796" w:right="6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26, 2014,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December 19, 2014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26, 2014,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December 19, 2014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September 26, 2014,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December 19, 2014</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143510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Date: December 19, 2014</w:t>
      </w:r>
    </w:p>
    <w:p>
      <w:pPr>
        <w:ind w:left="6000"/>
        <w:spacing w:after="0"/>
        <w:rPr>
          <w:sz w:val="20"/>
          <w:szCs w:val="20"/>
          <w:color w:val="auto"/>
        </w:rPr>
      </w:pPr>
      <w:r>
        <w:rPr>
          <w:rFonts w:ascii="Arial" w:cs="Arial" w:eastAsia="Arial" w:hAnsi="Arial"/>
          <w:sz w:val="18"/>
          <w:szCs w:val="18"/>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21590</wp:posOffset>
            </wp:positionV>
            <wp:extent cx="2804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4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2019-12-07T14:23:39Z</dcterms:created>
  <dcterms:modified xsi:type="dcterms:W3CDTF">2019-12-07T14:23:39Z</dcterms:modified>
</cp:coreProperties>
</file>