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4"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38"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2011</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3980"/>
        <w:spacing w:after="0"/>
        <w:tabs>
          <w:tab w:leader="none" w:pos="67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001-33278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AVIAT NETWORKS,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700" w:type="dxa"/>
        <w:tblCellMar>
          <w:top w:w="0" w:type="dxa"/>
          <w:left w:w="0" w:type="dxa"/>
          <w:bottom w:w="0" w:type="dxa"/>
          <w:right w:w="0" w:type="dxa"/>
        </w:tblCellMar>
      </w:tblPr>
      <w:tr>
        <w:trPr>
          <w:trHeight w:val="218"/>
        </w:trPr>
        <w:tc>
          <w:tcPr>
            <w:tcW w:w="6420" w:type="dxa"/>
            <w:vAlign w:val="bottom"/>
          </w:tcPr>
          <w:p>
            <w:pPr>
              <w:jc w:val="center"/>
              <w:ind w:right="4002"/>
              <w:spacing w:after="0"/>
              <w:rPr>
                <w:sz w:val="20"/>
                <w:szCs w:val="20"/>
                <w:color w:val="auto"/>
              </w:rPr>
            </w:pPr>
            <w:r>
              <w:rPr>
                <w:rFonts w:ascii="Arial" w:cs="Arial" w:eastAsia="Arial" w:hAnsi="Arial"/>
                <w:sz w:val="18"/>
                <w:szCs w:val="18"/>
                <w:b w:val="1"/>
                <w:bCs w:val="1"/>
                <w:color w:val="auto"/>
                <w:w w:val="88"/>
              </w:rPr>
              <w:t>Delaware</w:t>
            </w:r>
          </w:p>
        </w:tc>
        <w:tc>
          <w:tcPr>
            <w:tcW w:w="1100" w:type="dxa"/>
            <w:vAlign w:val="bottom"/>
          </w:tcPr>
          <w:p>
            <w:pPr>
              <w:jc w:val="right"/>
              <w:ind w:right="44"/>
              <w:spacing w:after="0"/>
              <w:rPr>
                <w:sz w:val="20"/>
                <w:szCs w:val="20"/>
                <w:color w:val="auto"/>
              </w:rPr>
            </w:pPr>
            <w:r>
              <w:rPr>
                <w:rFonts w:ascii="Arial" w:cs="Arial" w:eastAsia="Arial" w:hAnsi="Arial"/>
                <w:sz w:val="18"/>
                <w:szCs w:val="18"/>
                <w:b w:val="1"/>
                <w:bCs w:val="1"/>
                <w:color w:val="auto"/>
                <w:w w:val="99"/>
              </w:rPr>
              <w:t>20-5961564</w:t>
            </w:r>
          </w:p>
        </w:tc>
      </w:tr>
      <w:tr>
        <w:trPr>
          <w:trHeight w:val="149"/>
        </w:trPr>
        <w:tc>
          <w:tcPr>
            <w:tcW w:w="6420" w:type="dxa"/>
            <w:vAlign w:val="bottom"/>
          </w:tcPr>
          <w:p>
            <w:pPr>
              <w:jc w:val="center"/>
              <w:ind w:right="4022"/>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420" w:type="dxa"/>
            <w:vAlign w:val="bottom"/>
          </w:tcPr>
          <w:p>
            <w:pPr>
              <w:jc w:val="center"/>
              <w:ind w:right="4022"/>
              <w:spacing w:after="0"/>
              <w:rPr>
                <w:sz w:val="20"/>
                <w:szCs w:val="20"/>
                <w:color w:val="auto"/>
              </w:rPr>
            </w:pPr>
            <w:r>
              <w:rPr>
                <w:rFonts w:ascii="Arial" w:cs="Arial" w:eastAsia="Arial" w:hAnsi="Arial"/>
                <w:sz w:val="14"/>
                <w:szCs w:val="14"/>
                <w:b w:val="1"/>
                <w:bCs w:val="1"/>
                <w:color w:val="auto"/>
                <w:w w:val="88"/>
              </w:rPr>
              <w:t>incorporation or organization)</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6420" w:type="dxa"/>
            <w:vAlign w:val="bottom"/>
          </w:tcPr>
          <w:p>
            <w:pPr>
              <w:jc w:val="center"/>
              <w:ind w:right="4002"/>
              <w:spacing w:after="0"/>
              <w:rPr>
                <w:sz w:val="20"/>
                <w:szCs w:val="20"/>
                <w:color w:val="auto"/>
              </w:rPr>
            </w:pPr>
            <w:r>
              <w:rPr>
                <w:rFonts w:ascii="Arial" w:cs="Arial" w:eastAsia="Arial" w:hAnsi="Arial"/>
                <w:sz w:val="18"/>
                <w:szCs w:val="18"/>
                <w:b w:val="1"/>
                <w:bCs w:val="1"/>
                <w:color w:val="auto"/>
                <w:w w:val="90"/>
              </w:rPr>
              <w:t>5200 Great American Parkway</w:t>
            </w:r>
          </w:p>
        </w:tc>
        <w:tc>
          <w:tcPr>
            <w:tcW w:w="1100" w:type="dxa"/>
            <w:vAlign w:val="bottom"/>
          </w:tcPr>
          <w:p>
            <w:pPr>
              <w:spacing w:after="0"/>
              <w:rPr>
                <w:sz w:val="24"/>
                <w:szCs w:val="24"/>
                <w:color w:val="auto"/>
              </w:rPr>
            </w:pPr>
          </w:p>
        </w:tc>
      </w:tr>
      <w:tr>
        <w:trPr>
          <w:trHeight w:val="231"/>
        </w:trPr>
        <w:tc>
          <w:tcPr>
            <w:tcW w:w="6420" w:type="dxa"/>
            <w:vAlign w:val="bottom"/>
          </w:tcPr>
          <w:p>
            <w:pPr>
              <w:jc w:val="center"/>
              <w:ind w:right="4022"/>
              <w:spacing w:after="0"/>
              <w:rPr>
                <w:sz w:val="20"/>
                <w:szCs w:val="20"/>
                <w:color w:val="auto"/>
              </w:rPr>
            </w:pPr>
            <w:r>
              <w:rPr>
                <w:rFonts w:ascii="Arial" w:cs="Arial" w:eastAsia="Arial" w:hAnsi="Arial"/>
                <w:sz w:val="18"/>
                <w:szCs w:val="18"/>
                <w:b w:val="1"/>
                <w:bCs w:val="1"/>
                <w:color w:val="auto"/>
                <w:w w:val="91"/>
              </w:rPr>
              <w:t>Santa Clara, California</w:t>
            </w:r>
          </w:p>
        </w:tc>
        <w:tc>
          <w:tcPr>
            <w:tcW w:w="1100" w:type="dxa"/>
            <w:vAlign w:val="bottom"/>
          </w:tcPr>
          <w:p>
            <w:pPr>
              <w:jc w:val="right"/>
              <w:ind w:right="244"/>
              <w:spacing w:after="0"/>
              <w:rPr>
                <w:sz w:val="20"/>
                <w:szCs w:val="20"/>
                <w:color w:val="auto"/>
              </w:rPr>
            </w:pPr>
            <w:r>
              <w:rPr>
                <w:rFonts w:ascii="Arial" w:cs="Arial" w:eastAsia="Arial" w:hAnsi="Arial"/>
                <w:sz w:val="18"/>
                <w:szCs w:val="18"/>
                <w:b w:val="1"/>
                <w:bCs w:val="1"/>
                <w:color w:val="auto"/>
              </w:rPr>
              <w:t>95054</w:t>
            </w:r>
          </w:p>
        </w:tc>
      </w:tr>
      <w:tr>
        <w:trPr>
          <w:trHeight w:val="174"/>
        </w:trPr>
        <w:tc>
          <w:tcPr>
            <w:tcW w:w="6420" w:type="dxa"/>
            <w:vAlign w:val="bottom"/>
          </w:tcPr>
          <w:p>
            <w:pPr>
              <w:jc w:val="center"/>
              <w:ind w:right="4022"/>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6420" w:type="dxa"/>
            <w:vAlign w:val="bottom"/>
          </w:tcPr>
          <w:p>
            <w:pPr>
              <w:jc w:val="center"/>
              <w:ind w:left="1522"/>
              <w:spacing w:after="0"/>
              <w:rPr>
                <w:sz w:val="20"/>
                <w:szCs w:val="20"/>
                <w:color w:val="auto"/>
              </w:rPr>
            </w:pPr>
            <w:r>
              <w:rPr>
                <w:rFonts w:ascii="Arial" w:cs="Arial" w:eastAsia="Arial" w:hAnsi="Arial"/>
                <w:sz w:val="18"/>
                <w:szCs w:val="18"/>
                <w:b w:val="1"/>
                <w:bCs w:val="1"/>
                <w:color w:val="auto"/>
                <w:w w:val="89"/>
              </w:rPr>
              <w:t>(408) 567-7000</w:t>
            </w:r>
          </w:p>
        </w:tc>
        <w:tc>
          <w:tcPr>
            <w:tcW w:w="1100" w:type="dxa"/>
            <w:vAlign w:val="bottom"/>
          </w:tcPr>
          <w:p>
            <w:pPr>
              <w:spacing w:after="0"/>
              <w:rPr>
                <w:sz w:val="24"/>
                <w:szCs w:val="24"/>
                <w:color w:val="auto"/>
              </w:rPr>
            </w:pPr>
          </w:p>
        </w:tc>
      </w:tr>
      <w:tr>
        <w:trPr>
          <w:trHeight w:val="174"/>
        </w:trPr>
        <w:tc>
          <w:tcPr>
            <w:tcW w:w="6420" w:type="dxa"/>
            <w:vAlign w:val="bottom"/>
          </w:tcPr>
          <w:p>
            <w:pPr>
              <w:jc w:val="center"/>
              <w:ind w:left="1522"/>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100" w:type="dxa"/>
            <w:vAlign w:val="bottom"/>
          </w:tcPr>
          <w:p>
            <w:pPr>
              <w:spacing w:after="0"/>
              <w:rPr>
                <w:sz w:val="15"/>
                <w:szCs w:val="15"/>
                <w:color w:val="auto"/>
              </w:rPr>
            </w:pPr>
          </w:p>
        </w:tc>
      </w:tr>
      <w:tr>
        <w:trPr>
          <w:trHeight w:val="352"/>
        </w:trPr>
        <w:tc>
          <w:tcPr>
            <w:tcW w:w="6420" w:type="dxa"/>
            <w:vAlign w:val="bottom"/>
          </w:tcPr>
          <w:p>
            <w:pPr>
              <w:jc w:val="center"/>
              <w:ind w:left="1522"/>
              <w:spacing w:after="0"/>
              <w:rPr>
                <w:sz w:val="20"/>
                <w:szCs w:val="20"/>
                <w:color w:val="auto"/>
              </w:rPr>
            </w:pPr>
            <w:r>
              <w:rPr>
                <w:rFonts w:ascii="Arial" w:cs="Arial" w:eastAsia="Arial" w:hAnsi="Arial"/>
                <w:sz w:val="18"/>
                <w:szCs w:val="18"/>
                <w:b w:val="1"/>
                <w:bCs w:val="1"/>
                <w:color w:val="auto"/>
                <w:w w:val="84"/>
              </w:rPr>
              <w:t>No changes</w:t>
            </w:r>
          </w:p>
        </w:tc>
        <w:tc>
          <w:tcPr>
            <w:tcW w:w="1100" w:type="dxa"/>
            <w:vAlign w:val="bottom"/>
          </w:tcPr>
          <w:p>
            <w:pPr>
              <w:spacing w:after="0"/>
              <w:rPr>
                <w:sz w:val="24"/>
                <w:szCs w:val="24"/>
                <w:color w:val="auto"/>
              </w:rPr>
            </w:pPr>
          </w:p>
        </w:tc>
      </w:tr>
      <w:tr>
        <w:trPr>
          <w:trHeight w:val="174"/>
        </w:trPr>
        <w:tc>
          <w:tcPr>
            <w:tcW w:w="6420" w:type="dxa"/>
            <w:vAlign w:val="bottom"/>
          </w:tcPr>
          <w:p>
            <w:pPr>
              <w:jc w:val="center"/>
              <w:ind w:left="1522"/>
              <w:spacing w:after="0"/>
              <w:rPr>
                <w:sz w:val="20"/>
                <w:szCs w:val="20"/>
                <w:color w:val="auto"/>
              </w:rPr>
            </w:pPr>
            <w:r>
              <w:rPr>
                <w:rFonts w:ascii="Arial" w:cs="Arial" w:eastAsia="Arial" w:hAnsi="Arial"/>
                <w:sz w:val="14"/>
                <w:szCs w:val="14"/>
                <w:b w:val="1"/>
                <w:bCs w:val="1"/>
                <w:color w:val="auto"/>
                <w:w w:val="86"/>
              </w:rPr>
              <w:t>(Former name, former address and former fiscal year, if changed since last report)</w:t>
            </w:r>
          </w:p>
        </w:tc>
        <w:tc>
          <w:tcPr>
            <w:tcW w:w="110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5" w:lineRule="exact"/>
        <w:rPr>
          <w:sz w:val="24"/>
          <w:szCs w:val="24"/>
          <w:color w:val="auto"/>
        </w:rPr>
      </w:pPr>
    </w:p>
    <w:p>
      <w:pPr>
        <w:ind w:right="20"/>
        <w:spacing w:after="0" w:line="225" w:lineRule="exact"/>
        <w:rPr>
          <w:sz w:val="20"/>
          <w:szCs w:val="20"/>
          <w:color w:val="auto"/>
        </w:rPr>
      </w:pPr>
      <w:r>
        <w:rPr>
          <w:rFonts w:ascii="Arial" w:cs="Arial" w:eastAsia="Arial" w:hAnsi="Arial"/>
          <w:sz w:val="18"/>
          <w:szCs w:val="18"/>
          <w:color w:val="auto"/>
        </w:rPr>
        <w:t xml:space="preserve">Indicate by checkmark whether the registrant (l)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42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6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4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6600" w:type="dxa"/>
            <w:vAlign w:val="bottom"/>
          </w:tcPr>
          <w:p>
            <w:pPr>
              <w:spacing w:after="0"/>
              <w:rPr>
                <w:sz w:val="23"/>
                <w:szCs w:val="23"/>
                <w:color w:val="auto"/>
              </w:rPr>
            </w:pPr>
          </w:p>
        </w:tc>
        <w:tc>
          <w:tcPr>
            <w:tcW w:w="2240" w:type="dxa"/>
            <w:vAlign w:val="bottom"/>
          </w:tcPr>
          <w:p>
            <w:pPr>
              <w:ind w:left="8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60" w:type="dxa"/>
            <w:vAlign w:val="bottom"/>
          </w:tcPr>
          <w:p>
            <w:pPr>
              <w:spacing w:after="0"/>
              <w:rPr>
                <w:sz w:val="20"/>
                <w:szCs w:val="20"/>
                <w:color w:val="auto"/>
              </w:rPr>
            </w:pPr>
            <w:r>
              <w:rPr>
                <w:rFonts w:ascii="Arial" w:cs="Arial" w:eastAsia="Arial" w:hAnsi="Arial"/>
                <w:sz w:val="18"/>
                <w:szCs w:val="18"/>
                <w:color w:val="auto"/>
              </w:rPr>
              <w:t>Non-accelerated filer</w:t>
            </w:r>
          </w:p>
        </w:tc>
        <w:tc>
          <w:tcPr>
            <w:tcW w:w="4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6600" w:type="dxa"/>
            <w:vAlign w:val="bottom"/>
          </w:tcPr>
          <w:p>
            <w:pPr>
              <w:ind w:left="80"/>
              <w:spacing w:after="0"/>
              <w:rPr>
                <w:sz w:val="20"/>
                <w:szCs w:val="20"/>
                <w:color w:val="auto"/>
              </w:rPr>
            </w:pPr>
            <w:r>
              <w:rPr>
                <w:rFonts w:ascii="Arial" w:cs="Arial" w:eastAsia="Arial" w:hAnsi="Arial"/>
                <w:sz w:val="18"/>
                <w:szCs w:val="18"/>
                <w:color w:val="auto"/>
              </w:rPr>
              <w:t>(Do not check if a smaller reporting company)</w:t>
            </w:r>
          </w:p>
        </w:tc>
        <w:tc>
          <w:tcPr>
            <w:tcW w:w="2240" w:type="dxa"/>
            <w:vAlign w:val="bottom"/>
          </w:tcPr>
          <w:p>
            <w:pPr>
              <w:ind w:left="8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780" w:type="dxa"/>
            <w:vAlign w:val="bottom"/>
            <w:gridSpan w:val="3"/>
          </w:tcPr>
          <w:p>
            <w:pPr>
              <w:spacing w:after="0" w:line="207" w:lineRule="exact"/>
              <w:rPr>
                <w:sz w:val="20"/>
                <w:szCs w:val="20"/>
                <w:color w:val="auto"/>
              </w:rPr>
            </w:pPr>
            <w:r>
              <w:rPr>
                <w:rFonts w:ascii="Arial" w:cs="Arial" w:eastAsia="Arial" w:hAnsi="Arial"/>
                <w:sz w:val="18"/>
                <w:szCs w:val="18"/>
                <w:color w:val="auto"/>
                <w:w w:val="90"/>
              </w:rPr>
              <w:t xml:space="preserve">Indicate by check mark whether the registrant is a shell company (as defined in Rule 12 b-2 of the Exchange Act).  Yes </w:t>
            </w:r>
            <w:r>
              <w:rPr>
                <w:rFonts w:ascii="MS PGothic" w:cs="MS PGothic" w:eastAsia="MS PGothic" w:hAnsi="MS PGothic"/>
                <w:sz w:val="18"/>
                <w:szCs w:val="18"/>
                <w:color w:val="auto"/>
                <w:w w:val="90"/>
              </w:rPr>
              <w:t>☐</w:t>
            </w:r>
          </w:p>
        </w:tc>
        <w:tc>
          <w:tcPr>
            <w:tcW w:w="224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r>
      <w:tr>
        <w:trPr>
          <w:trHeight w:val="358"/>
        </w:trPr>
        <w:tc>
          <w:tcPr>
            <w:tcW w:w="8780" w:type="dxa"/>
            <w:vAlign w:val="bottom"/>
            <w:gridSpan w:val="3"/>
          </w:tcPr>
          <w:p>
            <w:pPr>
              <w:spacing w:after="0"/>
              <w:rPr>
                <w:sz w:val="20"/>
                <w:szCs w:val="20"/>
                <w:color w:val="auto"/>
              </w:rPr>
            </w:pPr>
            <w:r>
              <w:rPr>
                <w:rFonts w:ascii="Arial" w:cs="Arial" w:eastAsia="Arial" w:hAnsi="Arial"/>
                <w:sz w:val="18"/>
                <w:szCs w:val="18"/>
                <w:color w:val="auto"/>
                <w:w w:val="93"/>
              </w:rPr>
              <w:t>The number of shares outstanding of the registrant’s Common Stock as of November 1, 2011 was 61,219,219 shares.</w:t>
            </w:r>
          </w:p>
        </w:tc>
        <w:tc>
          <w:tcPr>
            <w:tcW w:w="22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24"/>
        </w:trPr>
        <w:tc>
          <w:tcPr>
            <w:tcW w:w="17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6600" w:type="dxa"/>
            <w:vAlign w:val="bottom"/>
            <w:tcBorders>
              <w:bottom w:val="single" w:sz="8" w:color="auto"/>
            </w:tcBorders>
          </w:tcPr>
          <w:p>
            <w:pPr>
              <w:spacing w:after="0"/>
              <w:rPr>
                <w:sz w:val="10"/>
                <w:szCs w:val="10"/>
                <w:color w:val="auto"/>
              </w:rPr>
            </w:pPr>
          </w:p>
        </w:tc>
        <w:tc>
          <w:tcPr>
            <w:tcW w:w="22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r>
      <w:tr>
        <w:trPr>
          <w:trHeight w:val="21"/>
        </w:trPr>
        <w:tc>
          <w:tcPr>
            <w:tcW w:w="1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60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AVIAT NETWORKS, INC.</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 Ended September 30, 2011</w:t>
      </w:r>
    </w:p>
    <w:p>
      <w:pPr>
        <w:spacing w:after="0" w:line="15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40" w:type="dxa"/>
            <w:vAlign w:val="bottom"/>
            <w:gridSpan w:val="14"/>
            <w:vMerge w:val="restart"/>
          </w:tcPr>
          <w:p>
            <w:pPr>
              <w:spacing w:after="0"/>
              <w:rPr>
                <w:sz w:val="20"/>
                <w:szCs w:val="20"/>
                <w:color w:val="auto"/>
              </w:rPr>
            </w:pPr>
            <w:r>
              <w:rPr>
                <w:rFonts w:ascii="Arial" w:cs="Arial" w:eastAsia="Arial" w:hAnsi="Arial"/>
                <w:sz w:val="18"/>
                <w:szCs w:val="18"/>
                <w:b w:val="1"/>
                <w:bCs w:val="1"/>
                <w:color w:val="auto"/>
              </w:rPr>
              <w:t>Part I. Financial Information</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88"/>
        </w:trPr>
        <w:tc>
          <w:tcPr>
            <w:tcW w:w="11040" w:type="dxa"/>
            <w:vAlign w:val="bottom"/>
            <w:gridSpan w:val="14"/>
            <w:vMerge w:val="continue"/>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40" w:type="dxa"/>
            <w:vAlign w:val="bottom"/>
          </w:tcPr>
          <w:p>
            <w:pPr>
              <w:spacing w:after="0"/>
              <w:rPr>
                <w:sz w:val="15"/>
                <w:szCs w:val="15"/>
                <w:color w:val="auto"/>
              </w:rPr>
            </w:pPr>
          </w:p>
        </w:tc>
        <w:tc>
          <w:tcPr>
            <w:tcW w:w="10600" w:type="dxa"/>
            <w:vAlign w:val="bottom"/>
            <w:gridSpan w:val="13"/>
          </w:tcPr>
          <w:p>
            <w:pPr>
              <w:spacing w:after="0" w:line="184" w:lineRule="exact"/>
              <w:rPr>
                <w:rFonts w:ascii="Arial" w:cs="Arial" w:eastAsia="Arial" w:hAnsi="Arial"/>
                <w:sz w:val="18"/>
                <w:szCs w:val="18"/>
                <w:color w:val="0000EE"/>
              </w:rPr>
            </w:pPr>
            <w:hyperlink w:anchor="page3">
              <w:r>
                <w:rPr>
                  <w:rFonts w:ascii="Arial" w:cs="Arial" w:eastAsia="Arial" w:hAnsi="Arial"/>
                  <w:sz w:val="18"/>
                  <w:szCs w:val="18"/>
                  <w:color w:val="0000EE"/>
                </w:rPr>
                <w:t>Item 1. Financial Statements (Unaudited)</w:t>
              </w:r>
            </w:hyperlink>
          </w:p>
        </w:tc>
        <w:tc>
          <w:tcPr>
            <w:tcW w:w="280" w:type="dxa"/>
            <w:vAlign w:val="bottom"/>
          </w:tcPr>
          <w:p>
            <w:pPr>
              <w:jc w:val="right"/>
              <w:spacing w:after="0" w:line="184"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8160" w:type="dxa"/>
            <w:vAlign w:val="bottom"/>
            <w:tcBorders>
              <w:bottom w:val="single" w:sz="8" w:color="0000EE"/>
            </w:tcBorders>
            <w:gridSpan w:val="11"/>
          </w:tcPr>
          <w:p>
            <w:pPr>
              <w:spacing w:after="0" w:line="196" w:lineRule="exact"/>
              <w:rPr>
                <w:rFonts w:ascii="Arial" w:cs="Arial" w:eastAsia="Arial" w:hAnsi="Arial"/>
                <w:sz w:val="18"/>
                <w:szCs w:val="18"/>
                <w:color w:val="0000EE"/>
                <w:w w:val="87"/>
              </w:rPr>
            </w:pPr>
            <w:hyperlink w:anchor="page3">
              <w:r>
                <w:rPr>
                  <w:rFonts w:ascii="Arial" w:cs="Arial" w:eastAsia="Arial" w:hAnsi="Arial"/>
                  <w:sz w:val="18"/>
                  <w:szCs w:val="18"/>
                  <w:color w:val="0000EE"/>
                  <w:w w:val="87"/>
                </w:rPr>
                <w:t>Condensed Consolidated Statements of Operations for the Quarters ended September 30, 2011 and October 1, 2010</w:t>
              </w:r>
            </w:hyperlink>
          </w:p>
        </w:tc>
        <w:tc>
          <w:tcPr>
            <w:tcW w:w="244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600" w:type="dxa"/>
            <w:vAlign w:val="bottom"/>
            <w:gridSpan w:val="13"/>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as of September 30, 2011 and July 1, 2011</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520" w:type="dxa"/>
            <w:vAlign w:val="bottom"/>
            <w:tcBorders>
              <w:right w:val="single" w:sz="8" w:color="0000EE"/>
            </w:tcBorders>
            <w:gridSpan w:val="2"/>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600" w:type="dxa"/>
            <w:vAlign w:val="bottom"/>
            <w:gridSpan w:val="13"/>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 for the Quarters ended September 30, 2011 and October 1, 2010</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820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 (Unaudited)</w:t>
              </w:r>
            </w:hyperlink>
          </w:p>
        </w:tc>
        <w:tc>
          <w:tcPr>
            <w:tcW w:w="240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520" w:type="dxa"/>
            <w:vAlign w:val="bottom"/>
            <w:tcBorders>
              <w:right w:val="single" w:sz="8" w:color="0000EE"/>
            </w:tcBorders>
            <w:gridSpan w:val="2"/>
            <w:shd w:val="clear" w:color="auto" w:fill="0000EE"/>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37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600" w:type="dxa"/>
            <w:vAlign w:val="bottom"/>
            <w:gridSpan w:val="13"/>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Item 2. Management’s Discussion and Analysis of Financial Condition and Results of Operations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684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Item 3. Quantitative and Qualitative Disclosures about Market Risk</w:t>
              </w:r>
            </w:hyperlink>
          </w:p>
        </w:tc>
        <w:tc>
          <w:tcPr>
            <w:tcW w:w="376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78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Item 4. Controls and Procedures</w:t>
              </w:r>
            </w:hyperlink>
          </w:p>
        </w:tc>
        <w:tc>
          <w:tcPr>
            <w:tcW w:w="582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340" w:type="dxa"/>
            <w:vAlign w:val="bottom"/>
            <w:gridSpan w:val="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11040" w:type="dxa"/>
            <w:vAlign w:val="bottom"/>
            <w:gridSpan w:val="14"/>
          </w:tcPr>
          <w:p>
            <w:pPr>
              <w:spacing w:after="0"/>
              <w:rPr>
                <w:sz w:val="20"/>
                <w:szCs w:val="20"/>
                <w:color w:val="auto"/>
              </w:rPr>
            </w:pPr>
            <w:r>
              <w:rPr>
                <w:rFonts w:ascii="Arial" w:cs="Arial" w:eastAsia="Arial" w:hAnsi="Arial"/>
                <w:sz w:val="18"/>
                <w:szCs w:val="18"/>
                <w:b w:val="1"/>
                <w:bCs w:val="1"/>
                <w:color w:val="auto"/>
              </w:rPr>
              <w:t>Part II. Other Information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40" w:type="dxa"/>
            <w:vAlign w:val="bottom"/>
          </w:tcPr>
          <w:p>
            <w:pPr>
              <w:spacing w:after="0"/>
              <w:rPr>
                <w:sz w:val="15"/>
                <w:szCs w:val="15"/>
                <w:color w:val="auto"/>
              </w:rPr>
            </w:pPr>
          </w:p>
        </w:tc>
        <w:tc>
          <w:tcPr>
            <w:tcW w:w="10600" w:type="dxa"/>
            <w:vAlign w:val="bottom"/>
            <w:gridSpan w:val="13"/>
          </w:tcPr>
          <w:p>
            <w:pPr>
              <w:spacing w:after="0" w:line="184" w:lineRule="exact"/>
              <w:rPr>
                <w:rFonts w:ascii="Arial" w:cs="Arial" w:eastAsia="Arial" w:hAnsi="Arial"/>
                <w:sz w:val="18"/>
                <w:szCs w:val="18"/>
                <w:color w:val="0000EE"/>
              </w:rPr>
            </w:pPr>
            <w:hyperlink w:anchor="page27">
              <w:r>
                <w:rPr>
                  <w:rFonts w:ascii="Arial" w:cs="Arial" w:eastAsia="Arial" w:hAnsi="Arial"/>
                  <w:sz w:val="18"/>
                  <w:szCs w:val="18"/>
                  <w:color w:val="0000EE"/>
                </w:rPr>
                <w:t>Item 1. Legal Proceedings</w:t>
              </w:r>
            </w:hyperlink>
          </w:p>
        </w:tc>
        <w:tc>
          <w:tcPr>
            <w:tcW w:w="280" w:type="dxa"/>
            <w:vAlign w:val="bottom"/>
          </w:tcPr>
          <w:p>
            <w:pPr>
              <w:jc w:val="right"/>
              <w:spacing w:after="0" w:line="184"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5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w:anchor="page27">
              <w:r>
                <w:rPr>
                  <w:rFonts w:ascii="Arial" w:cs="Arial" w:eastAsia="Arial" w:hAnsi="Arial"/>
                  <w:sz w:val="18"/>
                  <w:szCs w:val="18"/>
                  <w:color w:val="0000EE"/>
                  <w:w w:val="89"/>
                </w:rPr>
                <w:t>Item 1A. Risk Factors</w:t>
              </w:r>
            </w:hyperlink>
          </w:p>
        </w:tc>
        <w:tc>
          <w:tcPr>
            <w:tcW w:w="280" w:type="dxa"/>
            <w:vAlign w:val="bottom"/>
            <w:tcBorders>
              <w:top w:val="single" w:sz="8" w:color="0000EE"/>
            </w:tcBorders>
          </w:tcPr>
          <w:p>
            <w:pPr>
              <w:spacing w:after="0"/>
              <w:rPr>
                <w:sz w:val="17"/>
                <w:szCs w:val="17"/>
                <w:color w:val="auto"/>
              </w:rPr>
            </w:pPr>
          </w:p>
        </w:tc>
        <w:tc>
          <w:tcPr>
            <w:tcW w:w="8760" w:type="dxa"/>
            <w:vAlign w:val="bottom"/>
            <w:gridSpan w:val="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600" w:type="dxa"/>
            <w:vAlign w:val="bottom"/>
            <w:gridSpan w:val="13"/>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Item 6. Exhibits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9480" w:type="dxa"/>
            <w:vAlign w:val="bottom"/>
            <w:gridSpan w:val="1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tcBorders>
              <w:bottom w:val="single" w:sz="8" w:color="0000EE"/>
            </w:tcBorders>
            <w:gridSpan w:val="2"/>
          </w:tcPr>
          <w:p>
            <w:pPr>
              <w:spacing w:after="0" w:line="196" w:lineRule="exact"/>
              <w:rPr>
                <w:rFonts w:ascii="Arial" w:cs="Arial" w:eastAsia="Arial" w:hAnsi="Arial"/>
                <w:sz w:val="18"/>
                <w:szCs w:val="18"/>
                <w:b w:val="1"/>
                <w:bCs w:val="1"/>
                <w:color w:val="0000EE"/>
                <w:w w:val="86"/>
              </w:rPr>
            </w:pPr>
            <w:hyperlink w:anchor="page28">
              <w:r>
                <w:rPr>
                  <w:rFonts w:ascii="Arial" w:cs="Arial" w:eastAsia="Arial" w:hAnsi="Arial"/>
                  <w:sz w:val="18"/>
                  <w:szCs w:val="18"/>
                  <w:b w:val="1"/>
                  <w:bCs w:val="1"/>
                  <w:color w:val="0000EE"/>
                  <w:w w:val="86"/>
                </w:rPr>
                <w:t>Signature</w:t>
              </w:r>
            </w:hyperlink>
          </w:p>
        </w:tc>
        <w:tc>
          <w:tcPr>
            <w:tcW w:w="10300" w:type="dxa"/>
            <w:vAlign w:val="bottom"/>
            <w:gridSpan w:val="1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1040" w:type="dxa"/>
            <w:vAlign w:val="bottom"/>
            <w:tcBorders>
              <w:bottom w:val="single" w:sz="8" w:color="0000EE"/>
            </w:tcBorders>
            <w:gridSpan w:val="3"/>
          </w:tcPr>
          <w:p>
            <w:pPr>
              <w:spacing w:after="0" w:line="196" w:lineRule="exact"/>
              <w:rPr>
                <w:rFonts w:ascii="Arial" w:cs="Arial" w:eastAsia="Arial" w:hAnsi="Arial"/>
                <w:sz w:val="18"/>
                <w:szCs w:val="18"/>
                <w:b w:val="1"/>
                <w:bCs w:val="1"/>
                <w:color w:val="0000EE"/>
                <w:w w:val="90"/>
              </w:rPr>
            </w:pPr>
            <w:hyperlink w:anchor="page29">
              <w:r>
                <w:rPr>
                  <w:rFonts w:ascii="Arial" w:cs="Arial" w:eastAsia="Arial" w:hAnsi="Arial"/>
                  <w:sz w:val="18"/>
                  <w:szCs w:val="18"/>
                  <w:b w:val="1"/>
                  <w:bCs w:val="1"/>
                  <w:color w:val="0000EE"/>
                  <w:w w:val="90"/>
                </w:rPr>
                <w:t>Exhibit Index</w:t>
              </w:r>
            </w:hyperlink>
          </w:p>
        </w:tc>
        <w:tc>
          <w:tcPr>
            <w:tcW w:w="10000" w:type="dxa"/>
            <w:vAlign w:val="bottom"/>
            <w:gridSpan w:val="1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532"/>
        </w:trPr>
        <w:tc>
          <w:tcPr>
            <w:tcW w:w="6320" w:type="dxa"/>
            <w:vAlign w:val="bottom"/>
            <w:gridSpan w:val="10"/>
          </w:tcPr>
          <w:p>
            <w:pPr>
              <w:ind w:left="5680"/>
              <w:spacing w:after="0"/>
              <w:rPr>
                <w:sz w:val="20"/>
                <w:szCs w:val="20"/>
                <w:color w:val="auto"/>
              </w:rPr>
            </w:pPr>
            <w:r>
              <w:rPr>
                <w:rFonts w:ascii="Arial" w:cs="Arial" w:eastAsia="Arial" w:hAnsi="Arial"/>
                <w:sz w:val="18"/>
                <w:szCs w:val="18"/>
                <w:color w:val="auto"/>
              </w:rPr>
              <w:t>2</w:t>
            </w:r>
          </w:p>
        </w:tc>
        <w:tc>
          <w:tcPr>
            <w:tcW w:w="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Quarter Ended</w:t>
            </w: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5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6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6"/>
              </w:rPr>
              <w:t>October 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060" w:type="dxa"/>
            <w:vAlign w:val="bottom"/>
            <w:gridSpan w:val="2"/>
          </w:tcPr>
          <w:p>
            <w:pPr>
              <w:spacing w:after="0"/>
              <w:rPr>
                <w:sz w:val="20"/>
                <w:szCs w:val="20"/>
                <w:color w:val="auto"/>
              </w:rPr>
            </w:pPr>
            <w:r>
              <w:rPr>
                <w:rFonts w:ascii="Arial" w:cs="Arial" w:eastAsia="Arial" w:hAnsi="Arial"/>
                <w:sz w:val="14"/>
                <w:szCs w:val="14"/>
                <w:b w:val="1"/>
                <w:bCs w:val="1"/>
                <w:color w:val="auto"/>
              </w:rPr>
              <w:t>(In millions, except per share amounts)</w:t>
            </w:r>
          </w:p>
        </w:tc>
        <w:tc>
          <w:tcPr>
            <w:tcW w:w="2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94"/>
              <w:spacing w:after="0"/>
              <w:rPr>
                <w:sz w:val="20"/>
                <w:szCs w:val="20"/>
                <w:color w:val="auto"/>
              </w:rPr>
            </w:pPr>
            <w:r>
              <w:rPr>
                <w:rFonts w:ascii="Arial" w:cs="Arial" w:eastAsia="Arial" w:hAnsi="Arial"/>
                <w:sz w:val="14"/>
                <w:szCs w:val="14"/>
                <w:b w:val="1"/>
                <w:bCs w:val="1"/>
                <w:color w:val="auto"/>
              </w:rPr>
              <w:t>2011</w:t>
            </w: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ind w:right="93"/>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2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420"/>
              <w:spacing w:after="0"/>
              <w:rPr>
                <w:sz w:val="20"/>
                <w:szCs w:val="20"/>
                <w:color w:val="auto"/>
              </w:rPr>
            </w:pPr>
            <w:r>
              <w:rPr>
                <w:rFonts w:ascii="Arial" w:cs="Arial" w:eastAsia="Arial" w:hAnsi="Arial"/>
                <w:sz w:val="18"/>
                <w:szCs w:val="18"/>
                <w:color w:val="auto"/>
              </w:rPr>
              <w:t>Revenue from product sales</w:t>
            </w:r>
          </w:p>
        </w:tc>
        <w:tc>
          <w:tcPr>
            <w:tcW w:w="2280" w:type="dxa"/>
            <w:vAlign w:val="bottom"/>
            <w:gridSpan w:val="2"/>
          </w:tcPr>
          <w:p>
            <w:pPr>
              <w:ind w:left="21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89.1</w:t>
            </w:r>
          </w:p>
        </w:tc>
        <w:tc>
          <w:tcPr>
            <w:tcW w:w="7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Revenue from services</w:t>
            </w:r>
          </w:p>
        </w:tc>
        <w:tc>
          <w:tcPr>
            <w:tcW w:w="2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7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040" w:type="dxa"/>
            <w:vAlign w:val="bottom"/>
          </w:tcPr>
          <w:p>
            <w:pPr>
              <w:ind w:left="860"/>
              <w:spacing w:after="0"/>
              <w:rPr>
                <w:sz w:val="20"/>
                <w:szCs w:val="20"/>
                <w:color w:val="auto"/>
              </w:rPr>
            </w:pPr>
            <w:r>
              <w:rPr>
                <w:rFonts w:ascii="Arial" w:cs="Arial" w:eastAsia="Arial" w:hAnsi="Arial"/>
                <w:sz w:val="18"/>
                <w:szCs w:val="18"/>
                <w:color w:val="auto"/>
              </w:rPr>
              <w:t>Total revenues</w:t>
            </w:r>
          </w:p>
        </w:tc>
        <w:tc>
          <w:tcPr>
            <w:tcW w:w="2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720"/>
              <w:spacing w:after="0"/>
              <w:rPr>
                <w:sz w:val="20"/>
                <w:szCs w:val="20"/>
                <w:color w:val="auto"/>
              </w:rPr>
            </w:pPr>
            <w:r>
              <w:rPr>
                <w:rFonts w:ascii="Arial" w:cs="Arial" w:eastAsia="Arial" w:hAnsi="Arial"/>
                <w:sz w:val="18"/>
                <w:szCs w:val="18"/>
                <w:color w:val="auto"/>
              </w:rPr>
              <w:t>111.4</w:t>
            </w:r>
          </w:p>
        </w:tc>
        <w:tc>
          <w:tcPr>
            <w:tcW w:w="14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revenues:</w:t>
            </w:r>
          </w:p>
        </w:tc>
        <w:tc>
          <w:tcPr>
            <w:tcW w:w="2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420"/>
              <w:spacing w:after="0"/>
              <w:rPr>
                <w:sz w:val="20"/>
                <w:szCs w:val="20"/>
                <w:color w:val="auto"/>
              </w:rPr>
            </w:pPr>
            <w:r>
              <w:rPr>
                <w:rFonts w:ascii="Arial" w:cs="Arial" w:eastAsia="Arial" w:hAnsi="Arial"/>
                <w:sz w:val="18"/>
                <w:szCs w:val="18"/>
                <w:color w:val="auto"/>
              </w:rPr>
              <w:t>Cost of product sales</w:t>
            </w:r>
          </w:p>
        </w:tc>
        <w:tc>
          <w:tcPr>
            <w:tcW w:w="2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61.4</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services</w:t>
            </w:r>
          </w:p>
        </w:tc>
        <w:tc>
          <w:tcPr>
            <w:tcW w:w="2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40" w:type="dxa"/>
            <w:vAlign w:val="bottom"/>
          </w:tcPr>
          <w:p>
            <w:pPr>
              <w:ind w:left="420"/>
              <w:spacing w:after="0"/>
              <w:rPr>
                <w:sz w:val="20"/>
                <w:szCs w:val="20"/>
                <w:color w:val="auto"/>
              </w:rPr>
            </w:pPr>
            <w:r>
              <w:rPr>
                <w:rFonts w:ascii="Arial" w:cs="Arial" w:eastAsia="Arial" w:hAnsi="Arial"/>
                <w:sz w:val="18"/>
                <w:szCs w:val="18"/>
                <w:color w:val="auto"/>
              </w:rPr>
              <w:t>Amortization of purchased technology</w:t>
            </w:r>
          </w:p>
        </w:tc>
        <w:tc>
          <w:tcPr>
            <w:tcW w:w="2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7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cost of revenues</w:t>
            </w:r>
          </w:p>
        </w:tc>
        <w:tc>
          <w:tcPr>
            <w:tcW w:w="2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7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060" w:type="dxa"/>
            <w:vAlign w:val="bottom"/>
            <w:gridSpan w:val="2"/>
          </w:tcPr>
          <w:p>
            <w:pPr>
              <w:spacing w:after="0"/>
              <w:rPr>
                <w:sz w:val="20"/>
                <w:szCs w:val="20"/>
                <w:color w:val="auto"/>
              </w:rPr>
            </w:pPr>
            <w:r>
              <w:rPr>
                <w:rFonts w:ascii="Arial" w:cs="Arial" w:eastAsia="Arial" w:hAnsi="Arial"/>
                <w:sz w:val="18"/>
                <w:szCs w:val="18"/>
                <w:b w:val="1"/>
                <w:bCs w:val="1"/>
                <w:color w:val="auto"/>
              </w:rPr>
              <w:t>Gross margin</w:t>
            </w:r>
          </w:p>
        </w:tc>
        <w:tc>
          <w:tcPr>
            <w:tcW w:w="2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32.7</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420"/>
              <w:spacing w:after="0"/>
              <w:rPr>
                <w:sz w:val="20"/>
                <w:szCs w:val="20"/>
                <w:color w:val="auto"/>
              </w:rPr>
            </w:pPr>
            <w:r>
              <w:rPr>
                <w:rFonts w:ascii="Arial" w:cs="Arial" w:eastAsia="Arial" w:hAnsi="Arial"/>
                <w:sz w:val="18"/>
                <w:szCs w:val="18"/>
                <w:color w:val="auto"/>
              </w:rPr>
              <w:t>Research and development expenses</w:t>
            </w:r>
          </w:p>
        </w:tc>
        <w:tc>
          <w:tcPr>
            <w:tcW w:w="2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9.0</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and administrative expenses</w:t>
            </w:r>
          </w:p>
        </w:tc>
        <w:tc>
          <w:tcPr>
            <w:tcW w:w="2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420"/>
              <w:spacing w:after="0"/>
              <w:rPr>
                <w:sz w:val="20"/>
                <w:szCs w:val="20"/>
                <w:color w:val="auto"/>
              </w:rPr>
            </w:pPr>
            <w:r>
              <w:rPr>
                <w:rFonts w:ascii="Arial" w:cs="Arial" w:eastAsia="Arial" w:hAnsi="Arial"/>
                <w:sz w:val="18"/>
                <w:szCs w:val="18"/>
                <w:color w:val="auto"/>
              </w:rPr>
              <w:t>Amortization of identifiable intangible assets</w:t>
            </w:r>
          </w:p>
        </w:tc>
        <w:tc>
          <w:tcPr>
            <w:tcW w:w="2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0.7</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Restructuring charges</w:t>
            </w:r>
          </w:p>
        </w:tc>
        <w:tc>
          <w:tcPr>
            <w:tcW w:w="2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7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40" w:type="dxa"/>
            <w:vAlign w:val="bottom"/>
          </w:tcPr>
          <w:p>
            <w:pPr>
              <w:ind w:left="860"/>
              <w:spacing w:after="0"/>
              <w:rPr>
                <w:sz w:val="20"/>
                <w:szCs w:val="20"/>
                <w:color w:val="auto"/>
              </w:rPr>
            </w:pPr>
            <w:r>
              <w:rPr>
                <w:rFonts w:ascii="Arial" w:cs="Arial" w:eastAsia="Arial" w:hAnsi="Arial"/>
                <w:sz w:val="18"/>
                <w:szCs w:val="18"/>
                <w:color w:val="auto"/>
              </w:rPr>
              <w:t>Total operating expenses</w:t>
            </w:r>
          </w:p>
        </w:tc>
        <w:tc>
          <w:tcPr>
            <w:tcW w:w="2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7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2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Loss on sale of NetBoss assets</w:t>
            </w:r>
          </w:p>
        </w:tc>
        <w:tc>
          <w:tcPr>
            <w:tcW w:w="2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Interest expense</w:t>
            </w:r>
          </w:p>
        </w:tc>
        <w:tc>
          <w:tcPr>
            <w:tcW w:w="2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continuing operations before income taxes</w:t>
            </w:r>
          </w:p>
        </w:tc>
        <w:tc>
          <w:tcPr>
            <w:tcW w:w="2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2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continuing operations</w:t>
            </w:r>
          </w:p>
        </w:tc>
        <w:tc>
          <w:tcPr>
            <w:tcW w:w="2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(3.7)</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Loss from discontinued operations, net of tax</w:t>
            </w:r>
          </w:p>
        </w:tc>
        <w:tc>
          <w:tcPr>
            <w:tcW w:w="2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2280" w:type="dxa"/>
            <w:vAlign w:val="bottom"/>
            <w:gridSpan w:val="2"/>
            <w:shd w:val="clear" w:color="auto" w:fill="CCEEFF"/>
          </w:tcPr>
          <w:p>
            <w:pPr>
              <w:ind w:left="21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0"/>
        </w:trPr>
        <w:tc>
          <w:tcPr>
            <w:tcW w:w="7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Per share data:</w:t>
            </w:r>
          </w:p>
        </w:tc>
        <w:tc>
          <w:tcPr>
            <w:tcW w:w="2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060" w:type="dxa"/>
            <w:vAlign w:val="bottom"/>
            <w:gridSpan w:val="2"/>
            <w:vMerge w:val="continue"/>
          </w:tcPr>
          <w:p>
            <w:pPr>
              <w:spacing w:after="0"/>
              <w:rPr>
                <w:sz w:val="18"/>
                <w:szCs w:val="18"/>
                <w:color w:val="auto"/>
              </w:rPr>
            </w:pPr>
          </w:p>
        </w:tc>
        <w:tc>
          <w:tcPr>
            <w:tcW w:w="2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loss per common share from continuing operations</w:t>
            </w:r>
          </w:p>
        </w:tc>
        <w:tc>
          <w:tcPr>
            <w:tcW w:w="2280" w:type="dxa"/>
            <w:vAlign w:val="bottom"/>
            <w:gridSpan w:val="2"/>
            <w:shd w:val="clear" w:color="auto" w:fill="CCEEFF"/>
          </w:tcPr>
          <w:p>
            <w:pPr>
              <w:ind w:left="21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(0.06)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Basic and diluted loss per common share from discontinued operations</w:t>
            </w:r>
          </w:p>
        </w:tc>
        <w:tc>
          <w:tcPr>
            <w:tcW w:w="2280" w:type="dxa"/>
            <w:vAlign w:val="bottom"/>
            <w:gridSpan w:val="2"/>
          </w:tcPr>
          <w:p>
            <w:pPr>
              <w:ind w:left="21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(0.05)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common share</w:t>
            </w:r>
          </w:p>
        </w:tc>
        <w:tc>
          <w:tcPr>
            <w:tcW w:w="2280" w:type="dxa"/>
            <w:vAlign w:val="bottom"/>
            <w:gridSpan w:val="2"/>
            <w:shd w:val="clear" w:color="auto" w:fill="CCEEFF"/>
          </w:tcPr>
          <w:p>
            <w:pPr>
              <w:ind w:left="21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(0.12)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40" w:type="dxa"/>
            <w:vAlign w:val="bottom"/>
          </w:tcPr>
          <w:p>
            <w:pPr>
              <w:spacing w:after="0"/>
              <w:rPr>
                <w:sz w:val="20"/>
                <w:szCs w:val="20"/>
                <w:color w:val="auto"/>
              </w:rPr>
            </w:pPr>
            <w:r>
              <w:rPr>
                <w:rFonts w:ascii="Arial" w:cs="Arial" w:eastAsia="Arial" w:hAnsi="Arial"/>
                <w:sz w:val="18"/>
                <w:szCs w:val="18"/>
                <w:b w:val="1"/>
                <w:bCs w:val="1"/>
                <w:color w:val="auto"/>
              </w:rPr>
              <w:t>Basic and diluted weighted average shares outstanding</w:t>
            </w:r>
          </w:p>
        </w:tc>
        <w:tc>
          <w:tcPr>
            <w:tcW w:w="2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58.8</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bl>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6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July 1,</w:t>
            </w:r>
          </w:p>
        </w:tc>
      </w:tr>
      <w:tr>
        <w:trPr>
          <w:trHeight w:val="161"/>
        </w:trPr>
        <w:tc>
          <w:tcPr>
            <w:tcW w:w="90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(In millions, except share and per share amounts)</w:t>
            </w:r>
          </w:p>
        </w:tc>
        <w:tc>
          <w:tcPr>
            <w:tcW w:w="3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CCEEFF"/>
            </w:tcBorders>
          </w:tcPr>
          <w:p>
            <w:pPr>
              <w:spacing w:after="0"/>
              <w:rPr>
                <w:sz w:val="14"/>
                <w:szCs w:val="14"/>
                <w:color w:val="auto"/>
              </w:rPr>
            </w:pPr>
          </w:p>
        </w:tc>
      </w:tr>
      <w:tr>
        <w:trPr>
          <w:trHeight w:val="196"/>
        </w:trPr>
        <w:tc>
          <w:tcPr>
            <w:tcW w:w="90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080" w:type="dxa"/>
            <w:vAlign w:val="bottom"/>
          </w:tcPr>
          <w:p>
            <w:pPr>
              <w:ind w:left="440"/>
              <w:spacing w:after="0"/>
              <w:rPr>
                <w:sz w:val="20"/>
                <w:szCs w:val="20"/>
                <w:color w:val="auto"/>
              </w:rPr>
            </w:pPr>
            <w:r>
              <w:rPr>
                <w:rFonts w:ascii="Arial" w:cs="Arial" w:eastAsia="Arial" w:hAnsi="Arial"/>
                <w:sz w:val="18"/>
                <w:szCs w:val="18"/>
                <w:i w:val="1"/>
                <w:iCs w:val="1"/>
                <w:color w:val="auto"/>
              </w:rPr>
              <w:t>Current Assets</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0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Cash and cash equivalents</w:t>
            </w:r>
          </w:p>
        </w:tc>
        <w:tc>
          <w:tcPr>
            <w:tcW w:w="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98.2</w:t>
            </w:r>
          </w:p>
        </w:tc>
      </w:tr>
      <w:tr>
        <w:trPr>
          <w:trHeight w:val="216"/>
        </w:trPr>
        <w:tc>
          <w:tcPr>
            <w:tcW w:w="9080" w:type="dxa"/>
            <w:vAlign w:val="bottom"/>
          </w:tcPr>
          <w:p>
            <w:pPr>
              <w:ind w:left="880"/>
              <w:spacing w:after="0"/>
              <w:rPr>
                <w:sz w:val="20"/>
                <w:szCs w:val="20"/>
                <w:color w:val="auto"/>
              </w:rPr>
            </w:pPr>
            <w:r>
              <w:rPr>
                <w:rFonts w:ascii="Arial" w:cs="Arial" w:eastAsia="Arial" w:hAnsi="Arial"/>
                <w:sz w:val="18"/>
                <w:szCs w:val="18"/>
                <w:color w:val="auto"/>
              </w:rPr>
              <w:t>Receivables, net</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124.7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133.0</w:t>
            </w:r>
          </w:p>
        </w:tc>
      </w:tr>
      <w:tr>
        <w:trPr>
          <w:trHeight w:val="216"/>
        </w:trPr>
        <w:tc>
          <w:tcPr>
            <w:tcW w:w="90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Unbilled costs</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w:t>
            </w:r>
          </w:p>
        </w:tc>
      </w:tr>
      <w:tr>
        <w:trPr>
          <w:trHeight w:val="216"/>
        </w:trPr>
        <w:tc>
          <w:tcPr>
            <w:tcW w:w="9080" w:type="dxa"/>
            <w:vAlign w:val="bottom"/>
          </w:tcPr>
          <w:p>
            <w:pPr>
              <w:ind w:left="880"/>
              <w:spacing w:after="0"/>
              <w:rPr>
                <w:sz w:val="20"/>
                <w:szCs w:val="20"/>
                <w:color w:val="auto"/>
              </w:rPr>
            </w:pPr>
            <w:r>
              <w:rPr>
                <w:rFonts w:ascii="Arial" w:cs="Arial" w:eastAsia="Arial" w:hAnsi="Arial"/>
                <w:sz w:val="18"/>
                <w:szCs w:val="18"/>
                <w:color w:val="auto"/>
              </w:rPr>
              <w:t>Inventories</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50.6</w:t>
            </w:r>
          </w:p>
        </w:tc>
      </w:tr>
      <w:tr>
        <w:trPr>
          <w:trHeight w:val="216"/>
        </w:trPr>
        <w:tc>
          <w:tcPr>
            <w:tcW w:w="90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Customer service inventories</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w:t>
            </w:r>
          </w:p>
        </w:tc>
      </w:tr>
      <w:tr>
        <w:trPr>
          <w:trHeight w:val="216"/>
        </w:trPr>
        <w:tc>
          <w:tcPr>
            <w:tcW w:w="9080" w:type="dxa"/>
            <w:vAlign w:val="bottom"/>
          </w:tcPr>
          <w:p>
            <w:pPr>
              <w:ind w:left="880"/>
              <w:spacing w:after="0"/>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r>
      <w:tr>
        <w:trPr>
          <w:trHeight w:val="216"/>
        </w:trPr>
        <w:tc>
          <w:tcPr>
            <w:tcW w:w="90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Other current assets</w:t>
            </w:r>
          </w:p>
        </w:tc>
        <w:tc>
          <w:tcPr>
            <w:tcW w:w="3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18"/>
                <w:szCs w:val="18"/>
                <w:color w:val="auto"/>
              </w:rPr>
            </w:pPr>
          </w:p>
        </w:tc>
      </w:tr>
      <w:tr>
        <w:trPr>
          <w:trHeight w:val="222"/>
        </w:trPr>
        <w:tc>
          <w:tcPr>
            <w:tcW w:w="9080" w:type="dxa"/>
            <w:vAlign w:val="bottom"/>
          </w:tcPr>
          <w:p>
            <w:pPr>
              <w:ind w:left="1300"/>
              <w:spacing w:after="0"/>
              <w:rPr>
                <w:sz w:val="20"/>
                <w:szCs w:val="20"/>
                <w:color w:val="auto"/>
              </w:rPr>
            </w:pPr>
            <w:r>
              <w:rPr>
                <w:rFonts w:ascii="Arial" w:cs="Arial" w:eastAsia="Arial" w:hAnsi="Arial"/>
                <w:sz w:val="18"/>
                <w:szCs w:val="18"/>
                <w:color w:val="auto"/>
              </w:rPr>
              <w:t>Total current assets</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331.8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350.3</w:t>
            </w:r>
          </w:p>
        </w:tc>
      </w:tr>
      <w:tr>
        <w:trPr>
          <w:trHeight w:val="217"/>
        </w:trPr>
        <w:tc>
          <w:tcPr>
            <w:tcW w:w="9080" w:type="dxa"/>
            <w:vAlign w:val="bottom"/>
            <w:shd w:val="clear" w:color="auto" w:fill="CCEEFF"/>
          </w:tcPr>
          <w:p>
            <w:pPr>
              <w:ind w:left="440"/>
              <w:spacing w:after="0"/>
              <w:rPr>
                <w:sz w:val="20"/>
                <w:szCs w:val="20"/>
                <w:color w:val="auto"/>
              </w:rPr>
            </w:pPr>
            <w:r>
              <w:rPr>
                <w:rFonts w:ascii="Arial" w:cs="Arial" w:eastAsia="Arial" w:hAnsi="Arial"/>
                <w:sz w:val="18"/>
                <w:szCs w:val="18"/>
                <w:i w:val="1"/>
                <w:iCs w:val="1"/>
                <w:color w:val="auto"/>
              </w:rPr>
              <w:t>Long-Term Assets</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080" w:type="dxa"/>
            <w:vAlign w:val="bottom"/>
          </w:tcPr>
          <w:p>
            <w:pPr>
              <w:ind w:left="880"/>
              <w:spacing w:after="0"/>
              <w:rPr>
                <w:sz w:val="20"/>
                <w:szCs w:val="20"/>
                <w:color w:val="auto"/>
              </w:rPr>
            </w:pPr>
            <w:r>
              <w:rPr>
                <w:rFonts w:ascii="Arial" w:cs="Arial" w:eastAsia="Arial" w:hAnsi="Arial"/>
                <w:sz w:val="18"/>
                <w:szCs w:val="18"/>
                <w:color w:val="auto"/>
              </w:rPr>
              <w:t>Property, plant and equipment, net</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21.6</w:t>
            </w:r>
          </w:p>
        </w:tc>
      </w:tr>
      <w:tr>
        <w:trPr>
          <w:trHeight w:val="216"/>
        </w:trPr>
        <w:tc>
          <w:tcPr>
            <w:tcW w:w="90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Goodwill</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r>
      <w:tr>
        <w:trPr>
          <w:trHeight w:val="216"/>
        </w:trPr>
        <w:tc>
          <w:tcPr>
            <w:tcW w:w="9080" w:type="dxa"/>
            <w:vAlign w:val="bottom"/>
          </w:tcPr>
          <w:p>
            <w:pPr>
              <w:ind w:left="880"/>
              <w:spacing w:after="0"/>
              <w:rPr>
                <w:sz w:val="20"/>
                <w:szCs w:val="20"/>
                <w:color w:val="auto"/>
              </w:rPr>
            </w:pPr>
            <w:r>
              <w:rPr>
                <w:rFonts w:ascii="Arial" w:cs="Arial" w:eastAsia="Arial" w:hAnsi="Arial"/>
                <w:sz w:val="18"/>
                <w:szCs w:val="18"/>
                <w:color w:val="auto"/>
              </w:rPr>
              <w:t>Identifiable intangible assets, net</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r>
      <w:tr>
        <w:trPr>
          <w:trHeight w:val="216"/>
        </w:trPr>
        <w:tc>
          <w:tcPr>
            <w:tcW w:w="90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Deferred income taxes</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r>
      <w:tr>
        <w:trPr>
          <w:trHeight w:val="223"/>
        </w:trPr>
        <w:tc>
          <w:tcPr>
            <w:tcW w:w="9080" w:type="dxa"/>
            <w:vAlign w:val="bottom"/>
          </w:tcPr>
          <w:p>
            <w:pPr>
              <w:ind w:left="880"/>
              <w:spacing w:after="0"/>
              <w:rPr>
                <w:sz w:val="20"/>
                <w:szCs w:val="20"/>
                <w:color w:val="auto"/>
              </w:rPr>
            </w:pPr>
            <w:r>
              <w:rPr>
                <w:rFonts w:ascii="Arial" w:cs="Arial" w:eastAsia="Arial" w:hAnsi="Arial"/>
                <w:sz w:val="18"/>
                <w:szCs w:val="18"/>
                <w:color w:val="auto"/>
              </w:rPr>
              <w:t>Other assets</w:t>
            </w:r>
          </w:p>
        </w:tc>
        <w:tc>
          <w:tcPr>
            <w:tcW w:w="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r>
      <w:tr>
        <w:trPr>
          <w:trHeight w:val="216"/>
        </w:trPr>
        <w:tc>
          <w:tcPr>
            <w:tcW w:w="90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long-term assets</w:t>
            </w:r>
          </w:p>
        </w:tc>
        <w:tc>
          <w:tcPr>
            <w:tcW w:w="3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00" w:type="dxa"/>
            <w:vAlign w:val="bottom"/>
            <w:shd w:val="clear" w:color="auto" w:fill="CCEEFF"/>
          </w:tcPr>
          <w:p>
            <w:pPr>
              <w:spacing w:after="0"/>
              <w:rPr>
                <w:sz w:val="18"/>
                <w:szCs w:val="18"/>
                <w:color w:val="auto"/>
              </w:rPr>
            </w:pPr>
          </w:p>
        </w:tc>
      </w:tr>
      <w:tr>
        <w:trPr>
          <w:trHeight w:val="222"/>
        </w:trPr>
        <w:tc>
          <w:tcPr>
            <w:tcW w:w="9080" w:type="dxa"/>
            <w:vAlign w:val="bottom"/>
          </w:tcPr>
          <w:p>
            <w:pPr>
              <w:ind w:left="880"/>
              <w:spacing w:after="0"/>
              <w:rPr>
                <w:sz w:val="20"/>
                <w:szCs w:val="20"/>
                <w:color w:val="auto"/>
              </w:rPr>
            </w:pPr>
            <w:r>
              <w:rPr>
                <w:rFonts w:ascii="Arial" w:cs="Arial" w:eastAsia="Arial" w:hAnsi="Arial"/>
                <w:sz w:val="18"/>
                <w:szCs w:val="18"/>
                <w:color w:val="auto"/>
              </w:rPr>
              <w:t>Total assets</w:t>
            </w:r>
          </w:p>
        </w:tc>
        <w:tc>
          <w:tcPr>
            <w:tcW w:w="5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365.1</w:t>
            </w:r>
          </w:p>
        </w:tc>
        <w:tc>
          <w:tcPr>
            <w:tcW w:w="28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383.9</w:t>
            </w:r>
          </w:p>
        </w:tc>
      </w:tr>
      <w:tr>
        <w:trPr>
          <w:trHeight w:val="20"/>
        </w:trPr>
        <w:tc>
          <w:tcPr>
            <w:tcW w:w="9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9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080" w:type="dxa"/>
            <w:vAlign w:val="bottom"/>
          </w:tcPr>
          <w:p>
            <w:pPr>
              <w:ind w:left="440"/>
              <w:spacing w:after="0"/>
              <w:rPr>
                <w:sz w:val="20"/>
                <w:szCs w:val="20"/>
                <w:color w:val="auto"/>
              </w:rPr>
            </w:pPr>
            <w:r>
              <w:rPr>
                <w:rFonts w:ascii="Arial" w:cs="Arial" w:eastAsia="Arial" w:hAnsi="Arial"/>
                <w:sz w:val="18"/>
                <w:szCs w:val="18"/>
                <w:i w:val="1"/>
                <w:iCs w:val="1"/>
                <w:color w:val="auto"/>
              </w:rPr>
              <w:t>Current Liabilities</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0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Short-term debt</w:t>
            </w:r>
          </w:p>
        </w:tc>
        <w:tc>
          <w:tcPr>
            <w:tcW w:w="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r>
      <w:tr>
        <w:trPr>
          <w:trHeight w:val="216"/>
        </w:trPr>
        <w:tc>
          <w:tcPr>
            <w:tcW w:w="9080" w:type="dxa"/>
            <w:vAlign w:val="bottom"/>
          </w:tcPr>
          <w:p>
            <w:pPr>
              <w:ind w:left="880"/>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61.7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70.3</w:t>
            </w:r>
          </w:p>
        </w:tc>
      </w:tr>
      <w:tr>
        <w:trPr>
          <w:trHeight w:val="216"/>
        </w:trPr>
        <w:tc>
          <w:tcPr>
            <w:tcW w:w="90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Accrued compensation and benefits</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w:t>
            </w:r>
          </w:p>
        </w:tc>
      </w:tr>
      <w:tr>
        <w:trPr>
          <w:trHeight w:val="216"/>
        </w:trPr>
        <w:tc>
          <w:tcPr>
            <w:tcW w:w="9080" w:type="dxa"/>
            <w:vAlign w:val="bottom"/>
          </w:tcPr>
          <w:p>
            <w:pPr>
              <w:ind w:left="880"/>
              <w:spacing w:after="0"/>
              <w:rPr>
                <w:sz w:val="20"/>
                <w:szCs w:val="20"/>
                <w:color w:val="auto"/>
              </w:rPr>
            </w:pPr>
            <w:r>
              <w:rPr>
                <w:rFonts w:ascii="Arial" w:cs="Arial" w:eastAsia="Arial" w:hAnsi="Arial"/>
                <w:sz w:val="18"/>
                <w:szCs w:val="18"/>
                <w:color w:val="auto"/>
              </w:rPr>
              <w:t>Redeemable preference shares</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r>
      <w:tr>
        <w:trPr>
          <w:trHeight w:val="216"/>
        </w:trPr>
        <w:tc>
          <w:tcPr>
            <w:tcW w:w="90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Other accrued expenses</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w:t>
            </w:r>
          </w:p>
        </w:tc>
      </w:tr>
      <w:tr>
        <w:trPr>
          <w:trHeight w:val="216"/>
        </w:trPr>
        <w:tc>
          <w:tcPr>
            <w:tcW w:w="9080" w:type="dxa"/>
            <w:vAlign w:val="bottom"/>
          </w:tcPr>
          <w:p>
            <w:pPr>
              <w:ind w:left="880"/>
              <w:spacing w:after="0"/>
              <w:rPr>
                <w:sz w:val="20"/>
                <w:szCs w:val="20"/>
                <w:color w:val="auto"/>
              </w:rPr>
            </w:pPr>
            <w:r>
              <w:rPr>
                <w:rFonts w:ascii="Arial" w:cs="Arial" w:eastAsia="Arial" w:hAnsi="Arial"/>
                <w:sz w:val="18"/>
                <w:szCs w:val="18"/>
                <w:color w:val="auto"/>
              </w:rPr>
              <w:t>Advance payments and unearned income</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45.8</w:t>
            </w:r>
          </w:p>
        </w:tc>
      </w:tr>
      <w:tr>
        <w:trPr>
          <w:trHeight w:val="216"/>
        </w:trPr>
        <w:tc>
          <w:tcPr>
            <w:tcW w:w="90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Deferred income taxes</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w:t>
            </w:r>
          </w:p>
        </w:tc>
      </w:tr>
      <w:tr>
        <w:trPr>
          <w:trHeight w:val="223"/>
        </w:trPr>
        <w:tc>
          <w:tcPr>
            <w:tcW w:w="9080" w:type="dxa"/>
            <w:vAlign w:val="bottom"/>
          </w:tcPr>
          <w:p>
            <w:pPr>
              <w:ind w:left="880"/>
              <w:spacing w:after="0"/>
              <w:rPr>
                <w:sz w:val="20"/>
                <w:szCs w:val="20"/>
                <w:color w:val="auto"/>
              </w:rPr>
            </w:pPr>
            <w:r>
              <w:rPr>
                <w:rFonts w:ascii="Arial" w:cs="Arial" w:eastAsia="Arial" w:hAnsi="Arial"/>
                <w:sz w:val="18"/>
                <w:szCs w:val="18"/>
                <w:color w:val="auto"/>
              </w:rPr>
              <w:t>Restructuring liabilities</w:t>
            </w:r>
          </w:p>
        </w:tc>
        <w:tc>
          <w:tcPr>
            <w:tcW w:w="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r>
      <w:tr>
        <w:trPr>
          <w:trHeight w:val="216"/>
        </w:trPr>
        <w:tc>
          <w:tcPr>
            <w:tcW w:w="90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Current Liabilities</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197.1</w:t>
            </w:r>
          </w:p>
        </w:tc>
      </w:tr>
      <w:tr>
        <w:trPr>
          <w:trHeight w:val="216"/>
        </w:trPr>
        <w:tc>
          <w:tcPr>
            <w:tcW w:w="9080" w:type="dxa"/>
            <w:vAlign w:val="bottom"/>
          </w:tcPr>
          <w:p>
            <w:pPr>
              <w:ind w:left="440"/>
              <w:spacing w:after="0"/>
              <w:rPr>
                <w:sz w:val="20"/>
                <w:szCs w:val="20"/>
                <w:color w:val="auto"/>
              </w:rPr>
            </w:pPr>
            <w:r>
              <w:rPr>
                <w:rFonts w:ascii="Arial" w:cs="Arial" w:eastAsia="Arial" w:hAnsi="Arial"/>
                <w:sz w:val="18"/>
                <w:szCs w:val="18"/>
                <w:i w:val="1"/>
                <w:iCs w:val="1"/>
                <w:color w:val="auto"/>
              </w:rPr>
              <w:t>Long-Term Liabilities</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0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Other long-term liabilities</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r>
      <w:tr>
        <w:trPr>
          <w:trHeight w:val="216"/>
        </w:trPr>
        <w:tc>
          <w:tcPr>
            <w:tcW w:w="9080" w:type="dxa"/>
            <w:vAlign w:val="bottom"/>
          </w:tcPr>
          <w:p>
            <w:pPr>
              <w:ind w:left="880"/>
              <w:spacing w:after="0"/>
              <w:rPr>
                <w:sz w:val="20"/>
                <w:szCs w:val="20"/>
                <w:color w:val="auto"/>
              </w:rPr>
            </w:pPr>
            <w:r>
              <w:rPr>
                <w:rFonts w:ascii="Arial" w:cs="Arial" w:eastAsia="Arial" w:hAnsi="Arial"/>
                <w:sz w:val="18"/>
                <w:szCs w:val="18"/>
                <w:color w:val="auto"/>
              </w:rPr>
              <w:t>Reserve for uncertain tax positions</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r>
      <w:tr>
        <w:trPr>
          <w:trHeight w:val="216"/>
        </w:trPr>
        <w:tc>
          <w:tcPr>
            <w:tcW w:w="90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Deferred income taxes</w:t>
            </w:r>
          </w:p>
        </w:tc>
        <w:tc>
          <w:tcPr>
            <w:tcW w:w="3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r>
      <w:tr>
        <w:trPr>
          <w:trHeight w:val="222"/>
        </w:trPr>
        <w:tc>
          <w:tcPr>
            <w:tcW w:w="9080" w:type="dxa"/>
            <w:vAlign w:val="bottom"/>
          </w:tcPr>
          <w:p>
            <w:pPr>
              <w:ind w:left="1300"/>
              <w:spacing w:after="0"/>
              <w:rPr>
                <w:sz w:val="20"/>
                <w:szCs w:val="20"/>
                <w:color w:val="auto"/>
              </w:rPr>
            </w:pPr>
            <w:r>
              <w:rPr>
                <w:rFonts w:ascii="Arial" w:cs="Arial" w:eastAsia="Arial" w:hAnsi="Arial"/>
                <w:sz w:val="18"/>
                <w:szCs w:val="18"/>
                <w:color w:val="auto"/>
              </w:rPr>
              <w:t>Total Liabilities</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192.3</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206.2</w:t>
            </w:r>
          </w:p>
        </w:tc>
      </w:tr>
      <w:tr>
        <w:trPr>
          <w:trHeight w:val="217"/>
        </w:trPr>
        <w:tc>
          <w:tcPr>
            <w:tcW w:w="9080" w:type="dxa"/>
            <w:vAlign w:val="bottom"/>
            <w:shd w:val="clear" w:color="auto" w:fill="CCEEFF"/>
          </w:tcPr>
          <w:p>
            <w:pPr>
              <w:ind w:left="440"/>
              <w:spacing w:after="0"/>
              <w:rPr>
                <w:sz w:val="20"/>
                <w:szCs w:val="20"/>
                <w:color w:val="auto"/>
              </w:rPr>
            </w:pPr>
            <w:r>
              <w:rPr>
                <w:rFonts w:ascii="Arial" w:cs="Arial" w:eastAsia="Arial" w:hAnsi="Arial"/>
                <w:sz w:val="18"/>
                <w:szCs w:val="18"/>
                <w:i w:val="1"/>
                <w:iCs w:val="1"/>
                <w:color w:val="auto"/>
              </w:rPr>
              <w:t>Commitments and contingencies</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080" w:type="dxa"/>
            <w:vAlign w:val="bottom"/>
          </w:tcPr>
          <w:p>
            <w:pPr>
              <w:ind w:left="440"/>
              <w:spacing w:after="0"/>
              <w:rPr>
                <w:sz w:val="20"/>
                <w:szCs w:val="20"/>
                <w:color w:val="auto"/>
              </w:rPr>
            </w:pPr>
            <w:r>
              <w:rPr>
                <w:rFonts w:ascii="Arial" w:cs="Arial" w:eastAsia="Arial" w:hAnsi="Arial"/>
                <w:sz w:val="18"/>
                <w:szCs w:val="18"/>
                <w:i w:val="1"/>
                <w:iCs w:val="1"/>
                <w:color w:val="auto"/>
              </w:rPr>
              <w:t>Stockholders’ Equity</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0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Preferred stock, $0.01 par value; 50,000,000 shares authorized; none issued</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08"/>
        </w:trPr>
        <w:tc>
          <w:tcPr>
            <w:tcW w:w="9080" w:type="dxa"/>
            <w:vAlign w:val="bottom"/>
          </w:tcPr>
          <w:p>
            <w:pPr>
              <w:ind w:left="880"/>
              <w:spacing w:after="0"/>
              <w:rPr>
                <w:sz w:val="20"/>
                <w:szCs w:val="20"/>
                <w:color w:val="auto"/>
              </w:rPr>
            </w:pPr>
            <w:r>
              <w:rPr>
                <w:rFonts w:ascii="Arial" w:cs="Arial" w:eastAsia="Arial" w:hAnsi="Arial"/>
                <w:sz w:val="18"/>
                <w:szCs w:val="18"/>
                <w:color w:val="auto"/>
                <w:w w:val="90"/>
              </w:rPr>
              <w:t>Common stock, $0.01 par value; 300,000,000 shares authorized; issued and outstanding 60,511,709 shares as of</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9080" w:type="dxa"/>
            <w:vAlign w:val="bottom"/>
          </w:tcPr>
          <w:p>
            <w:pPr>
              <w:ind w:left="1080"/>
              <w:spacing w:after="0"/>
              <w:rPr>
                <w:sz w:val="20"/>
                <w:szCs w:val="20"/>
                <w:color w:val="auto"/>
              </w:rPr>
            </w:pPr>
            <w:r>
              <w:rPr>
                <w:rFonts w:ascii="Arial" w:cs="Arial" w:eastAsia="Arial" w:hAnsi="Arial"/>
                <w:sz w:val="18"/>
                <w:szCs w:val="18"/>
                <w:color w:val="auto"/>
              </w:rPr>
              <w:t>September 30, 2011 and 60,611,561 shares as of July 1, 2011</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0.6</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0.6</w:t>
            </w:r>
          </w:p>
        </w:tc>
      </w:tr>
      <w:tr>
        <w:trPr>
          <w:trHeight w:val="217"/>
        </w:trPr>
        <w:tc>
          <w:tcPr>
            <w:tcW w:w="90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Additional paid-in-capital</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791.6</w:t>
            </w:r>
          </w:p>
        </w:tc>
      </w:tr>
      <w:tr>
        <w:trPr>
          <w:trHeight w:val="216"/>
        </w:trPr>
        <w:tc>
          <w:tcPr>
            <w:tcW w:w="9080" w:type="dxa"/>
            <w:vAlign w:val="bottom"/>
          </w:tcPr>
          <w:p>
            <w:pPr>
              <w:ind w:left="880"/>
              <w:spacing w:after="0"/>
              <w:rPr>
                <w:sz w:val="20"/>
                <w:szCs w:val="20"/>
                <w:color w:val="auto"/>
              </w:rPr>
            </w:pPr>
            <w:r>
              <w:rPr>
                <w:rFonts w:ascii="Arial" w:cs="Arial" w:eastAsia="Arial" w:hAnsi="Arial"/>
                <w:sz w:val="18"/>
                <w:szCs w:val="18"/>
                <w:color w:val="auto"/>
              </w:rPr>
              <w:t>Accumulated deficit</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(618.6)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(611.8)</w:t>
            </w:r>
          </w:p>
        </w:tc>
      </w:tr>
      <w:tr>
        <w:trPr>
          <w:trHeight w:val="216"/>
        </w:trPr>
        <w:tc>
          <w:tcPr>
            <w:tcW w:w="90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Accumulated other comprehensive loss</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r>
      <w:tr>
        <w:trPr>
          <w:trHeight w:val="230"/>
        </w:trPr>
        <w:tc>
          <w:tcPr>
            <w:tcW w:w="9080" w:type="dxa"/>
            <w:vAlign w:val="bottom"/>
          </w:tcPr>
          <w:p>
            <w:pPr>
              <w:ind w:left="1300"/>
              <w:spacing w:after="0"/>
              <w:rPr>
                <w:sz w:val="20"/>
                <w:szCs w:val="20"/>
                <w:color w:val="auto"/>
              </w:rPr>
            </w:pPr>
            <w:r>
              <w:rPr>
                <w:rFonts w:ascii="Arial" w:cs="Arial" w:eastAsia="Arial" w:hAnsi="Arial"/>
                <w:sz w:val="18"/>
                <w:szCs w:val="18"/>
                <w:color w:val="auto"/>
              </w:rPr>
              <w:t>Total Stockholders’ Equity</w:t>
            </w:r>
          </w:p>
        </w:tc>
        <w:tc>
          <w:tcPr>
            <w:tcW w:w="3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172.8</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177.7</w:t>
            </w:r>
          </w:p>
        </w:tc>
        <w:tc>
          <w:tcPr>
            <w:tcW w:w="100" w:type="dxa"/>
            <w:vAlign w:val="bottom"/>
          </w:tcPr>
          <w:p>
            <w:pPr>
              <w:spacing w:after="0"/>
              <w:rPr>
                <w:sz w:val="20"/>
                <w:szCs w:val="20"/>
                <w:color w:val="auto"/>
              </w:rPr>
            </w:pPr>
          </w:p>
        </w:tc>
      </w:tr>
      <w:tr>
        <w:trPr>
          <w:trHeight w:val="216"/>
        </w:trPr>
        <w:tc>
          <w:tcPr>
            <w:tcW w:w="90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Liabilities and Stockholders’ Equity</w:t>
            </w:r>
          </w:p>
        </w:tc>
        <w:tc>
          <w:tcPr>
            <w:tcW w:w="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365.1</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383.9</w:t>
            </w:r>
          </w:p>
        </w:tc>
      </w:tr>
      <w:tr>
        <w:trPr>
          <w:trHeight w:val="20"/>
        </w:trPr>
        <w:tc>
          <w:tcPr>
            <w:tcW w:w="9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Quarter Ended</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6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6"/>
              </w:rPr>
              <w:t>October 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2011</w:t>
            </w: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Net loss</w:t>
            </w:r>
          </w:p>
        </w:tc>
        <w:tc>
          <w:tcPr>
            <w:tcW w:w="12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(6.8)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860"/>
              <w:spacing w:after="0"/>
              <w:rPr>
                <w:sz w:val="20"/>
                <w:szCs w:val="20"/>
                <w:color w:val="auto"/>
              </w:rPr>
            </w:pPr>
            <w:r>
              <w:rPr>
                <w:rFonts w:ascii="Arial" w:cs="Arial" w:eastAsia="Arial" w:hAnsi="Arial"/>
                <w:sz w:val="18"/>
                <w:szCs w:val="18"/>
                <w:color w:val="auto"/>
              </w:rPr>
              <w:t>Amortization of identifiable intangible assets</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0.9</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Depreciation and amortization of property, plant and equipment and capitalized software</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860"/>
              <w:spacing w:after="0"/>
              <w:rPr>
                <w:sz w:val="20"/>
                <w:szCs w:val="20"/>
                <w:color w:val="auto"/>
              </w:rPr>
            </w:pPr>
            <w:r>
              <w:rPr>
                <w:rFonts w:ascii="Arial" w:cs="Arial" w:eastAsia="Arial" w:hAnsi="Arial"/>
                <w:sz w:val="18"/>
                <w:szCs w:val="18"/>
                <w:color w:val="auto"/>
              </w:rPr>
              <w:t>Share-based compensation expense</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income tax expense (benefit)</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860"/>
              <w:spacing w:after="0"/>
              <w:rPr>
                <w:sz w:val="20"/>
                <w:szCs w:val="20"/>
                <w:color w:val="auto"/>
              </w:rPr>
            </w:pPr>
            <w:r>
              <w:rPr>
                <w:rFonts w:ascii="Arial" w:cs="Arial" w:eastAsia="Arial" w:hAnsi="Arial"/>
                <w:sz w:val="18"/>
                <w:szCs w:val="18"/>
                <w:color w:val="auto"/>
              </w:rPr>
              <w:t>Charges for inventory write-downs</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Loss on held for sale assets, net</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860"/>
              <w:spacing w:after="0"/>
              <w:rPr>
                <w:sz w:val="20"/>
                <w:szCs w:val="20"/>
                <w:color w:val="auto"/>
              </w:rPr>
            </w:pPr>
            <w:r>
              <w:rPr>
                <w:rFonts w:ascii="Arial" w:cs="Arial" w:eastAsia="Arial" w:hAnsi="Arial"/>
                <w:sz w:val="18"/>
                <w:szCs w:val="18"/>
                <w:color w:val="auto"/>
              </w:rPr>
              <w:t>Loss on sale of NetBoss assets</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operating assets and liabilities:</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860"/>
              <w:spacing w:after="0"/>
              <w:rPr>
                <w:sz w:val="20"/>
                <w:szCs w:val="20"/>
                <w:color w:val="auto"/>
              </w:rPr>
            </w:pPr>
            <w:r>
              <w:rPr>
                <w:rFonts w:ascii="Arial" w:cs="Arial" w:eastAsia="Arial" w:hAnsi="Arial"/>
                <w:sz w:val="18"/>
                <w:szCs w:val="18"/>
                <w:color w:val="auto"/>
              </w:rPr>
              <w:t>Receivables</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8.3</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Unbilled costs</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860"/>
              <w:spacing w:after="0"/>
              <w:rPr>
                <w:sz w:val="20"/>
                <w:szCs w:val="20"/>
                <w:color w:val="auto"/>
              </w:rPr>
            </w:pPr>
            <w:r>
              <w:rPr>
                <w:rFonts w:ascii="Arial" w:cs="Arial" w:eastAsia="Arial" w:hAnsi="Arial"/>
                <w:sz w:val="18"/>
                <w:szCs w:val="18"/>
                <w:color w:val="auto"/>
              </w:rPr>
              <w:t>Inventories</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0.2</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Customer service inventories</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860"/>
              <w:spacing w:after="0"/>
              <w:rPr>
                <w:sz w:val="20"/>
                <w:szCs w:val="20"/>
                <w:color w:val="auto"/>
              </w:rPr>
            </w:pPr>
            <w:r>
              <w:rPr>
                <w:rFonts w:ascii="Arial" w:cs="Arial" w:eastAsia="Arial" w:hAnsi="Arial"/>
                <w:sz w:val="18"/>
                <w:szCs w:val="18"/>
                <w:color w:val="auto"/>
              </w:rPr>
              <w:t>Accounts payable</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(8.6)</w:t>
            </w:r>
          </w:p>
        </w:tc>
        <w:tc>
          <w:tcPr>
            <w:tcW w:w="14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Accrued expenses</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(0.7)</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860"/>
              <w:spacing w:after="0"/>
              <w:rPr>
                <w:sz w:val="20"/>
                <w:szCs w:val="20"/>
                <w:color w:val="auto"/>
              </w:rPr>
            </w:pPr>
            <w:r>
              <w:rPr>
                <w:rFonts w:ascii="Arial" w:cs="Arial" w:eastAsia="Arial" w:hAnsi="Arial"/>
                <w:sz w:val="18"/>
                <w:szCs w:val="18"/>
                <w:color w:val="auto"/>
              </w:rPr>
              <w:t>Advance payments and unearned income</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Income taxes payable or receivable</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860"/>
              <w:spacing w:after="0"/>
              <w:rPr>
                <w:sz w:val="20"/>
                <w:szCs w:val="20"/>
                <w:color w:val="auto"/>
              </w:rPr>
            </w:pPr>
            <w:r>
              <w:rPr>
                <w:rFonts w:ascii="Arial" w:cs="Arial" w:eastAsia="Arial" w:hAnsi="Arial"/>
                <w:sz w:val="18"/>
                <w:szCs w:val="18"/>
                <w:color w:val="auto"/>
              </w:rPr>
              <w:t>Restructuring liabilities and other assets and liabilities</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(6.6)</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received from sale of NetBoss assets</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Cash disbursed related to sale of WiMAX business</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Additions of property, plant and equipment</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Additions of capitalized software</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short-term debt arrangement</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Payments on short-term debt arrangement</w:t>
            </w: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0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(10.6)</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60" w:type="dxa"/>
            <w:vAlign w:val="bottom"/>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10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w:t>
            </w:r>
          </w:p>
        </w:tc>
        <w:tc>
          <w:tcPr>
            <w:tcW w:w="6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24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9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accompanying unaudited condensed consolidated financial statements of Aviat Networks, Inc. and its subsidiaries (“the Company” or “we”) have been prepared in accordance with U.S. generally accepted accounting principles (“U.S. GAAP”) and with the rules and regulations of the Securities and Exchange Commission (“SEC”) for interim financial information. Accordingly, the statements do not include all information and footnotes required by U.S. GAAP for annual consolidated financial statements. In the opinion of management, such interim financial statements reflect all adjustments (consisting of normal recurring adjustments) considered necessary for a fair presentation of financial position, results of operations and cash flows for such periods. The results for the quarter ended September 30, 2011 (the “first quarter of fiscal 2012”) are not necessarily indicative of the results that may be expected for the full fiscal year or any subsequent period. The information included in this Quarterly Report on Form 10-Q should be read in conjunction with “Management’s Discussion and Analysis of Financial Condition and Results of Operations,” and the consolidated financial statements and footnotes thereto included in our Annual Report on Form 10-K for the fiscal year ended July 1, 2011 (“Fiscal 2011 Form 10-K”).</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operate on a 52-week or 53-week year ending on the Friday nearest June 30. The first quarters of fiscal 2012 and 2011 were both 13-week periods.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Beginning in the third quarter of fiscal 2011, the results of the WiMAX business are presented as discontinued operations in our consolidated financial statements. Historical amounts for the first quarter of fiscal 2011 are reclassified to conform to current period presentation. See Note 3 for a discussion of changes in reporting related to our discontinued operations.</w:t>
      </w:r>
    </w:p>
    <w:p>
      <w:pPr>
        <w:spacing w:after="0" w:line="14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the fourth quarter of fiscal 2011, we reclassified customer service parts, previously reported as a component of property, plant and equipment, as customer service inventories. Accordingly, expenses related to customer service inventories of $0.9 million for the first quarter of fiscal 2011 have been reclassified in the condensed consolidated statements of cash flows from depreciation and amortization to inventory write-downs within the cash flows from operating activities section. In addition, the purchases of $0.7 million of customer service inventories in the first quarter of fiscal 2011 have been reclassified from investing activities to operating activities in the condensed consolidated statements of cash flows.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preparation of consolidated financial statements in accordance with U.S. GAAP requires us to make estimates, assumptions and judgments affecting the amounts reported and related disclosures. Estimates are based upon historical factors, current circumstances and the experience and judgment of our management. We evaluate our estimates and assumptions on an ongoing basis and may employ outside experts to assist us in making these evaluations. Changes in such estimates, based on more accurate information, or different assumptions or conditions, may affect amounts reported in future periods. Such estimates affect significant items, including revenue recognition, provision for doubtful accounts, inventory valuation, fair value of goodwill and intangible assets, valuation allowances for deferred tax assets, uncertainties in income taxes, restructuring obligations, product warranty obligations, share-based awards, contingencies and useful lives of intangible assets, property, plant and equipment.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Recently Issued Accounting Standards</w:t>
      </w:r>
    </w:p>
    <w:p>
      <w:pPr>
        <w:spacing w:after="0" w:line="96"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color w:val="auto"/>
        </w:rPr>
        <w:t>In June 2011, the FASB issued an accounting standards update on the presentation of comprehensive income. This update eliminates one of the presentation options provided by current U.S. GAAP, that is to present the components of other comprehensive income as part of the statement of changes in stockholders’ equity. In addition, it gives an entity the option to present the total of comprehensive income, the components of net income, and the components of other comprehensive income either in a single continuous statement of comprehensive income or in two separate but consecutive statements. This update is to be applied retrospectively and is effective for us beginning in our first quarter of fiscal 2013. The adoption of this update will not impact our consolidated financial position or results of operations. We are currently evaluating the disclosure impact of the adoption of this guidance on our consolidated financial statements.</w:t>
      </w:r>
    </w:p>
    <w:p>
      <w:pPr>
        <w:spacing w:after="0" w:line="105"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December 2010, the FASB issued ASU No. 2010-28, Topic 350, “ Intangibles—Goodwill and Other: When to Perform Step 2 of the Goodwill Impairment Test for Reporting Units with Zero or Negative Carrying Amounts” (“ASU 2010-28”), which modifies Step 1 of the goodwill impairment test for reporting units with zero or negative amounts. For those reporting units, an entity is required to perform Step 2 of the goodwill impairment test if it is more likely than not that goodwill impairment exists. This guidance is effective for us beginning in the first quarter of fiscal 2012. The adoption of ASU 2010-28 does not have a material impact on our consolidated financial position or results of operations.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Divestitures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Disposition of WiMAX Business and Discontinued Operations</w:t>
      </w:r>
    </w:p>
    <w:p>
      <w:pPr>
        <w:spacing w:after="0" w:line="90"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In March 2011, our board of directors approved a plan for the sale of our WiMAX business. This decision resulted from an effort to complete the strategic plan to streamline our business activities and focus our time and resources on growing our core microwave business to better position us for long-term success.</w:t>
      </w:r>
    </w:p>
    <w:p>
      <w:pPr>
        <w:spacing w:after="0" w:line="8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On September 2, 2011, we entered into an Asset Purchase Agreement (the “Agreement”) with EION Networks, Inc. (“EION”), a privately-owned Canadian company, pursuant to which we sold to EION our WiMAX business and related assets consisting of certain technology, inventory and equipment. Pursuant to the terms of the Agreement, we assigned customer contracts for WiMAX products and maintenance and agreed to license related patents to EION. We also agreed to indemnification for customary seller representations and warranties, and the provision of transitional services. As consideration for the sale of assets, the Agreement provides for EION to pay us $0.4 million in cash six months from the date of closing and up to $2.8 million in additional cash payments contingent upon specific factors related to future WiMAX business performance. Currently we are not able to estimate the amount of consideration that we will receive beyond the $0.4 million or the probability of any such payment. Accordingly, any future consideration will be recorded as a contingent gain in the period that it is received. In addition, under the Agreement, EION is entitled to receive cash payments up to $2.0 million upon collections of certain WiMAX accounts receivable as of the date of close.</w:t>
      </w:r>
    </w:p>
    <w:p>
      <w:pPr>
        <w:spacing w:after="0" w:line="12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From the third quarter of fiscal 2011, we began accounting for the WiMAX business as a discontinued operation. We have reclassified the WiMAX business’ operating results for the first quarter of fiscal 2011 to loss from discontinued operations in the condensed consolidated statement of operations. We also classified the assets and liabilities of the WiMAX business as held for sale and included them in other current assets and other accrued expenses, respectively, on our condensed consolidated balance sheet as of July 1, 2011. As of September 2, 2011 and July 1, 2011, the net assets of the WiMAX business have been adjusted to their estimated fair value less cost of disposition. WiMAX business’ assets disposed and our liabilities related to the net payable to EION and selling costs included the following:</w:t>
      </w:r>
    </w:p>
    <w:p>
      <w:pPr>
        <w:spacing w:after="0" w:line="18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68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2020" w:type="dxa"/>
            <w:vAlign w:val="bottom"/>
            <w:gridSpan w:val="3"/>
          </w:tcPr>
          <w:p>
            <w:pPr>
              <w:spacing w:after="0"/>
              <w:rPr>
                <w:sz w:val="20"/>
                <w:szCs w:val="20"/>
                <w:color w:val="auto"/>
              </w:rPr>
            </w:pPr>
            <w:r>
              <w:rPr>
                <w:rFonts w:ascii="Arial" w:cs="Arial" w:eastAsia="Arial" w:hAnsi="Arial"/>
                <w:sz w:val="14"/>
                <w:szCs w:val="14"/>
                <w:b w:val="1"/>
                <w:bCs w:val="1"/>
                <w:color w:val="auto"/>
              </w:rPr>
              <w:t>September 2, 2011</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w w:val="99"/>
              </w:rPr>
              <w:t>July 1, 2011</w:t>
            </w:r>
          </w:p>
        </w:tc>
      </w:tr>
      <w:tr>
        <w:trPr>
          <w:trHeight w:val="196"/>
        </w:trPr>
        <w:tc>
          <w:tcPr>
            <w:tcW w:w="7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 held for sale:</w:t>
            </w:r>
          </w:p>
        </w:tc>
        <w:tc>
          <w:tcPr>
            <w:tcW w:w="4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680" w:type="dxa"/>
            <w:vAlign w:val="bottom"/>
          </w:tcPr>
          <w:p>
            <w:pPr>
              <w:ind w:left="440"/>
              <w:spacing w:after="0"/>
              <w:rPr>
                <w:sz w:val="20"/>
                <w:szCs w:val="20"/>
                <w:color w:val="auto"/>
              </w:rPr>
            </w:pPr>
            <w:r>
              <w:rPr>
                <w:rFonts w:ascii="Arial" w:cs="Arial" w:eastAsia="Arial" w:hAnsi="Arial"/>
                <w:sz w:val="18"/>
                <w:szCs w:val="18"/>
                <w:color w:val="auto"/>
              </w:rPr>
              <w:t>Inventories, net</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7.0</w:t>
            </w:r>
          </w:p>
        </w:tc>
        <w:tc>
          <w:tcPr>
            <w:tcW w:w="96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r>
      <w:tr>
        <w:trPr>
          <w:trHeight w:val="216"/>
        </w:trPr>
        <w:tc>
          <w:tcPr>
            <w:tcW w:w="7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Equipment</w:t>
            </w: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r>
      <w:tr>
        <w:trPr>
          <w:trHeight w:val="223"/>
        </w:trPr>
        <w:tc>
          <w:tcPr>
            <w:tcW w:w="7680" w:type="dxa"/>
            <w:vAlign w:val="bottom"/>
          </w:tcPr>
          <w:p>
            <w:pPr>
              <w:ind w:left="440"/>
              <w:spacing w:after="0"/>
              <w:rPr>
                <w:sz w:val="20"/>
                <w:szCs w:val="20"/>
                <w:color w:val="auto"/>
              </w:rPr>
            </w:pPr>
            <w:r>
              <w:rPr>
                <w:rFonts w:ascii="Arial" w:cs="Arial" w:eastAsia="Arial" w:hAnsi="Arial"/>
                <w:sz w:val="18"/>
                <w:szCs w:val="18"/>
                <w:color w:val="auto"/>
              </w:rPr>
              <w:t>Valuation allowance</w:t>
            </w:r>
          </w:p>
        </w:tc>
        <w:tc>
          <w:tcPr>
            <w:tcW w:w="420" w:type="dxa"/>
            <w:vAlign w:val="bottom"/>
          </w:tcPr>
          <w:p>
            <w:pPr>
              <w:spacing w:after="0"/>
              <w:rPr>
                <w:sz w:val="19"/>
                <w:szCs w:val="19"/>
                <w:color w:val="auto"/>
              </w:rPr>
            </w:pPr>
          </w:p>
        </w:tc>
        <w:tc>
          <w:tcPr>
            <w:tcW w:w="1600" w:type="dxa"/>
            <w:vAlign w:val="bottom"/>
            <w:gridSpan w:val="2"/>
          </w:tcPr>
          <w:p>
            <w:pPr>
              <w:jc w:val="right"/>
              <w:ind w:right="900"/>
              <w:spacing w:after="0"/>
              <w:rPr>
                <w:sz w:val="20"/>
                <w:szCs w:val="20"/>
                <w:color w:val="auto"/>
              </w:rPr>
            </w:pPr>
            <w:r>
              <w:rPr>
                <w:rFonts w:ascii="Arial" w:cs="Arial" w:eastAsia="Arial" w:hAnsi="Arial"/>
                <w:sz w:val="18"/>
                <w:szCs w:val="18"/>
                <w:color w:val="auto"/>
              </w:rPr>
              <w:t>(8.5)</w:t>
            </w:r>
          </w:p>
        </w:tc>
        <w:tc>
          <w:tcPr>
            <w:tcW w:w="260" w:type="dxa"/>
            <w:vAlign w:val="bottom"/>
          </w:tcPr>
          <w:p>
            <w:pPr>
              <w:spacing w:after="0"/>
              <w:rPr>
                <w:sz w:val="19"/>
                <w:szCs w:val="19"/>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(8.5)</w:t>
            </w:r>
          </w:p>
        </w:tc>
      </w:tr>
      <w:tr>
        <w:trPr>
          <w:trHeight w:val="216"/>
        </w:trPr>
        <w:tc>
          <w:tcPr>
            <w:tcW w:w="7680" w:type="dxa"/>
            <w:vAlign w:val="bottom"/>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0"/>
        </w:trPr>
        <w:tc>
          <w:tcPr>
            <w:tcW w:w="76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7"/>
        </w:trPr>
        <w:tc>
          <w:tcPr>
            <w:tcW w:w="7680" w:type="dxa"/>
            <w:vAlign w:val="bottom"/>
          </w:tcPr>
          <w:p>
            <w:pPr>
              <w:spacing w:after="0"/>
              <w:rPr>
                <w:sz w:val="20"/>
                <w:szCs w:val="20"/>
                <w:color w:val="auto"/>
              </w:rPr>
            </w:pPr>
            <w:r>
              <w:rPr>
                <w:rFonts w:ascii="Arial" w:cs="Arial" w:eastAsia="Arial" w:hAnsi="Arial"/>
                <w:sz w:val="18"/>
                <w:szCs w:val="18"/>
                <w:color w:val="auto"/>
              </w:rPr>
              <w:t>Accrued liabilities related to the disposition</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2.1</w:t>
            </w:r>
          </w:p>
        </w:tc>
        <w:tc>
          <w:tcPr>
            <w:tcW w:w="96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r>
      <w:tr>
        <w:trPr>
          <w:trHeight w:val="20"/>
        </w:trPr>
        <w:tc>
          <w:tcPr>
            <w:tcW w:w="76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recorded a loss of $2.0 million on sale of WiMAX business in the first quarter of fiscal 2012. Summary results of operations for the WiMAX business were as follows: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Quarter Ended</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29"/>
        </w:trPr>
        <w:tc>
          <w:tcPr>
            <w:tcW w:w="47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620" w:type="dxa"/>
            <w:vAlign w:val="bottom"/>
            <w:gridSpan w:val="3"/>
          </w:tcPr>
          <w:p>
            <w:pPr>
              <w:jc w:val="right"/>
              <w:ind w:right="800"/>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640" w:type="dxa"/>
            <w:vAlign w:val="bottom"/>
            <w:gridSpan w:val="3"/>
          </w:tcPr>
          <w:p>
            <w:pPr>
              <w:ind w:left="40"/>
              <w:spacing w:after="0" w:line="129" w:lineRule="exact"/>
              <w:rPr>
                <w:sz w:val="20"/>
                <w:szCs w:val="20"/>
                <w:color w:val="auto"/>
              </w:rPr>
            </w:pPr>
            <w:r>
              <w:rPr>
                <w:rFonts w:ascii="Arial" w:cs="Arial" w:eastAsia="Arial" w:hAnsi="Arial"/>
                <w:sz w:val="14"/>
                <w:szCs w:val="14"/>
                <w:b w:val="1"/>
                <w:bCs w:val="1"/>
                <w:color w:val="auto"/>
                <w:w w:val="83"/>
              </w:rPr>
              <w:t>October 1,</w:t>
            </w:r>
          </w:p>
        </w:tc>
        <w:tc>
          <w:tcPr>
            <w:tcW w:w="120" w:type="dxa"/>
            <w:vAlign w:val="bottom"/>
          </w:tcPr>
          <w:p>
            <w:pPr>
              <w:spacing w:after="0"/>
              <w:rPr>
                <w:sz w:val="11"/>
                <w:szCs w:val="11"/>
                <w:color w:val="auto"/>
              </w:rPr>
            </w:pPr>
          </w:p>
        </w:tc>
      </w:tr>
      <w:tr>
        <w:trPr>
          <w:trHeight w:val="161"/>
        </w:trPr>
        <w:tc>
          <w:tcPr>
            <w:tcW w:w="47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(in millions)</w:t>
            </w:r>
          </w:p>
        </w:tc>
        <w:tc>
          <w:tcPr>
            <w:tcW w:w="15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2011</w:t>
            </w:r>
          </w:p>
        </w:tc>
        <w:tc>
          <w:tcPr>
            <w:tcW w:w="80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6"/>
              </w:rPr>
              <w:t>2010</w:t>
            </w:r>
          </w:p>
        </w:tc>
        <w:tc>
          <w:tcPr>
            <w:tcW w:w="120" w:type="dxa"/>
            <w:vAlign w:val="bottom"/>
            <w:tcBorders>
              <w:bottom w:val="single" w:sz="8" w:color="CCEEFF"/>
            </w:tcBorders>
          </w:tcPr>
          <w:p>
            <w:pPr>
              <w:spacing w:after="0"/>
              <w:rPr>
                <w:sz w:val="14"/>
                <w:szCs w:val="14"/>
                <w:color w:val="auto"/>
              </w:rPr>
            </w:pPr>
          </w:p>
        </w:tc>
      </w:tr>
      <w:tr>
        <w:trPr>
          <w:trHeight w:val="210"/>
        </w:trPr>
        <w:tc>
          <w:tcPr>
            <w:tcW w:w="4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15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r>
              <w:rPr>
                <w:rFonts w:ascii="Arial" w:cs="Arial" w:eastAsia="Arial" w:hAnsi="Arial"/>
                <w:sz w:val="18"/>
                <w:szCs w:val="18"/>
                <w:u w:val="single" w:color="auto"/>
                <w:color w:val="auto"/>
              </w:rPr>
              <w:t>7</w:t>
            </w:r>
          </w:p>
        </w:tc>
        <w:tc>
          <w:tcPr>
            <w:tcW w:w="120" w:type="dxa"/>
            <w:vAlign w:val="bottom"/>
            <w:shd w:val="clear" w:color="auto" w:fill="CCEEFF"/>
          </w:tcPr>
          <w:p>
            <w:pPr>
              <w:spacing w:after="0"/>
              <w:rPr>
                <w:sz w:val="18"/>
                <w:szCs w:val="18"/>
                <w:color w:val="auto"/>
              </w:rPr>
            </w:pPr>
          </w:p>
        </w:tc>
      </w:tr>
      <w:tr>
        <w:trPr>
          <w:trHeight w:val="221"/>
        </w:trPr>
        <w:tc>
          <w:tcPr>
            <w:tcW w:w="4760" w:type="dxa"/>
            <w:vAlign w:val="bottom"/>
          </w:tcPr>
          <w:p>
            <w:pPr>
              <w:spacing w:after="0"/>
              <w:rPr>
                <w:sz w:val="20"/>
                <w:szCs w:val="20"/>
                <w:color w:val="auto"/>
              </w:rPr>
            </w:pPr>
            <w:r>
              <w:rPr>
                <w:rFonts w:ascii="Arial" w:cs="Arial" w:eastAsia="Arial" w:hAnsi="Arial"/>
                <w:sz w:val="18"/>
                <w:szCs w:val="18"/>
                <w:color w:val="auto"/>
              </w:rPr>
              <w:t>Loss from operations of WiMAX</w:t>
            </w:r>
          </w:p>
        </w:tc>
        <w:tc>
          <w:tcPr>
            <w:tcW w:w="172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740"/>
              <w:spacing w:after="0"/>
              <w:rPr>
                <w:sz w:val="20"/>
                <w:szCs w:val="20"/>
                <w:color w:val="auto"/>
              </w:rPr>
            </w:pPr>
            <w:r>
              <w:rPr>
                <w:rFonts w:ascii="Arial" w:cs="Arial" w:eastAsia="Arial" w:hAnsi="Arial"/>
                <w:sz w:val="18"/>
                <w:szCs w:val="18"/>
                <w:color w:val="auto"/>
              </w:rPr>
              <w:t>(0.9)</w:t>
            </w:r>
          </w:p>
        </w:tc>
        <w:tc>
          <w:tcPr>
            <w:tcW w:w="160" w:type="dxa"/>
            <w:vAlign w:val="bottom"/>
            <w:gridSpan w:val="2"/>
          </w:tcPr>
          <w:p>
            <w:pPr>
              <w:ind w:left="40"/>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r>
      <w:tr>
        <w:trPr>
          <w:trHeight w:val="218"/>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Loss on disposal</w:t>
            </w: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Income taxes</w:t>
            </w: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740"/>
              <w:spacing w:after="0"/>
              <w:rPr>
                <w:sz w:val="20"/>
                <w:szCs w:val="20"/>
                <w:color w:val="auto"/>
              </w:rPr>
            </w:pPr>
            <w:r>
              <w:rPr>
                <w:rFonts w:ascii="Arial" w:cs="Arial" w:eastAsia="Arial" w:hAnsi="Arial"/>
                <w:sz w:val="18"/>
                <w:szCs w:val="18"/>
                <w:color w:val="auto"/>
              </w:rPr>
              <w:t>(0.2)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7"/>
        </w:trPr>
        <w:tc>
          <w:tcPr>
            <w:tcW w:w="47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loss from discontinued operations</w:t>
            </w:r>
          </w:p>
        </w:tc>
        <w:tc>
          <w:tcPr>
            <w:tcW w:w="17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(3.1)</w:t>
            </w: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w:t>
            </w:r>
          </w:p>
        </w:tc>
      </w:tr>
      <w:tr>
        <w:trPr>
          <w:trHeight w:val="20"/>
        </w:trPr>
        <w:tc>
          <w:tcPr>
            <w:tcW w:w="47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NetBoss Assets</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September 2010, we sold our NetBoss assets, consisting of internally-developed intellectual property and certain equipment, to a third party named NetBoss Technologies, Inc. for $3.8 million of cash. We recognized a $3.9 million loss on the sale of the NetBoss assets in our condensed consolidated statement of operations during the first quarter of fiscal 2011. NetBoss Technologies Inc. is a new company formed by its management team, our former development partner for NetBoss, and private investors. As part of the terms of the sale, we have assigned our customer contracts for NetBoss software and maintenance to NetBoss Technologies, Inc. We continued to license NetBoss technology to operate our network operations centers.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Accumulated Other Comprehensive Loss and Total Comprehensive Loss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Accumulated other comprehensive loss (“AOCI”) as of September 30, 2011 and July 1, 2011, and the changes in the components of AOCI, consisted of the following:</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49"/>
        </w:trPr>
        <w:tc>
          <w:tcPr>
            <w:tcW w:w="5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0" w:type="dxa"/>
            <w:vAlign w:val="bottom"/>
          </w:tcPr>
          <w:p>
            <w:pPr>
              <w:spacing w:after="0"/>
              <w:rPr>
                <w:sz w:val="1"/>
                <w:szCs w:val="1"/>
                <w:color w:val="auto"/>
              </w:rPr>
            </w:pPr>
          </w:p>
        </w:tc>
      </w:tr>
      <w:tr>
        <w:trPr>
          <w:trHeight w:val="149"/>
        </w:trPr>
        <w:tc>
          <w:tcPr>
            <w:tcW w:w="5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right"/>
              <w:ind w:right="540"/>
              <w:spacing w:after="0" w:line="149" w:lineRule="exact"/>
              <w:rPr>
                <w:sz w:val="20"/>
                <w:szCs w:val="20"/>
                <w:color w:val="auto"/>
              </w:rPr>
            </w:pPr>
            <w:r>
              <w:rPr>
                <w:rFonts w:ascii="Arial" w:cs="Arial" w:eastAsia="Arial" w:hAnsi="Arial"/>
                <w:sz w:val="14"/>
                <w:szCs w:val="14"/>
                <w:b w:val="1"/>
                <w:bCs w:val="1"/>
                <w:color w:val="auto"/>
                <w:w w:val="85"/>
              </w:rPr>
              <w:t>Foreign</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5680" w:type="dxa"/>
            <w:vAlign w:val="bottom"/>
          </w:tcPr>
          <w:p>
            <w:pPr>
              <w:spacing w:after="0"/>
              <w:rPr>
                <w:sz w:val="12"/>
                <w:szCs w:val="12"/>
                <w:color w:val="auto"/>
              </w:rPr>
            </w:pPr>
          </w:p>
        </w:tc>
        <w:tc>
          <w:tcPr>
            <w:tcW w:w="1080" w:type="dxa"/>
            <w:vAlign w:val="bottom"/>
            <w:gridSpan w:val="4"/>
          </w:tcPr>
          <w:p>
            <w:pPr>
              <w:jc w:val="right"/>
              <w:ind w:right="480"/>
              <w:spacing w:after="0" w:line="149" w:lineRule="exact"/>
              <w:rPr>
                <w:sz w:val="20"/>
                <w:szCs w:val="20"/>
                <w:color w:val="auto"/>
              </w:rPr>
            </w:pPr>
            <w:r>
              <w:rPr>
                <w:rFonts w:ascii="Arial" w:cs="Arial" w:eastAsia="Arial" w:hAnsi="Arial"/>
                <w:sz w:val="14"/>
                <w:szCs w:val="14"/>
                <w:b w:val="1"/>
                <w:bCs w:val="1"/>
                <w:color w:val="auto"/>
                <w:w w:val="94"/>
              </w:rPr>
              <w:t>Currency</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right"/>
              <w:ind w:right="860"/>
              <w:spacing w:after="0" w:line="149" w:lineRule="exact"/>
              <w:rPr>
                <w:sz w:val="20"/>
                <w:szCs w:val="20"/>
                <w:color w:val="auto"/>
              </w:rPr>
            </w:pPr>
            <w:r>
              <w:rPr>
                <w:rFonts w:ascii="Arial" w:cs="Arial" w:eastAsia="Arial" w:hAnsi="Arial"/>
                <w:sz w:val="14"/>
                <w:szCs w:val="14"/>
                <w:b w:val="1"/>
                <w:bCs w:val="1"/>
                <w:color w:val="auto"/>
                <w:w w:val="82"/>
              </w:rPr>
              <w:t>Hedging</w:t>
            </w:r>
          </w:p>
        </w:tc>
        <w:tc>
          <w:tcPr>
            <w:tcW w:w="10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0" w:type="dxa"/>
            <w:vAlign w:val="bottom"/>
          </w:tcPr>
          <w:p>
            <w:pPr>
              <w:spacing w:after="0"/>
              <w:rPr>
                <w:sz w:val="1"/>
                <w:szCs w:val="1"/>
                <w:color w:val="auto"/>
              </w:rPr>
            </w:pPr>
          </w:p>
        </w:tc>
      </w:tr>
      <w:tr>
        <w:trPr>
          <w:trHeight w:val="161"/>
        </w:trPr>
        <w:tc>
          <w:tcPr>
            <w:tcW w:w="568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w w:val="84"/>
              </w:rPr>
              <w:t>Translation</w:t>
            </w:r>
          </w:p>
        </w:tc>
        <w:tc>
          <w:tcPr>
            <w:tcW w:w="420" w:type="dxa"/>
            <w:vAlign w:val="bottom"/>
            <w:gridSpan w:val="2"/>
          </w:tcPr>
          <w:p>
            <w:pPr>
              <w:spacing w:after="0"/>
              <w:rPr>
                <w:sz w:val="14"/>
                <w:szCs w:val="14"/>
                <w:color w:val="auto"/>
              </w:rPr>
            </w:pPr>
          </w:p>
        </w:tc>
        <w:tc>
          <w:tcPr>
            <w:tcW w:w="36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Derivatives</w:t>
            </w:r>
          </w:p>
        </w:tc>
        <w:tc>
          <w:tcPr>
            <w:tcW w:w="200" w:type="dxa"/>
            <w:vAlign w:val="bottom"/>
          </w:tcPr>
          <w:p>
            <w:pPr>
              <w:spacing w:after="0"/>
              <w:rPr>
                <w:sz w:val="14"/>
                <w:szCs w:val="14"/>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20"/>
        </w:trPr>
        <w:tc>
          <w:tcPr>
            <w:tcW w:w="568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Balance as of July 1, 2011</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gridSpan w:val="2"/>
            <w:shd w:val="clear" w:color="auto" w:fill="CCEEFF"/>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80" w:type="dxa"/>
            <w:vAlign w:val="bottom"/>
            <w:tcBorders>
              <w:right w:val="single" w:sz="8" w:color="CCEEFF"/>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(2.6)</w:t>
            </w:r>
          </w:p>
        </w:tc>
        <w:tc>
          <w:tcPr>
            <w:tcW w:w="3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Foreign currency translation gain</w:t>
            </w:r>
          </w:p>
        </w:tc>
        <w:tc>
          <w:tcPr>
            <w:tcW w:w="80" w:type="dxa"/>
            <w:vAlign w:val="bottom"/>
          </w:tcPr>
          <w:p>
            <w:pPr>
              <w:spacing w:after="0"/>
              <w:rPr>
                <w:sz w:val="18"/>
                <w:szCs w:val="18"/>
                <w:color w:val="auto"/>
              </w:rPr>
            </w:pPr>
          </w:p>
        </w:tc>
        <w:tc>
          <w:tcPr>
            <w:tcW w:w="1000" w:type="dxa"/>
            <w:vAlign w:val="bottom"/>
            <w:gridSpan w:val="3"/>
          </w:tcPr>
          <w:p>
            <w:pPr>
              <w:jc w:val="right"/>
              <w:ind w:right="420"/>
              <w:spacing w:after="0"/>
              <w:rPr>
                <w:sz w:val="20"/>
                <w:szCs w:val="20"/>
                <w:color w:val="auto"/>
              </w:rPr>
            </w:pPr>
            <w:r>
              <w:rPr>
                <w:rFonts w:ascii="Arial" w:cs="Arial" w:eastAsia="Arial" w:hAnsi="Arial"/>
                <w:sz w:val="18"/>
                <w:szCs w:val="18"/>
                <w:color w:val="auto"/>
              </w:rPr>
              <w:t>0.2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5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unrealized gain on hedging activities</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7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80" w:type="dxa"/>
            <w:vAlign w:val="bottom"/>
          </w:tcPr>
          <w:p>
            <w:pPr>
              <w:spacing w:after="0"/>
              <w:rPr>
                <w:sz w:val="20"/>
                <w:szCs w:val="20"/>
                <w:color w:val="auto"/>
              </w:rPr>
            </w:pPr>
            <w:r>
              <w:rPr>
                <w:rFonts w:ascii="Arial" w:cs="Arial" w:eastAsia="Arial" w:hAnsi="Arial"/>
                <w:sz w:val="18"/>
                <w:szCs w:val="18"/>
                <w:color w:val="auto"/>
              </w:rPr>
              <w:t>Balance as of September 30, 2011</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00" w:type="dxa"/>
            <w:vAlign w:val="bottom"/>
            <w:gridSpan w:val="3"/>
          </w:tcPr>
          <w:p>
            <w:pPr>
              <w:jc w:val="right"/>
              <w:ind w:right="360"/>
              <w:spacing w:after="0"/>
              <w:rPr>
                <w:sz w:val="20"/>
                <w:szCs w:val="20"/>
                <w:color w:val="auto"/>
              </w:rPr>
            </w:pPr>
            <w:r>
              <w:rPr>
                <w:rFonts w:ascii="Arial" w:cs="Arial" w:eastAsia="Arial" w:hAnsi="Arial"/>
                <w:sz w:val="18"/>
                <w:szCs w:val="18"/>
                <w:color w:val="auto"/>
              </w:rPr>
              <w:t>(2.4)</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0.7</w:t>
            </w:r>
          </w:p>
        </w:tc>
        <w:tc>
          <w:tcPr>
            <w:tcW w:w="780" w:type="dxa"/>
            <w:vAlign w:val="bottom"/>
          </w:tcPr>
          <w:p>
            <w:pPr>
              <w:spacing w:after="0"/>
              <w:rPr>
                <w:sz w:val="19"/>
                <w:szCs w:val="19"/>
                <w:color w:val="auto"/>
              </w:rPr>
            </w:pPr>
          </w:p>
        </w:tc>
        <w:tc>
          <w:tcPr>
            <w:tcW w:w="200" w:type="dxa"/>
            <w:vAlign w:val="bottom"/>
          </w:tcPr>
          <w:p>
            <w:pPr>
              <w:jc w:val="right"/>
              <w:ind w:right="22"/>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comprehensive loss for the quarters ended September 30, 2011 and October 1, 2010 was comprised of the following:</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Quarter Ended</w:t>
            </w: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180" w:type="dxa"/>
            <w:vAlign w:val="bottom"/>
          </w:tcPr>
          <w:p>
            <w:pPr>
              <w:spacing w:after="0"/>
              <w:rPr>
                <w:sz w:val="11"/>
                <w:szCs w:val="11"/>
                <w:color w:val="auto"/>
              </w:rPr>
            </w:pPr>
          </w:p>
        </w:tc>
        <w:tc>
          <w:tcPr>
            <w:tcW w:w="15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6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6"/>
              </w:rPr>
              <w:t>October 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820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4"/>
                <w:szCs w:val="14"/>
                <w:color w:val="auto"/>
              </w:rPr>
            </w:pPr>
          </w:p>
        </w:tc>
        <w:tc>
          <w:tcPr>
            <w:tcW w:w="640" w:type="dxa"/>
            <w:vAlign w:val="bottom"/>
          </w:tcPr>
          <w:p>
            <w:pPr>
              <w:jc w:val="right"/>
              <w:ind w:right="199"/>
              <w:spacing w:after="0"/>
              <w:rPr>
                <w:sz w:val="20"/>
                <w:szCs w:val="20"/>
                <w:color w:val="auto"/>
              </w:rPr>
            </w:pPr>
            <w:r>
              <w:rPr>
                <w:rFonts w:ascii="Arial" w:cs="Arial" w:eastAsia="Arial" w:hAnsi="Arial"/>
                <w:sz w:val="14"/>
                <w:szCs w:val="14"/>
                <w:b w:val="1"/>
                <w:bCs w:val="1"/>
                <w:color w:val="auto"/>
              </w:rPr>
              <w:t>2011</w:t>
            </w: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ind w:right="96"/>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8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tcBorders>
              <w:right w:val="single" w:sz="8" w:color="CCEEFF"/>
            </w:tcBorders>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(6.8)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(21.3)</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translation gain</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7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420"/>
              <w:spacing w:after="0"/>
              <w:rPr>
                <w:sz w:val="20"/>
                <w:szCs w:val="20"/>
                <w:color w:val="auto"/>
              </w:rPr>
            </w:pPr>
            <w:r>
              <w:rPr>
                <w:rFonts w:ascii="Arial" w:cs="Arial" w:eastAsia="Arial" w:hAnsi="Arial"/>
                <w:sz w:val="18"/>
                <w:szCs w:val="18"/>
                <w:color w:val="auto"/>
              </w:rPr>
              <w:t>Net unrealized gain (loss) on hedging activities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0.8</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loss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tcBorders>
              <w:right w:val="single" w:sz="8" w:color="CCEEFF"/>
            </w:tcBorders>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Net Income (Loss) per Share of Common Stock</w:t>
      </w:r>
    </w:p>
    <w:p>
      <w:pPr>
        <w:spacing w:after="0" w:line="9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We compute net income (loss) per share of common stock using the two-class method. Basic net income (loss) per share is computed using the weighted average number of common shares and participating securities outstanding. Our unvested restricted shares (including restricted stock awards and performance share awards) contain rights to receive non-forfeitable dividends and therefore are considered to be participating securities and would be included in the calculations of net income per basic and diluted common share. However, we incurred a net loss in the first quarter of both fiscal 2012 and fiscal 2011. In accordance with ASC subtopic 260-10, undistributed losses were not allocated to unvested restricted shares due to the fact that the unvested restricted shares are not contractually obligated to share in the losses of the company.</w:t>
      </w:r>
    </w:p>
    <w:p>
      <w:pPr>
        <w:spacing w:after="0" w:line="12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a result of the company’s net loss in the first quarter of fiscal 2012 and fiscal 2011, the computation of diluted net loss per share for these periods excluded all potential common stock equivalents outstanding as their effect was anti-dilutive. Such common equivalent shares included options to purchase shares of common stock, unvested restricted stock awards and units, and unvested performance share awards.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Balance Sheet Components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Receivables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receivables are summarized below:</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3420" w:type="dxa"/>
            <w:vAlign w:val="bottom"/>
            <w:gridSpan w:val="4"/>
          </w:tcPr>
          <w:p>
            <w:pPr>
              <w:ind w:left="194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6"/>
              </w:rPr>
              <w:t>July 1,</w:t>
            </w:r>
          </w:p>
        </w:tc>
      </w:tr>
      <w:tr>
        <w:trPr>
          <w:trHeight w:val="161"/>
        </w:trPr>
        <w:tc>
          <w:tcPr>
            <w:tcW w:w="45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2011</w:t>
            </w:r>
          </w:p>
        </w:tc>
        <w:tc>
          <w:tcPr>
            <w:tcW w:w="6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right"/>
              <w:ind w:right="42"/>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4"/>
                <w:szCs w:val="14"/>
                <w:color w:val="auto"/>
              </w:rPr>
            </w:pPr>
          </w:p>
        </w:tc>
      </w:tr>
      <w:tr>
        <w:trPr>
          <w:trHeight w:val="142"/>
        </w:trPr>
        <w:tc>
          <w:tcPr>
            <w:tcW w:w="45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2140" w:type="dxa"/>
            <w:vAlign w:val="bottom"/>
            <w:gridSpan w:val="2"/>
            <w:shd w:val="clear" w:color="auto" w:fill="CCEEFF"/>
          </w:tcPr>
          <w:p>
            <w:pPr>
              <w:ind w:left="19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6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$143.2</w:t>
            </w:r>
          </w:p>
        </w:tc>
        <w:tc>
          <w:tcPr>
            <w:tcW w:w="120" w:type="dxa"/>
            <w:vAlign w:val="bottom"/>
            <w:shd w:val="clear" w:color="auto" w:fill="CCEEFF"/>
          </w:tcPr>
          <w:p>
            <w:pPr>
              <w:spacing w:after="0"/>
              <w:rPr>
                <w:sz w:val="18"/>
                <w:szCs w:val="18"/>
                <w:color w:val="auto"/>
              </w:rPr>
            </w:pPr>
          </w:p>
        </w:tc>
      </w:tr>
      <w:tr>
        <w:trPr>
          <w:trHeight w:val="223"/>
        </w:trPr>
        <w:tc>
          <w:tcPr>
            <w:tcW w:w="4560" w:type="dxa"/>
            <w:vAlign w:val="bottom"/>
          </w:tcPr>
          <w:p>
            <w:pPr>
              <w:spacing w:after="0"/>
              <w:rPr>
                <w:sz w:val="20"/>
                <w:szCs w:val="20"/>
                <w:color w:val="auto"/>
              </w:rPr>
            </w:pPr>
            <w:r>
              <w:rPr>
                <w:rFonts w:ascii="Arial" w:cs="Arial" w:eastAsia="Arial" w:hAnsi="Arial"/>
                <w:sz w:val="18"/>
                <w:szCs w:val="18"/>
                <w:color w:val="auto"/>
              </w:rPr>
              <w:t>Notes receivable due within one year</w:t>
            </w:r>
          </w:p>
        </w:tc>
        <w:tc>
          <w:tcPr>
            <w:tcW w:w="19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r>
      <w:tr>
        <w:trPr>
          <w:trHeight w:val="216"/>
        </w:trPr>
        <w:tc>
          <w:tcPr>
            <w:tcW w:w="45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w:t>
            </w:r>
          </w:p>
        </w:tc>
        <w:tc>
          <w:tcPr>
            <w:tcW w:w="6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147.2</w:t>
            </w:r>
          </w:p>
        </w:tc>
        <w:tc>
          <w:tcPr>
            <w:tcW w:w="120" w:type="dxa"/>
            <w:vAlign w:val="bottom"/>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Less allowances for collection losses</w:t>
            </w: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(13.6)</w:t>
            </w: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(14.2)</w:t>
            </w:r>
          </w:p>
        </w:tc>
      </w:tr>
      <w:tr>
        <w:trPr>
          <w:trHeight w:val="27"/>
        </w:trPr>
        <w:tc>
          <w:tcPr>
            <w:tcW w:w="45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56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ind w:left="19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w:t>
            </w:r>
          </w:p>
        </w:tc>
        <w:tc>
          <w:tcPr>
            <w:tcW w:w="6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133.0</w:t>
            </w:r>
          </w:p>
        </w:tc>
        <w:tc>
          <w:tcPr>
            <w:tcW w:w="120" w:type="dxa"/>
            <w:vAlign w:val="bottom"/>
            <w:shd w:val="clear" w:color="auto" w:fill="CCEEFF"/>
          </w:tcPr>
          <w:p>
            <w:pPr>
              <w:spacing w:after="0"/>
              <w:rPr>
                <w:sz w:val="18"/>
                <w:szCs w:val="18"/>
                <w:color w:val="auto"/>
              </w:rPr>
            </w:pPr>
          </w:p>
        </w:tc>
      </w:tr>
      <w:tr>
        <w:trPr>
          <w:trHeight w:val="20"/>
        </w:trPr>
        <w:tc>
          <w:tcPr>
            <w:tcW w:w="45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To comply with requests from our customers for longer payment terms, we may accept letters of credit with payment terms of up to one year or more, which we generally discount with various financial institutions. Under these arrangements, collection risk is fully transferred to the financial institutions. We record the cost of discounting these letters of credit as interest expense. During the first quarter of fiscal 2012 and fiscal 2011, we discounted customer letters of credit totaling $11.3 million and $4.3 million, respectively, and recorded related interest expense of less than $0.1 million in both quarters.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inventories are summarized below:</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1440" w:type="dxa"/>
            <w:vAlign w:val="bottom"/>
            <w:gridSpan w:val="4"/>
          </w:tcPr>
          <w:p>
            <w:pPr>
              <w:ind w:left="2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rPr>
              <w:t>July 1,</w:t>
            </w:r>
          </w:p>
        </w:tc>
      </w:tr>
      <w:tr>
        <w:trPr>
          <w:trHeight w:val="161"/>
        </w:trPr>
        <w:tc>
          <w:tcPr>
            <w:tcW w:w="6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2011</w:t>
            </w:r>
          </w:p>
        </w:tc>
        <w:tc>
          <w:tcPr>
            <w:tcW w:w="6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142"/>
        </w:trPr>
        <w:tc>
          <w:tcPr>
            <w:tcW w:w="6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ind w:left="420"/>
              <w:spacing w:after="0" w:line="142" w:lineRule="exact"/>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Finished products</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6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00" w:type="dxa"/>
            <w:vAlign w:val="bottom"/>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Work in process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7.2</w:t>
            </w:r>
          </w:p>
        </w:tc>
        <w:tc>
          <w:tcPr>
            <w:tcW w:w="6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8"/>
                <w:szCs w:val="18"/>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supplies</w:t>
            </w: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r>
      <w:tr>
        <w:trPr>
          <w:trHeight w:val="222"/>
        </w:trPr>
        <w:tc>
          <w:tcPr>
            <w:tcW w:w="6620" w:type="dxa"/>
            <w:vAlign w:val="bottom"/>
          </w:tcPr>
          <w:p>
            <w:pPr>
              <w:spacing w:after="0"/>
              <w:rPr>
                <w:sz w:val="19"/>
                <w:szCs w:val="19"/>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50.0</w:t>
            </w:r>
          </w:p>
        </w:tc>
        <w:tc>
          <w:tcPr>
            <w:tcW w:w="60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50.6</w:t>
            </w:r>
          </w:p>
        </w:tc>
        <w:tc>
          <w:tcPr>
            <w:tcW w:w="100" w:type="dxa"/>
            <w:vAlign w:val="bottom"/>
          </w:tcPr>
          <w:p>
            <w:pPr>
              <w:spacing w:after="0"/>
              <w:rPr>
                <w:sz w:val="19"/>
                <w:szCs w:val="19"/>
                <w:color w:val="auto"/>
              </w:rPr>
            </w:pPr>
          </w:p>
        </w:tc>
      </w:tr>
      <w:tr>
        <w:trPr>
          <w:trHeight w:val="20"/>
        </w:trPr>
        <w:tc>
          <w:tcPr>
            <w:tcW w:w="66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During the first quarter of fiscal 2012 and fiscal 2011, we recorded charges to adjust our inventories and customer service inventories to the lower of cost or market totaling $1.4 million and $5.6 million, respectively. These charges were primarily due to excess and obsolete inventory resulting from product transitioning and discontinuance.</w:t>
      </w:r>
    </w:p>
    <w:p>
      <w:pPr>
        <w:spacing w:after="0" w:line="14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Prior to fiscal 2011, we capitalized most of the costs associated with our internal manufacturing operations as a component of the overall cost of product inventory. Beginning in the first quarter of fiscal 2011, the manufacturing of our products was handled primarily by contract manufacturers and the activity transfer was completed by the end of fiscal 2011. Accordingly, the costs associated with our internal operations organization are now expensed as incurred. Gross margin in the first quarter of fiscal 2011 was negatively impacted by the immediate expensing of $6.0 million of such costs that was previously capitalized.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property, plant and equipment are summarized below:</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3020" w:type="dxa"/>
            <w:vAlign w:val="bottom"/>
            <w:gridSpan w:val="4"/>
          </w:tcPr>
          <w:p>
            <w:pPr>
              <w:ind w:left="156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5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1"/>
              </w:rPr>
              <w:t>July 1,</w:t>
            </w:r>
          </w:p>
        </w:tc>
      </w:tr>
      <w:tr>
        <w:trPr>
          <w:trHeight w:val="161"/>
        </w:trPr>
        <w:tc>
          <w:tcPr>
            <w:tcW w:w="49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2011</w:t>
            </w: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83"/>
              </w:rPr>
              <w:t>2011</w:t>
            </w:r>
          </w:p>
        </w:tc>
        <w:tc>
          <w:tcPr>
            <w:tcW w:w="120" w:type="dxa"/>
            <w:vAlign w:val="bottom"/>
          </w:tcPr>
          <w:p>
            <w:pPr>
              <w:spacing w:after="0"/>
              <w:rPr>
                <w:sz w:val="14"/>
                <w:szCs w:val="14"/>
                <w:color w:val="auto"/>
              </w:rPr>
            </w:pPr>
          </w:p>
        </w:tc>
      </w:tr>
      <w:tr>
        <w:trPr>
          <w:trHeight w:val="142"/>
        </w:trPr>
        <w:tc>
          <w:tcPr>
            <w:tcW w:w="49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760" w:type="dxa"/>
            <w:vAlign w:val="bottom"/>
            <w:gridSpan w:val="2"/>
            <w:shd w:val="clear" w:color="auto" w:fill="CCEEFF"/>
          </w:tcPr>
          <w:p>
            <w:pPr>
              <w:ind w:left="15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6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Buildings</w:t>
            </w: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10.1</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Software developed for internal use</w:t>
            </w: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8"/>
                <w:szCs w:val="18"/>
                <w:color w:val="auto"/>
              </w:rPr>
            </w:pPr>
          </w:p>
        </w:tc>
      </w:tr>
      <w:tr>
        <w:trPr>
          <w:trHeight w:val="223"/>
        </w:trPr>
        <w:tc>
          <w:tcPr>
            <w:tcW w:w="498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5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120" w:type="dxa"/>
            <w:vAlign w:val="bottom"/>
          </w:tcPr>
          <w:p>
            <w:pPr>
              <w:spacing w:after="0"/>
              <w:rPr>
                <w:sz w:val="19"/>
                <w:szCs w:val="19"/>
                <w:color w:val="auto"/>
              </w:rPr>
            </w:pPr>
          </w:p>
        </w:tc>
      </w:tr>
      <w:tr>
        <w:trPr>
          <w:trHeight w:val="216"/>
        </w:trPr>
        <w:tc>
          <w:tcPr>
            <w:tcW w:w="49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120" w:type="dxa"/>
            <w:vAlign w:val="bottom"/>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(41.0)</w:t>
            </w:r>
          </w:p>
        </w:tc>
      </w:tr>
      <w:tr>
        <w:trPr>
          <w:trHeight w:val="27"/>
        </w:trPr>
        <w:tc>
          <w:tcPr>
            <w:tcW w:w="49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9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ind w:left="15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6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20" w:type="dxa"/>
            <w:vAlign w:val="bottom"/>
            <w:shd w:val="clear" w:color="auto" w:fill="CCEEFF"/>
          </w:tcPr>
          <w:p>
            <w:pPr>
              <w:spacing w:after="0"/>
              <w:rPr>
                <w:sz w:val="18"/>
                <w:szCs w:val="18"/>
                <w:color w:val="auto"/>
              </w:rPr>
            </w:pPr>
          </w:p>
        </w:tc>
      </w:tr>
      <w:tr>
        <w:trPr>
          <w:trHeight w:val="20"/>
        </w:trPr>
        <w:tc>
          <w:tcPr>
            <w:tcW w:w="49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Depreciation and amortization expense related to property, plant and equipment, including amortization of software developed for internal use, was $0.8 million and $2.2 million, respectively, during the first quarter of fiscal 2012 and fiscal 2011, respectively.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Warranties</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Changes in our warranty liability, which is included as a component of other accrued expenses on the condensed consolidated balance sheets, during the first quarter of fiscal 2012 and fiscal 2011 were as follows: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Quarter Ended</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660" w:type="dxa"/>
            <w:vAlign w:val="bottom"/>
            <w:gridSpan w:val="3"/>
          </w:tcPr>
          <w:p>
            <w:pPr>
              <w:ind w:left="60"/>
              <w:spacing w:after="0" w:line="129" w:lineRule="exact"/>
              <w:rPr>
                <w:sz w:val="20"/>
                <w:szCs w:val="20"/>
                <w:color w:val="auto"/>
              </w:rPr>
            </w:pPr>
            <w:r>
              <w:rPr>
                <w:rFonts w:ascii="Arial" w:cs="Arial" w:eastAsia="Arial" w:hAnsi="Arial"/>
                <w:sz w:val="14"/>
                <w:szCs w:val="14"/>
                <w:b w:val="1"/>
                <w:bCs w:val="1"/>
                <w:color w:val="auto"/>
                <w:w w:val="83"/>
              </w:rPr>
              <w:t>October 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2011</w:t>
            </w:r>
          </w:p>
        </w:tc>
        <w:tc>
          <w:tcPr>
            <w:tcW w:w="8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6"/>
              </w:rPr>
              <w:t>2010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(In millions)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the beginning of the fiscal year</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Warranty provision for revenue recorded during the period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0.4</w:t>
            </w: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Settlements made during the period</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(0.6)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Arial" w:cs="Arial" w:eastAsia="Arial" w:hAnsi="Arial"/>
                <w:sz w:val="18"/>
                <w:szCs w:val="18"/>
                <w:color w:val="auto"/>
              </w:rPr>
              <w:t>Balance as of the end of the period</w:t>
            </w: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40" w:type="dxa"/>
            <w:vAlign w:val="bottom"/>
            <w:vMerge w:val="continue"/>
          </w:tcPr>
          <w:p>
            <w:pPr>
              <w:spacing w:after="0"/>
              <w:rPr>
                <w:sz w:val="19"/>
                <w:szCs w:val="19"/>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2.6</w:t>
            </w:r>
          </w:p>
        </w:tc>
        <w:tc>
          <w:tcPr>
            <w:tcW w:w="840" w:type="dxa"/>
            <w:vAlign w:val="bottom"/>
          </w:tcPr>
          <w:p>
            <w:pPr>
              <w:spacing w:after="0"/>
              <w:rPr>
                <w:sz w:val="19"/>
                <w:szCs w:val="19"/>
                <w:color w:val="auto"/>
              </w:rPr>
            </w:pP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w:t>
            </w:r>
            <w:r>
              <w:rPr>
                <w:rFonts w:ascii="Arial" w:cs="Arial" w:eastAsia="Arial" w:hAnsi="Arial"/>
                <w:sz w:val="18"/>
                <w:szCs w:val="18"/>
                <w:u w:val="single" w:color="auto"/>
                <w:color w:val="auto"/>
              </w:rPr>
              <w:t>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Fair Value Measurements of Assets and Liabilities</w:t>
      </w:r>
    </w:p>
    <w:p>
      <w:pPr>
        <w:spacing w:after="0" w:line="9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We determine fair value as the price that would be received to sell an asset or paid to transfer a liability in the principal market (or most advantageous market, in the absence of a principal market) for the asset or liability in an orderly transaction between market participants as of the measurement date. We try to maximize the use of observable inputs and minimize the use of unobservable inputs in measuring fair value and establish a three-level fair value hierarchy that prioritizes the inputs used to measure fair value. The three levels of inputs used to measure fair value are as follows:</w:t>
      </w:r>
    </w:p>
    <w:p>
      <w:pPr>
        <w:spacing w:after="0" w:line="32"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 Observable inputs such as quoted prices in active markets for identical assets or liabilities;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 — Observable market-based inputs or observable inputs that are corroborated by market data;</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 — Unobservable inputs reflecting our own assumptions.</w:t>
      </w:r>
    </w:p>
    <w:p>
      <w:pPr>
        <w:spacing w:after="0" w:line="17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carrying amounts, estimated fair values and valuation input levels of our financial assets and financial liabilities as of September 30, 2011 and July 1, 2011 were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2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88"/>
              </w:rPr>
              <w:t>September 30, 2011</w:t>
            </w: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ind w:right="192"/>
              <w:spacing w:after="0"/>
              <w:rPr>
                <w:sz w:val="20"/>
                <w:szCs w:val="20"/>
                <w:color w:val="auto"/>
              </w:rPr>
            </w:pPr>
            <w:r>
              <w:rPr>
                <w:rFonts w:ascii="Arial" w:cs="Arial" w:eastAsia="Arial" w:hAnsi="Arial"/>
                <w:sz w:val="14"/>
                <w:szCs w:val="14"/>
                <w:b w:val="1"/>
                <w:bCs w:val="1"/>
                <w:color w:val="auto"/>
                <w:w w:val="99"/>
              </w:rPr>
              <w:t>July 1, 2011</w:t>
            </w:r>
          </w:p>
        </w:tc>
        <w:tc>
          <w:tcPr>
            <w:tcW w:w="98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Valuation</w:t>
            </w:r>
          </w:p>
        </w:tc>
        <w:tc>
          <w:tcPr>
            <w:tcW w:w="0" w:type="dxa"/>
            <w:vAlign w:val="bottom"/>
          </w:tcPr>
          <w:p>
            <w:pPr>
              <w:spacing w:after="0"/>
              <w:rPr>
                <w:sz w:val="1"/>
                <w:szCs w:val="1"/>
                <w:color w:val="auto"/>
              </w:rPr>
            </w:pPr>
          </w:p>
        </w:tc>
      </w:tr>
      <w:tr>
        <w:trPr>
          <w:trHeight w:val="129"/>
        </w:trPr>
        <w:tc>
          <w:tcPr>
            <w:tcW w:w="508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Carrying</w:t>
            </w:r>
          </w:p>
        </w:tc>
        <w:tc>
          <w:tcPr>
            <w:tcW w:w="580" w:type="dxa"/>
            <w:vAlign w:val="bottom"/>
            <w:gridSpan w:val="2"/>
          </w:tcPr>
          <w:p>
            <w:pPr>
              <w:jc w:val="right"/>
              <w:ind w:right="12"/>
              <w:spacing w:after="0" w:line="129" w:lineRule="exact"/>
              <w:rPr>
                <w:sz w:val="20"/>
                <w:szCs w:val="20"/>
                <w:color w:val="auto"/>
              </w:rPr>
            </w:pPr>
            <w:r>
              <w:rPr>
                <w:rFonts w:ascii="Arial" w:cs="Arial" w:eastAsia="Arial" w:hAnsi="Arial"/>
                <w:sz w:val="14"/>
                <w:szCs w:val="14"/>
                <w:b w:val="1"/>
                <w:bCs w:val="1"/>
                <w:color w:val="auto"/>
              </w:rPr>
              <w:t>Fair</w:t>
            </w:r>
          </w:p>
        </w:tc>
        <w:tc>
          <w:tcPr>
            <w:tcW w:w="300" w:type="dxa"/>
            <w:vAlign w:val="bottom"/>
          </w:tcPr>
          <w:p>
            <w:pPr>
              <w:spacing w:after="0"/>
              <w:rPr>
                <w:sz w:val="11"/>
                <w:szCs w:val="11"/>
                <w:color w:val="auto"/>
              </w:rPr>
            </w:pPr>
          </w:p>
        </w:tc>
        <w:tc>
          <w:tcPr>
            <w:tcW w:w="7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Carrying</w:t>
            </w:r>
          </w:p>
        </w:tc>
        <w:tc>
          <w:tcPr>
            <w:tcW w:w="5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Fair</w:t>
            </w:r>
          </w:p>
        </w:tc>
        <w:tc>
          <w:tcPr>
            <w:tcW w:w="9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0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68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w w:val="90"/>
              </w:rPr>
              <w:t>Amount</w:t>
            </w: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Value</w:t>
            </w:r>
          </w:p>
        </w:tc>
        <w:tc>
          <w:tcPr>
            <w:tcW w:w="300" w:type="dxa"/>
            <w:vAlign w:val="bottom"/>
          </w:tcPr>
          <w:p>
            <w:pPr>
              <w:spacing w:after="0"/>
              <w:rPr>
                <w:sz w:val="14"/>
                <w:szCs w:val="14"/>
                <w:color w:val="auto"/>
              </w:rPr>
            </w:pPr>
          </w:p>
        </w:tc>
        <w:tc>
          <w:tcPr>
            <w:tcW w:w="740" w:type="dxa"/>
            <w:vAlign w:val="bottom"/>
            <w:gridSpan w:val="2"/>
          </w:tcPr>
          <w:p>
            <w:pPr>
              <w:jc w:val="right"/>
              <w:ind w:right="155"/>
              <w:spacing w:after="0"/>
              <w:rPr>
                <w:sz w:val="20"/>
                <w:szCs w:val="20"/>
                <w:color w:val="auto"/>
              </w:rPr>
            </w:pPr>
            <w:r>
              <w:rPr>
                <w:rFonts w:ascii="Arial" w:cs="Arial" w:eastAsia="Arial" w:hAnsi="Arial"/>
                <w:sz w:val="14"/>
                <w:szCs w:val="14"/>
                <w:b w:val="1"/>
                <w:bCs w:val="1"/>
                <w:color w:val="auto"/>
                <w:w w:val="90"/>
              </w:rPr>
              <w:t>Amount</w:t>
            </w: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rPr>
              <w:t>Value</w:t>
            </w:r>
          </w:p>
        </w:tc>
        <w:tc>
          <w:tcPr>
            <w:tcW w:w="980" w:type="dxa"/>
            <w:vAlign w:val="bottom"/>
            <w:gridSpan w:val="2"/>
          </w:tcPr>
          <w:p>
            <w:pPr>
              <w:ind w:left="400"/>
              <w:spacing w:after="0"/>
              <w:rPr>
                <w:sz w:val="20"/>
                <w:szCs w:val="20"/>
                <w:color w:val="auto"/>
              </w:rPr>
            </w:pPr>
            <w:r>
              <w:rPr>
                <w:rFonts w:ascii="Arial" w:cs="Arial" w:eastAsia="Arial" w:hAnsi="Arial"/>
                <w:sz w:val="14"/>
                <w:szCs w:val="14"/>
                <w:b w:val="1"/>
                <w:bCs w:val="1"/>
                <w:color w:val="auto"/>
              </w:rPr>
              <w:t>Inputs</w:t>
            </w:r>
          </w:p>
        </w:tc>
        <w:tc>
          <w:tcPr>
            <w:tcW w:w="0" w:type="dxa"/>
            <w:vAlign w:val="bottom"/>
          </w:tcPr>
          <w:p>
            <w:pPr>
              <w:spacing w:after="0"/>
              <w:rPr>
                <w:sz w:val="1"/>
                <w:szCs w:val="1"/>
                <w:color w:val="auto"/>
              </w:rPr>
            </w:pPr>
          </w:p>
        </w:tc>
      </w:tr>
      <w:tr>
        <w:trPr>
          <w:trHeight w:val="142"/>
        </w:trPr>
        <w:tc>
          <w:tcPr>
            <w:tcW w:w="50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3"/>
          </w:tcPr>
          <w:p>
            <w:pPr>
              <w:jc w:val="right"/>
              <w:ind w:right="15"/>
              <w:spacing w:after="0" w:line="142" w:lineRule="exact"/>
              <w:rPr>
                <w:sz w:val="20"/>
                <w:szCs w:val="20"/>
                <w:color w:val="auto"/>
              </w:rPr>
            </w:pPr>
            <w:r>
              <w:rPr>
                <w:rFonts w:ascii="Arial" w:cs="Arial" w:eastAsia="Arial" w:hAnsi="Arial"/>
                <w:sz w:val="14"/>
                <w:szCs w:val="14"/>
                <w:b w:val="1"/>
                <w:bCs w:val="1"/>
                <w:color w:val="auto"/>
              </w:rPr>
              <w:t>(In millions)</w:t>
            </w:r>
          </w:p>
        </w:tc>
        <w:tc>
          <w:tcPr>
            <w:tcW w:w="1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Financial Assets:</w:t>
            </w:r>
          </w:p>
        </w:tc>
        <w:tc>
          <w:tcPr>
            <w:tcW w:w="2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Cash</w:t>
            </w:r>
          </w:p>
        </w:tc>
        <w:tc>
          <w:tcPr>
            <w:tcW w:w="2720" w:type="dxa"/>
            <w:vAlign w:val="bottom"/>
            <w:gridSpan w:val="2"/>
          </w:tcPr>
          <w:p>
            <w:pPr>
              <w:ind w:left="256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52"/>
              <w:spacing w:after="0"/>
              <w:rPr>
                <w:sz w:val="20"/>
                <w:szCs w:val="20"/>
                <w:color w:val="auto"/>
              </w:rPr>
            </w:pPr>
            <w:r>
              <w:rPr>
                <w:rFonts w:ascii="Arial" w:cs="Arial" w:eastAsia="Arial" w:hAnsi="Arial"/>
                <w:sz w:val="18"/>
                <w:szCs w:val="18"/>
                <w:color w:val="auto"/>
              </w:rPr>
              <w:t>45.0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5"/>
              </w:rPr>
              <w:t>45.0</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15"/>
              <w:spacing w:after="0"/>
              <w:rPr>
                <w:sz w:val="20"/>
                <w:szCs w:val="20"/>
                <w:color w:val="auto"/>
              </w:rPr>
            </w:pPr>
            <w:r>
              <w:rPr>
                <w:rFonts w:ascii="Arial" w:cs="Arial" w:eastAsia="Arial" w:hAnsi="Arial"/>
                <w:sz w:val="18"/>
                <w:szCs w:val="18"/>
                <w:color w:val="auto"/>
              </w:rPr>
              <w:t>38.9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5"/>
              </w:rPr>
              <w:t>38.9</w:t>
            </w:r>
          </w:p>
        </w:tc>
        <w:tc>
          <w:tcPr>
            <w:tcW w:w="980" w:type="dxa"/>
            <w:vAlign w:val="bottom"/>
            <w:gridSpan w:val="2"/>
          </w:tcPr>
          <w:p>
            <w:pPr>
              <w:ind w:left="360"/>
              <w:spacing w:after="0"/>
              <w:rPr>
                <w:sz w:val="20"/>
                <w:szCs w:val="20"/>
                <w:color w:val="auto"/>
              </w:rPr>
            </w:pPr>
            <w:r>
              <w:rPr>
                <w:rFonts w:ascii="Arial" w:cs="Arial" w:eastAsia="Arial" w:hAnsi="Arial"/>
                <w:sz w:val="18"/>
                <w:szCs w:val="18"/>
                <w:color w:val="auto"/>
              </w:rPr>
              <w:t>Level 1</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2720" w:type="dxa"/>
            <w:vAlign w:val="bottom"/>
            <w:gridSpan w:val="2"/>
            <w:shd w:val="clear" w:color="auto" w:fill="CCEEFF"/>
          </w:tcPr>
          <w:p>
            <w:pPr>
              <w:ind w:left="25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42.6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42.6</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59.3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59.3</w:t>
            </w:r>
          </w:p>
        </w:tc>
        <w:tc>
          <w:tcPr>
            <w:tcW w:w="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Level 1</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Foreign exchange forward contracts</w:t>
            </w:r>
          </w:p>
        </w:tc>
        <w:tc>
          <w:tcPr>
            <w:tcW w:w="2720" w:type="dxa"/>
            <w:vAlign w:val="bottom"/>
            <w:gridSpan w:val="2"/>
          </w:tcPr>
          <w:p>
            <w:pPr>
              <w:ind w:left="256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52"/>
              <w:spacing w:after="0"/>
              <w:rPr>
                <w:sz w:val="20"/>
                <w:szCs w:val="20"/>
                <w:color w:val="auto"/>
              </w:rPr>
            </w:pPr>
            <w:r>
              <w:rPr>
                <w:rFonts w:ascii="Arial" w:cs="Arial" w:eastAsia="Arial" w:hAnsi="Arial"/>
                <w:sz w:val="18"/>
                <w:szCs w:val="18"/>
                <w:color w:val="auto"/>
              </w:rPr>
              <w:t>0.8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0.8</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15"/>
              <w:spacing w:after="0"/>
              <w:rPr>
                <w:sz w:val="20"/>
                <w:szCs w:val="20"/>
                <w:color w:val="auto"/>
              </w:rPr>
            </w:pPr>
            <w:r>
              <w:rPr>
                <w:rFonts w:ascii="Arial" w:cs="Arial" w:eastAsia="Arial" w:hAnsi="Arial"/>
                <w:sz w:val="18"/>
                <w:szCs w:val="18"/>
                <w:color w:val="auto"/>
              </w:rPr>
              <w:t>0.2</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0.2</w:t>
            </w:r>
          </w:p>
        </w:tc>
        <w:tc>
          <w:tcPr>
            <w:tcW w:w="980" w:type="dxa"/>
            <w:vAlign w:val="bottom"/>
            <w:gridSpan w:val="2"/>
          </w:tcPr>
          <w:p>
            <w:pPr>
              <w:ind w:left="360"/>
              <w:spacing w:after="0"/>
              <w:rPr>
                <w:sz w:val="20"/>
                <w:szCs w:val="20"/>
                <w:color w:val="auto"/>
              </w:rPr>
            </w:pPr>
            <w:r>
              <w:rPr>
                <w:rFonts w:ascii="Arial" w:cs="Arial" w:eastAsia="Arial" w:hAnsi="Arial"/>
                <w:sz w:val="18"/>
                <w:szCs w:val="18"/>
                <w:color w:val="auto"/>
              </w:rPr>
              <w:t>Level 2</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Financial Liabilities:</w:t>
            </w:r>
          </w:p>
        </w:tc>
        <w:tc>
          <w:tcPr>
            <w:tcW w:w="2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Short-term debt</w:t>
            </w:r>
          </w:p>
        </w:tc>
        <w:tc>
          <w:tcPr>
            <w:tcW w:w="2720" w:type="dxa"/>
            <w:vAlign w:val="bottom"/>
            <w:gridSpan w:val="2"/>
          </w:tcPr>
          <w:p>
            <w:pPr>
              <w:ind w:left="256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52"/>
              <w:spacing w:after="0"/>
              <w:rPr>
                <w:sz w:val="20"/>
                <w:szCs w:val="20"/>
                <w:color w:val="auto"/>
              </w:rPr>
            </w:pPr>
            <w:r>
              <w:rPr>
                <w:rFonts w:ascii="Arial" w:cs="Arial" w:eastAsia="Arial" w:hAnsi="Arial"/>
                <w:sz w:val="18"/>
                <w:szCs w:val="18"/>
                <w:color w:val="auto"/>
              </w:rPr>
              <w:t>6.0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6.0</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15"/>
              <w:spacing w:after="0"/>
              <w:rPr>
                <w:sz w:val="20"/>
                <w:szCs w:val="20"/>
                <w:color w:val="auto"/>
              </w:rPr>
            </w:pPr>
            <w:r>
              <w:rPr>
                <w:rFonts w:ascii="Arial" w:cs="Arial" w:eastAsia="Arial" w:hAnsi="Arial"/>
                <w:sz w:val="18"/>
                <w:szCs w:val="18"/>
                <w:color w:val="auto"/>
              </w:rPr>
              <w:t>6.0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6.0</w:t>
            </w:r>
          </w:p>
        </w:tc>
        <w:tc>
          <w:tcPr>
            <w:tcW w:w="980" w:type="dxa"/>
            <w:vAlign w:val="bottom"/>
            <w:gridSpan w:val="2"/>
          </w:tcPr>
          <w:p>
            <w:pPr>
              <w:ind w:left="360"/>
              <w:spacing w:after="0"/>
              <w:rPr>
                <w:sz w:val="20"/>
                <w:szCs w:val="20"/>
                <w:color w:val="auto"/>
              </w:rPr>
            </w:pPr>
            <w:r>
              <w:rPr>
                <w:rFonts w:ascii="Arial" w:cs="Arial" w:eastAsia="Arial" w:hAnsi="Arial"/>
                <w:sz w:val="18"/>
                <w:szCs w:val="18"/>
                <w:color w:val="auto"/>
              </w:rPr>
              <w:t>Level 2</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Redeemable preference shares</w:t>
            </w:r>
          </w:p>
        </w:tc>
        <w:tc>
          <w:tcPr>
            <w:tcW w:w="2720" w:type="dxa"/>
            <w:vAlign w:val="bottom"/>
            <w:gridSpan w:val="2"/>
            <w:shd w:val="clear" w:color="auto" w:fill="CCEEFF"/>
          </w:tcPr>
          <w:p>
            <w:pPr>
              <w:ind w:left="25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8.3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8.3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Level 3</w:t>
            </w:r>
          </w:p>
        </w:tc>
        <w:tc>
          <w:tcPr>
            <w:tcW w:w="0" w:type="dxa"/>
            <w:vAlign w:val="bottom"/>
          </w:tcPr>
          <w:p>
            <w:pPr>
              <w:spacing w:after="0"/>
              <w:rPr>
                <w:sz w:val="1"/>
                <w:szCs w:val="1"/>
                <w:color w:val="auto"/>
              </w:rPr>
            </w:pPr>
          </w:p>
        </w:tc>
      </w:tr>
      <w:tr>
        <w:trPr>
          <w:trHeight w:val="222"/>
        </w:trPr>
        <w:tc>
          <w:tcPr>
            <w:tcW w:w="5080" w:type="dxa"/>
            <w:vAlign w:val="bottom"/>
          </w:tcPr>
          <w:p>
            <w:pPr>
              <w:spacing w:after="0"/>
              <w:rPr>
                <w:sz w:val="20"/>
                <w:szCs w:val="20"/>
                <w:color w:val="auto"/>
              </w:rPr>
            </w:pPr>
            <w:r>
              <w:rPr>
                <w:rFonts w:ascii="Arial" w:cs="Arial" w:eastAsia="Arial" w:hAnsi="Arial"/>
                <w:sz w:val="18"/>
                <w:szCs w:val="18"/>
                <w:color w:val="auto"/>
              </w:rPr>
              <w:t>Foreign exchange forward contracts</w:t>
            </w:r>
          </w:p>
        </w:tc>
        <w:tc>
          <w:tcPr>
            <w:tcW w:w="2720" w:type="dxa"/>
            <w:vAlign w:val="bottom"/>
            <w:gridSpan w:val="2"/>
          </w:tcPr>
          <w:p>
            <w:pPr>
              <w:ind w:left="256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52"/>
              <w:spacing w:after="0"/>
              <w:rPr>
                <w:sz w:val="20"/>
                <w:szCs w:val="20"/>
                <w:color w:val="auto"/>
              </w:rPr>
            </w:pPr>
            <w:r>
              <w:rPr>
                <w:rFonts w:ascii="Arial" w:cs="Arial" w:eastAsia="Arial" w:hAnsi="Arial"/>
                <w:sz w:val="18"/>
                <w:szCs w:val="18"/>
                <w:color w:val="auto"/>
              </w:rPr>
              <w:t>0.1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0.1</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15"/>
              <w:spacing w:after="0"/>
              <w:rPr>
                <w:sz w:val="20"/>
                <w:szCs w:val="20"/>
                <w:color w:val="auto"/>
              </w:rPr>
            </w:pPr>
            <w:r>
              <w:rPr>
                <w:rFonts w:ascii="Arial" w:cs="Arial" w:eastAsia="Arial" w:hAnsi="Arial"/>
                <w:sz w:val="18"/>
                <w:szCs w:val="18"/>
                <w:color w:val="auto"/>
              </w:rPr>
              <w:t>0.1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0.1</w:t>
            </w:r>
          </w:p>
        </w:tc>
        <w:tc>
          <w:tcPr>
            <w:tcW w:w="980" w:type="dxa"/>
            <w:vAlign w:val="bottom"/>
            <w:gridSpan w:val="2"/>
          </w:tcPr>
          <w:p>
            <w:pPr>
              <w:ind w:left="360"/>
              <w:spacing w:after="0"/>
              <w:rPr>
                <w:sz w:val="20"/>
                <w:szCs w:val="20"/>
                <w:color w:val="auto"/>
              </w:rPr>
            </w:pPr>
            <w:r>
              <w:rPr>
                <w:rFonts w:ascii="Arial" w:cs="Arial" w:eastAsia="Arial" w:hAnsi="Arial"/>
                <w:sz w:val="18"/>
                <w:szCs w:val="18"/>
                <w:color w:val="auto"/>
              </w:rPr>
              <w:t>Level 2</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classify investments within Level 1 if quoted prices are available in active markets. Level 1investments generally include U.S. Treasuries, trading securities with quoted prices on active markets, and money market funds. Our cash equivalents consist primarily of shares in prime money market funds purchased from two major financial institutions. As of September 30, 2011 and July 1, 2011, these money market shares were valued at $1.00 net asset value per share by these financial institutions.</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classify items in Level 2 if the investments are valued using observable inputs to quoted market prices, benchmark yields, reported trades, broker/dealer quotes or alternative pricing sources with reasonable levels of price transparency. Our foreign exchange forward contracts and short-term debt are classified within Level 2. Foreign currency forward contracts are valued using an income approach for the remaining term of the contract based on forward market rates less the contract rate multiplied by the notional amount. The amortized cost of short-term debt approximates fair value due to the variable interest rate under the arrangement applicable to such debt.</w:t>
      </w:r>
    </w:p>
    <w:p>
      <w:pPr>
        <w:spacing w:after="0" w:line="143"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We classify items in Level 3 if the investments are valued based on unobservable inputs in the market. We have valued our redeemable preference shares at face value as of September 30, 2011 and July 1, 2011 due to the existence of a put option one of the holders has with our former majority stockholder Harris, our agreement with Harris to redeem these shares on January 30, 2012 in exchange for their reimbursement of the premium payable, and the non-existence of a market for comparable financial instruments. See Note 8 to the financial statements for further information on the early redemption of these shares.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Our policy is to recognize asset or liability transfers among Level 1, Level 2, and Level 3 as of the actual date of the events or change in circumstances that caused the transfer. During the first quarter of fiscal 2012 and fiscal 2011, we had no transfers between levels of the fair value hierarchy of our assets or liabilities measured at fair value.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Redeemable Preference Shares</w:t>
      </w:r>
    </w:p>
    <w:p>
      <w:pPr>
        <w:spacing w:after="0" w:line="96"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During fiscal 2007, our Singapore subsidiary issued 8,250 redeemable preference shares to the U.S. parent company which, in turn, sold the shares to two unrelated investment companies at par value for total sale proceeds of $8.25 million. Upon original issuance in fiscal 2007, our former majority stockholder Harris guaranteed redemption of these preference shares directly with these two unrelated investment companies through the existence of put option arrangements. During May 2009, one of these unrelated investment companies exercised a put option with Harris and sold its entire interest in 3,250 redeemable preference shares at face value to Harris. Accordingly, Harris owns this partial interest in our redeemable preference shares outstanding as of September 30, 2011 and July 1, 2011.</w:t>
      </w:r>
    </w:p>
    <w:p>
      <w:pPr>
        <w:spacing w:after="0" w:line="144" w:lineRule="exact"/>
        <w:rPr>
          <w:sz w:val="20"/>
          <w:szCs w:val="20"/>
          <w:color w:val="auto"/>
        </w:rPr>
      </w:pPr>
    </w:p>
    <w:p>
      <w:pPr>
        <w:ind w:right="340" w:firstLine="456"/>
        <w:spacing w:after="0" w:line="305" w:lineRule="auto"/>
        <w:rPr>
          <w:sz w:val="20"/>
          <w:szCs w:val="20"/>
          <w:color w:val="auto"/>
        </w:rPr>
      </w:pPr>
      <w:r>
        <w:rPr>
          <w:rFonts w:ascii="Arial" w:cs="Arial" w:eastAsia="Arial" w:hAnsi="Arial"/>
          <w:sz w:val="15"/>
          <w:szCs w:val="15"/>
          <w:color w:val="auto"/>
        </w:rPr>
        <w:t>These redeemable preference shares represent less than a 1% interest in our Singapore subsidiary. The redeemable preference shares have an automatic redemption date of January 2017, which is 10 years from the date of issue. Preference dividends are cumulative and payable quarterly in cash at the rate of</w:t>
      </w:r>
    </w:p>
    <w:p>
      <w:pPr>
        <w:ind w:right="40"/>
        <w:spacing w:after="0" w:line="292" w:lineRule="auto"/>
        <w:rPr>
          <w:sz w:val="20"/>
          <w:szCs w:val="20"/>
          <w:color w:val="auto"/>
        </w:rPr>
      </w:pPr>
      <w:r>
        <w:rPr>
          <w:rFonts w:ascii="Arial" w:cs="Arial" w:eastAsia="Arial" w:hAnsi="Arial"/>
          <w:sz w:val="16"/>
          <w:szCs w:val="16"/>
          <w:color w:val="auto"/>
        </w:rPr>
        <w:t>12% per annum. The holders of the redeemable preference shares have liquidation rights in priority of all classes of capital stock of our Singapore subsidiary. The holders of the redeemable preference shares do not have any other participation in, or rights to, our profits, assets or capital shares, and do not have rights to vote as a stockholder of the Singapore subsidiary unless the preference dividend or any part thereof is in arrears and has remained unpaid for at least 12 months after it has been declared. During the first quarter of fiscal 2012 and fiscal 2011, preference dividends totaling $0.2 million in each fiscal year were recorded as interest expense in the accompanying consolidated statements of operations.</w:t>
      </w:r>
    </w:p>
    <w:p>
      <w:pPr>
        <w:spacing w:after="0" w:line="117"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Our Singapore subsidiary has the right at any time after 5 years from the issue date to redeem, in whole or in part, the redeemable preference shares at 100% to 105% of the issue price depending on the redemption date.</w:t>
      </w:r>
    </w:p>
    <w:p>
      <w:pPr>
        <w:spacing w:after="0" w:line="132"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In an agreement dated June 30, 2011 by and among Harris, the Company and our Singapore subsidiary, we agreed to redeem the shares on the fifth anniversary of the date of issuance, January 30, 2012, at the stated redemption amount of 105% of their face value. In consideration for the early redemption, Harris has agreed to waive the 5% premium for the amount that would otherwise be payable to them and to reimburse us for the 5% premium that is payable to the remaining stockholder. Accordingly, as of September 30, 2011 and July 1, 2011, the $8.25 million redemption price for these shares has been classified as a current liability.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Credit Facility and Debt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outstanding debt consisted of short-term debt of $6.0 million as of September 30, 2011 and July 1, 2011.</w:t>
      </w:r>
    </w:p>
    <w:p>
      <w:pPr>
        <w:spacing w:after="0" w:line="17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During the quarter ended October 1, 2010, we terminated our previous credit facility with two commercial banks and entered into a new $40.0 million credit facility with Silicon Valley Bank for an initial term of one year expiring on September 30, 2011. Prior to September 30, 2011, the availability of the facility was extended and on November 2, 2011 the facility was amended to expire on February 28, 2014 and provide for a two year term loan provision for up to $8.25 million intended to fund the redemption of the preference shares on January 30, 2012.</w:t>
      </w:r>
    </w:p>
    <w:p>
      <w:pPr>
        <w:spacing w:after="0" w:line="14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Our current credit facility provides for a committed amount of $40.0 million. The facility provides for (1) demand borrowings (with no stated maturity date); (2) fixed term Eurodollar loans for up to six months, (3) a two year term loan in an amount up to $8.25 million to be drawn down by January 31, 2012 and (4) the issuance of standby or commercial letters of credit.</w:t>
      </w:r>
    </w:p>
    <w:p>
      <w:pPr>
        <w:spacing w:after="0" w:line="140"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 xml:space="preserve">Demand borrowings carry an interest rate computed at the daily prime rate as published in the </w:t>
      </w:r>
      <w:r>
        <w:rPr>
          <w:rFonts w:ascii="Arial" w:cs="Arial" w:eastAsia="Arial" w:hAnsi="Arial"/>
          <w:sz w:val="18"/>
          <w:szCs w:val="18"/>
          <w:i w:val="1"/>
          <w:iCs w:val="1"/>
          <w:color w:val="auto"/>
        </w:rPr>
        <w:t>Wall Street Journal</w:t>
      </w:r>
      <w:r>
        <w:rPr>
          <w:rFonts w:ascii="Arial" w:cs="Arial" w:eastAsia="Arial" w:hAnsi="Arial"/>
          <w:sz w:val="18"/>
          <w:szCs w:val="18"/>
          <w:color w:val="auto"/>
        </w:rPr>
        <w:t>, which was 3.25% as of September 30, 201l. Interest on Eurodollar loans are offered at LIBOR plus a spread of between 2.00% to 2.75% based on our current leverage ratio. The interest rate on Eurodollar loans was set initially at a spread of 2.75% for the fiscal quarter ended October 1, 2010 and is adjustable quarterly thereafter based on the computed actual leverage ratio for the most recently completed fiscal quarter. The term loan will be at a fixed rate of 5% per annum and provides for equal monthly payments of principal. The facility contains a minimum liquidity ratio covenant and a minimum profitability covenant. As of September 30, 2011, we were in compliance with these financial covenants. Certain of our assets, including accounts receivable, inventory, and equipment, are pledged as collateral for the credit facility.</w:t>
      </w:r>
    </w:p>
    <w:p>
      <w:pPr>
        <w:spacing w:after="0" w:line="14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Available credit as of September 30, 2011 was $24.8 million reflecting borrowings of $6.0 million and outstanding letters of credit of $9.2 million. The weighted average interest rate on our short-term borrowings was 3.25% as of September 30, 2011.</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also have an uncommitted short-term line of credit of $0.4 million from a bank in New Zealand to support the operations of our subsidiary located there. This line of credit provides for $0.2 million in short-term advances at various interest rates, all of which was available as of September 30, 2011. The line of credit also provides for the issuance of standby letters of credit and company credit cards, of which $0.2 million was outstanding as of September 30, 2011. This facility may be terminated upon notice, is reviewed annually for renewal or modification, and is supported by a corporate guarantee.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Restructuring</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2011 Plan</w:t>
      </w:r>
    </w:p>
    <w:p>
      <w:pPr>
        <w:spacing w:after="0" w:line="9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During the first quarter of fiscal 2011, we initiated a restructuring plan to reduce our operational costs (the “Fiscal 2011 Plan”). The Fiscal 2011 Plan was intended to bring our cost structure in line with the changing dynamics of the worldwide microwave radio and telecommunication markets, primarily in North America, Europe and Asia. The following table summarizes our costs incurred during first quarter of fiscal 2012 and fiscal 2011, estimated additional costs to be incurred and estimated total costs expected to be incurred as of September 30, 2011 under the Fiscal 2011 Plan:</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center"/>
              <w:ind w:right="38"/>
              <w:spacing w:after="0"/>
              <w:rPr>
                <w:sz w:val="20"/>
                <w:szCs w:val="20"/>
                <w:color w:val="auto"/>
              </w:rPr>
            </w:pPr>
            <w:r>
              <w:rPr>
                <w:rFonts w:ascii="Arial" w:cs="Arial" w:eastAsia="Arial" w:hAnsi="Arial"/>
                <w:sz w:val="14"/>
                <w:szCs w:val="14"/>
                <w:b w:val="1"/>
                <w:bCs w:val="1"/>
                <w:color w:val="auto"/>
                <w:w w:val="86"/>
              </w:rPr>
              <w:t>Total Costs</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86"/>
              </w:rPr>
              <w:t>Total Costs</w:t>
            </w: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0"/>
              </w:rPr>
              <w:t>Cumulative</w:t>
            </w: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4300" w:type="dxa"/>
            <w:vAlign w:val="bottom"/>
          </w:tcPr>
          <w:p>
            <w:pPr>
              <w:spacing w:after="0"/>
              <w:rPr>
                <w:sz w:val="12"/>
                <w:szCs w:val="12"/>
                <w:color w:val="auto"/>
              </w:rPr>
            </w:pPr>
          </w:p>
        </w:tc>
        <w:tc>
          <w:tcPr>
            <w:tcW w:w="9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1"/>
              </w:rPr>
              <w:t>Incurred During</w:t>
            </w:r>
          </w:p>
        </w:tc>
        <w:tc>
          <w:tcPr>
            <w:tcW w:w="640" w:type="dxa"/>
            <w:vAlign w:val="bottom"/>
          </w:tcPr>
          <w:p>
            <w:pPr>
              <w:spacing w:after="0"/>
              <w:rPr>
                <w:sz w:val="12"/>
                <w:szCs w:val="12"/>
                <w:color w:val="auto"/>
              </w:rPr>
            </w:pPr>
          </w:p>
        </w:tc>
        <w:tc>
          <w:tcPr>
            <w:tcW w:w="16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Incurred During</w:t>
            </w:r>
          </w:p>
        </w:tc>
        <w:tc>
          <w:tcPr>
            <w:tcW w:w="9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9"/>
              </w:rPr>
              <w:t>Costs Incurred</w:t>
            </w:r>
          </w:p>
        </w:tc>
        <w:tc>
          <w:tcPr>
            <w:tcW w:w="660" w:type="dxa"/>
            <w:vAlign w:val="bottom"/>
          </w:tcPr>
          <w:p>
            <w:pPr>
              <w:spacing w:after="0"/>
              <w:rPr>
                <w:sz w:val="12"/>
                <w:szCs w:val="12"/>
                <w:color w:val="auto"/>
              </w:rPr>
            </w:pPr>
          </w:p>
        </w:tc>
        <w:tc>
          <w:tcPr>
            <w:tcW w:w="100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Estimated</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Total</w:t>
            </w:r>
          </w:p>
        </w:tc>
      </w:tr>
      <w:tr>
        <w:trPr>
          <w:trHeight w:val="149"/>
        </w:trPr>
        <w:tc>
          <w:tcPr>
            <w:tcW w:w="430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Quarter Ended</w:t>
            </w:r>
          </w:p>
        </w:tc>
        <w:tc>
          <w:tcPr>
            <w:tcW w:w="640" w:type="dxa"/>
            <w:vAlign w:val="bottom"/>
          </w:tcPr>
          <w:p>
            <w:pPr>
              <w:spacing w:after="0"/>
              <w:rPr>
                <w:sz w:val="12"/>
                <w:szCs w:val="12"/>
                <w:color w:val="auto"/>
              </w:rPr>
            </w:pPr>
          </w:p>
        </w:tc>
        <w:tc>
          <w:tcPr>
            <w:tcW w:w="162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Quarter Ended</w:t>
            </w:r>
          </w:p>
        </w:tc>
        <w:tc>
          <w:tcPr>
            <w:tcW w:w="1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Through</w:t>
            </w:r>
          </w:p>
        </w:tc>
        <w:tc>
          <w:tcPr>
            <w:tcW w:w="660" w:type="dxa"/>
            <w:vAlign w:val="bottom"/>
          </w:tcPr>
          <w:p>
            <w:pPr>
              <w:spacing w:after="0"/>
              <w:rPr>
                <w:sz w:val="12"/>
                <w:szCs w:val="12"/>
                <w:color w:val="auto"/>
              </w:rPr>
            </w:pPr>
          </w:p>
        </w:tc>
        <w:tc>
          <w:tcPr>
            <w:tcW w:w="100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Additional</w:t>
            </w:r>
          </w:p>
        </w:tc>
        <w:tc>
          <w:tcPr>
            <w:tcW w:w="340" w:type="dxa"/>
            <w:vAlign w:val="bottom"/>
          </w:tcPr>
          <w:p>
            <w:pPr>
              <w:spacing w:after="0"/>
              <w:rPr>
                <w:sz w:val="12"/>
                <w:szCs w:val="12"/>
                <w:color w:val="auto"/>
              </w:rPr>
            </w:pPr>
          </w:p>
        </w:tc>
        <w:tc>
          <w:tcPr>
            <w:tcW w:w="9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Restructuring</w:t>
            </w:r>
          </w:p>
        </w:tc>
      </w:tr>
      <w:tr>
        <w:trPr>
          <w:trHeight w:val="149"/>
        </w:trPr>
        <w:tc>
          <w:tcPr>
            <w:tcW w:w="4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89"/>
              </w:rPr>
              <w:t>October 1,</w:t>
            </w:r>
          </w:p>
        </w:tc>
        <w:tc>
          <w:tcPr>
            <w:tcW w:w="640" w:type="dxa"/>
            <w:vAlign w:val="bottom"/>
          </w:tcPr>
          <w:p>
            <w:pPr>
              <w:spacing w:after="0"/>
              <w:rPr>
                <w:sz w:val="12"/>
                <w:szCs w:val="12"/>
                <w:color w:val="auto"/>
              </w:rPr>
            </w:pPr>
          </w:p>
        </w:tc>
        <w:tc>
          <w:tcPr>
            <w:tcW w:w="162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9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9"/>
              </w:rPr>
              <w:t>September 30,</w:t>
            </w:r>
          </w:p>
        </w:tc>
        <w:tc>
          <w:tcPr>
            <w:tcW w:w="66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Costs to be</w:t>
            </w:r>
          </w:p>
        </w:tc>
        <w:tc>
          <w:tcPr>
            <w:tcW w:w="34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1"/>
              </w:rPr>
              <w:t>Costs Expected</w:t>
            </w:r>
          </w:p>
        </w:tc>
      </w:tr>
      <w:tr>
        <w:trPr>
          <w:trHeight w:val="161"/>
        </w:trPr>
        <w:tc>
          <w:tcPr>
            <w:tcW w:w="430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4"/>
                <w:szCs w:val="14"/>
                <w:color w:val="auto"/>
              </w:rPr>
            </w:pPr>
          </w:p>
        </w:tc>
        <w:tc>
          <w:tcPr>
            <w:tcW w:w="860" w:type="dxa"/>
            <w:vAlign w:val="bottom"/>
          </w:tcPr>
          <w:p>
            <w:pPr>
              <w:jc w:val="center"/>
              <w:ind w:right="38"/>
              <w:spacing w:after="0"/>
              <w:rPr>
                <w:sz w:val="20"/>
                <w:szCs w:val="20"/>
                <w:color w:val="auto"/>
              </w:rPr>
            </w:pPr>
            <w:r>
              <w:rPr>
                <w:rFonts w:ascii="Arial" w:cs="Arial" w:eastAsia="Arial" w:hAnsi="Arial"/>
                <w:sz w:val="14"/>
                <w:szCs w:val="14"/>
                <w:b w:val="1"/>
                <w:bCs w:val="1"/>
                <w:color w:val="auto"/>
                <w:w w:val="83"/>
              </w:rPr>
              <w:t>2010</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center"/>
              <w:ind w:right="37"/>
              <w:spacing w:after="0"/>
              <w:rPr>
                <w:sz w:val="20"/>
                <w:szCs w:val="20"/>
                <w:color w:val="auto"/>
              </w:rPr>
            </w:pPr>
            <w:r>
              <w:rPr>
                <w:rFonts w:ascii="Arial" w:cs="Arial" w:eastAsia="Arial" w:hAnsi="Arial"/>
                <w:sz w:val="14"/>
                <w:szCs w:val="14"/>
                <w:b w:val="1"/>
                <w:bCs w:val="1"/>
                <w:color w:val="auto"/>
                <w:w w:val="83"/>
              </w:rPr>
              <w:t>2011</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18"/>
              <w:spacing w:after="0"/>
              <w:rPr>
                <w:sz w:val="20"/>
                <w:szCs w:val="20"/>
                <w:color w:val="auto"/>
              </w:rPr>
            </w:pPr>
            <w:r>
              <w:rPr>
                <w:rFonts w:ascii="Arial" w:cs="Arial" w:eastAsia="Arial" w:hAnsi="Arial"/>
                <w:sz w:val="14"/>
                <w:szCs w:val="14"/>
                <w:b w:val="1"/>
                <w:bCs w:val="1"/>
                <w:color w:val="auto"/>
                <w:w w:val="83"/>
              </w:rPr>
              <w:t>2011</w:t>
            </w:r>
          </w:p>
        </w:tc>
        <w:tc>
          <w:tcPr>
            <w:tcW w:w="660" w:type="dxa"/>
            <w:vAlign w:val="bottom"/>
          </w:tcPr>
          <w:p>
            <w:pPr>
              <w:spacing w:after="0"/>
              <w:rPr>
                <w:sz w:val="14"/>
                <w:szCs w:val="14"/>
                <w:color w:val="auto"/>
              </w:rPr>
            </w:pPr>
          </w:p>
        </w:tc>
        <w:tc>
          <w:tcPr>
            <w:tcW w:w="10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2"/>
              </w:rPr>
              <w:t>Incurred</w:t>
            </w:r>
          </w:p>
        </w:tc>
        <w:tc>
          <w:tcPr>
            <w:tcW w:w="340" w:type="dxa"/>
            <w:vAlign w:val="bottom"/>
          </w:tcPr>
          <w:p>
            <w:pPr>
              <w:spacing w:after="0"/>
              <w:rPr>
                <w:sz w:val="14"/>
                <w:szCs w:val="14"/>
                <w:color w:val="auto"/>
              </w:rPr>
            </w:pPr>
          </w:p>
        </w:tc>
        <w:tc>
          <w:tcPr>
            <w:tcW w:w="9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to be Incurred</w:t>
            </w:r>
          </w:p>
        </w:tc>
      </w:tr>
      <w:tr>
        <w:trPr>
          <w:trHeight w:val="196"/>
        </w:trPr>
        <w:tc>
          <w:tcPr>
            <w:tcW w:w="4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North America:</w:t>
            </w: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300" w:type="dxa"/>
            <w:vAlign w:val="bottom"/>
          </w:tcPr>
          <w:p>
            <w:pPr>
              <w:ind w:left="440"/>
              <w:spacing w:after="0"/>
              <w:rPr>
                <w:sz w:val="20"/>
                <w:szCs w:val="20"/>
                <w:color w:val="auto"/>
              </w:rPr>
            </w:pPr>
            <w:r>
              <w:rPr>
                <w:rFonts w:ascii="Arial" w:cs="Arial" w:eastAsia="Arial" w:hAnsi="Arial"/>
                <w:sz w:val="18"/>
                <w:szCs w:val="18"/>
                <w:color w:val="auto"/>
              </w:rPr>
              <w:t>Severance and benefits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3.9</w:t>
            </w:r>
          </w:p>
        </w:tc>
        <w:tc>
          <w:tcPr>
            <w:tcW w:w="760" w:type="dxa"/>
            <w:vAlign w:val="bottom"/>
            <w:gridSpan w:val="2"/>
          </w:tcPr>
          <w:p>
            <w:pPr>
              <w:ind w:left="640"/>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7.9</w:t>
            </w:r>
          </w:p>
        </w:tc>
        <w:tc>
          <w:tcPr>
            <w:tcW w:w="9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2.6</w:t>
            </w:r>
          </w:p>
        </w:tc>
        <w:tc>
          <w:tcPr>
            <w:tcW w:w="5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8"/>
                <w:szCs w:val="18"/>
                <w:color w:val="auto"/>
              </w:rPr>
            </w:pPr>
          </w:p>
        </w:tc>
      </w:tr>
      <w:tr>
        <w:trPr>
          <w:trHeight w:val="216"/>
        </w:trPr>
        <w:tc>
          <w:tcPr>
            <w:tcW w:w="4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Facilities and other</w:t>
            </w: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6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r>
      <w:tr>
        <w:trPr>
          <w:trHeight w:val="222"/>
        </w:trPr>
        <w:tc>
          <w:tcPr>
            <w:tcW w:w="430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3.9</w:t>
            </w:r>
          </w:p>
        </w:tc>
        <w:tc>
          <w:tcPr>
            <w:tcW w:w="760" w:type="dxa"/>
            <w:vAlign w:val="bottom"/>
            <w:gridSpan w:val="2"/>
          </w:tcPr>
          <w:p>
            <w:pPr>
              <w:ind w:left="640"/>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10.6</w:t>
            </w:r>
          </w:p>
        </w:tc>
        <w:tc>
          <w:tcPr>
            <w:tcW w:w="9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3.9</w:t>
            </w:r>
          </w:p>
        </w:tc>
        <w:tc>
          <w:tcPr>
            <w:tcW w:w="5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9"/>
                <w:szCs w:val="19"/>
                <w:color w:val="auto"/>
              </w:rPr>
            </w:pPr>
          </w:p>
        </w:tc>
      </w:tr>
      <w:tr>
        <w:trPr>
          <w:trHeight w:val="20"/>
        </w:trPr>
        <w:tc>
          <w:tcPr>
            <w:tcW w:w="4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International:</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00" w:type="dxa"/>
            <w:vAlign w:val="bottom"/>
          </w:tcPr>
          <w:p>
            <w:pPr>
              <w:ind w:left="440"/>
              <w:spacing w:after="0"/>
              <w:rPr>
                <w:sz w:val="20"/>
                <w:szCs w:val="20"/>
                <w:color w:val="auto"/>
              </w:rPr>
            </w:pPr>
            <w:r>
              <w:rPr>
                <w:rFonts w:ascii="Arial" w:cs="Arial" w:eastAsia="Arial" w:hAnsi="Arial"/>
                <w:sz w:val="18"/>
                <w:szCs w:val="18"/>
                <w:color w:val="auto"/>
              </w:rPr>
              <w:t>Severance and benefits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0.8</w:t>
            </w:r>
          </w:p>
        </w:tc>
        <w:tc>
          <w:tcPr>
            <w:tcW w:w="760" w:type="dxa"/>
            <w:vAlign w:val="bottom"/>
            <w:gridSpan w:val="2"/>
          </w:tcPr>
          <w:p>
            <w:pPr>
              <w:ind w:left="640"/>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3.0</w:t>
            </w:r>
          </w:p>
        </w:tc>
        <w:tc>
          <w:tcPr>
            <w:tcW w:w="9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0.3</w:t>
            </w:r>
          </w:p>
        </w:tc>
        <w:tc>
          <w:tcPr>
            <w:tcW w:w="5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r>
      <w:tr>
        <w:trPr>
          <w:trHeight w:val="216"/>
        </w:trPr>
        <w:tc>
          <w:tcPr>
            <w:tcW w:w="4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Facilities and other</w:t>
            </w: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r>
      <w:tr>
        <w:trPr>
          <w:trHeight w:val="222"/>
        </w:trPr>
        <w:tc>
          <w:tcPr>
            <w:tcW w:w="430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0.8</w:t>
            </w:r>
          </w:p>
        </w:tc>
        <w:tc>
          <w:tcPr>
            <w:tcW w:w="760" w:type="dxa"/>
            <w:vAlign w:val="bottom"/>
            <w:gridSpan w:val="2"/>
          </w:tcPr>
          <w:p>
            <w:pPr>
              <w:ind w:left="640"/>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3.0</w:t>
            </w:r>
          </w:p>
        </w:tc>
        <w:tc>
          <w:tcPr>
            <w:tcW w:w="9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0.6</w:t>
            </w:r>
          </w:p>
        </w:tc>
        <w:tc>
          <w:tcPr>
            <w:tcW w:w="5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r>
      <w:tr>
        <w:trPr>
          <w:trHeight w:val="20"/>
        </w:trPr>
        <w:tc>
          <w:tcPr>
            <w:tcW w:w="4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Totals for Fiscal 2011 Plan</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7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9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18"/>
                <w:szCs w:val="18"/>
                <w:color w:val="auto"/>
              </w:rPr>
            </w:pPr>
          </w:p>
        </w:tc>
      </w:tr>
      <w:tr>
        <w:trPr>
          <w:trHeight w:val="20"/>
        </w:trPr>
        <w:tc>
          <w:tcPr>
            <w:tcW w:w="4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During first quarter of fiscal 2012, we continued executing restructuring activities to reduce our operating costs worldwide under the Fiscal 2011 Plan. The $0.5 million facilities charges primarily related to the sublease and relocation of our Morrisville, North Carolina office during the quarter.</w:t>
      </w:r>
    </w:p>
    <w:p>
      <w:pPr>
        <w:spacing w:after="0" w:line="85"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During first quarter of fiscal 2011, our severance and benefits charges under the Fiscal 2011 Plan for North America segment related to reductions in force for the downsizing of the Morrisville, North Carolina office, reductions in force in Canada of their finance, human resources, IT and engineering functions, and the reductions in force resulting from the sale of our NetBoss assets. The severance and benefits for International segment related primarily to reductions in personnel located in our field offices during first quarter of fiscal 2011.</w:t>
      </w:r>
    </w:p>
    <w:p>
      <w:pPr>
        <w:spacing w:after="0" w:line="14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We expect to incur further costs to complete the initiatives of the Fiscal 2011 Plan which include a variety of activities to further align our cost structure with demands of the marketplace. .</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2009 Plan</w:t>
      </w:r>
    </w:p>
    <w:p>
      <w:pPr>
        <w:spacing w:after="0" w:line="9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During the first quarter of fiscal 2009, we announced a restructuring plan to reduce our worldwide workforce in the U.S., France, Canada and other locations throughout the world (the “Fiscal 2009 Plan”). The Fiscal 2009 Plan also included the restructure and transition of our North America manufacturing operations and global supply chain operations. The Fiscal 2009 Plan has been completed as of the end of fiscal 2011. We did not incur restructuring costs related to the Fiscal 2009 Plan in the first quarter of fiscal 2012 and do not expect to incur future restructuring costs related to the Fiscal 2009 Plan.</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our costs incurred during the first quarter of fiscal 2011 and total costs incurred under the Fiscal 2009 Plan:</w:t>
      </w:r>
    </w:p>
    <w:p>
      <w:pPr>
        <w:spacing w:after="0" w:line="21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58"/>
              <w:spacing w:after="0"/>
              <w:rPr>
                <w:sz w:val="20"/>
                <w:szCs w:val="20"/>
                <w:color w:val="auto"/>
              </w:rPr>
            </w:pPr>
            <w:r>
              <w:rPr>
                <w:rFonts w:ascii="Arial" w:cs="Arial" w:eastAsia="Arial" w:hAnsi="Arial"/>
                <w:sz w:val="14"/>
                <w:szCs w:val="14"/>
                <w:b w:val="1"/>
                <w:bCs w:val="1"/>
                <w:color w:val="auto"/>
                <w:w w:val="86"/>
              </w:rPr>
              <w:t>Total Costs</w:t>
            </w: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3140" w:type="dxa"/>
            <w:vAlign w:val="bottom"/>
          </w:tcPr>
          <w:p>
            <w:pPr>
              <w:spacing w:after="0"/>
              <w:rPr>
                <w:sz w:val="12"/>
                <w:szCs w:val="12"/>
                <w:color w:val="auto"/>
              </w:rPr>
            </w:pPr>
          </w:p>
        </w:tc>
        <w:tc>
          <w:tcPr>
            <w:tcW w:w="3560" w:type="dxa"/>
            <w:vAlign w:val="bottom"/>
            <w:gridSpan w:val="3"/>
          </w:tcPr>
          <w:p>
            <w:pPr>
              <w:ind w:left="2600"/>
              <w:spacing w:after="0" w:line="149" w:lineRule="exact"/>
              <w:rPr>
                <w:sz w:val="20"/>
                <w:szCs w:val="20"/>
                <w:color w:val="auto"/>
              </w:rPr>
            </w:pPr>
            <w:r>
              <w:rPr>
                <w:rFonts w:ascii="Arial" w:cs="Arial" w:eastAsia="Arial" w:hAnsi="Arial"/>
                <w:sz w:val="14"/>
                <w:szCs w:val="14"/>
                <w:b w:val="1"/>
                <w:bCs w:val="1"/>
                <w:color w:val="auto"/>
                <w:w w:val="89"/>
              </w:rPr>
              <w:t>Incurred During</w:t>
            </w:r>
          </w:p>
        </w:tc>
        <w:tc>
          <w:tcPr>
            <w:tcW w:w="1000" w:type="dxa"/>
            <w:vAlign w:val="bottom"/>
          </w:tcPr>
          <w:p>
            <w:pPr>
              <w:spacing w:after="0"/>
              <w:rPr>
                <w:sz w:val="12"/>
                <w:szCs w:val="12"/>
                <w:color w:val="auto"/>
              </w:rPr>
            </w:pPr>
          </w:p>
        </w:tc>
        <w:tc>
          <w:tcPr>
            <w:tcW w:w="9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Restructuring</w:t>
            </w:r>
          </w:p>
        </w:tc>
        <w:tc>
          <w:tcPr>
            <w:tcW w:w="0" w:type="dxa"/>
            <w:vAlign w:val="bottom"/>
          </w:tcPr>
          <w:p>
            <w:pPr>
              <w:spacing w:after="0"/>
              <w:rPr>
                <w:sz w:val="1"/>
                <w:szCs w:val="1"/>
                <w:color w:val="auto"/>
              </w:rPr>
            </w:pPr>
          </w:p>
        </w:tc>
      </w:tr>
      <w:tr>
        <w:trPr>
          <w:trHeight w:val="149"/>
        </w:trPr>
        <w:tc>
          <w:tcPr>
            <w:tcW w:w="31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Quarter Ended</w:t>
            </w:r>
          </w:p>
        </w:tc>
        <w:tc>
          <w:tcPr>
            <w:tcW w:w="100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7"/>
              </w:rPr>
              <w:t>Costs Incurred</w:t>
            </w:r>
          </w:p>
        </w:tc>
        <w:tc>
          <w:tcPr>
            <w:tcW w:w="0" w:type="dxa"/>
            <w:vAlign w:val="bottom"/>
          </w:tcPr>
          <w:p>
            <w:pPr>
              <w:spacing w:after="0"/>
              <w:rPr>
                <w:sz w:val="1"/>
                <w:szCs w:val="1"/>
                <w:color w:val="auto"/>
              </w:rPr>
            </w:pPr>
          </w:p>
        </w:tc>
      </w:tr>
      <w:tr>
        <w:trPr>
          <w:trHeight w:val="149"/>
        </w:trPr>
        <w:tc>
          <w:tcPr>
            <w:tcW w:w="31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89"/>
              </w:rPr>
              <w:t>October 1,</w:t>
            </w:r>
          </w:p>
        </w:tc>
        <w:tc>
          <w:tcPr>
            <w:tcW w:w="1000" w:type="dxa"/>
            <w:vAlign w:val="bottom"/>
          </w:tcPr>
          <w:p>
            <w:pPr>
              <w:spacing w:after="0"/>
              <w:rPr>
                <w:sz w:val="12"/>
                <w:szCs w:val="12"/>
                <w:color w:val="auto"/>
              </w:rPr>
            </w:pPr>
          </w:p>
        </w:tc>
        <w:tc>
          <w:tcPr>
            <w:tcW w:w="9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(Completed in</w:t>
            </w:r>
          </w:p>
        </w:tc>
        <w:tc>
          <w:tcPr>
            <w:tcW w:w="0" w:type="dxa"/>
            <w:vAlign w:val="bottom"/>
          </w:tcPr>
          <w:p>
            <w:pPr>
              <w:spacing w:after="0"/>
              <w:rPr>
                <w:sz w:val="1"/>
                <w:szCs w:val="1"/>
                <w:color w:val="auto"/>
              </w:rPr>
            </w:pPr>
          </w:p>
        </w:tc>
      </w:tr>
      <w:tr>
        <w:trPr>
          <w:trHeight w:val="161"/>
        </w:trPr>
        <w:tc>
          <w:tcPr>
            <w:tcW w:w="314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2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58"/>
              <w:spacing w:after="0"/>
              <w:rPr>
                <w:sz w:val="20"/>
                <w:szCs w:val="20"/>
                <w:color w:val="auto"/>
              </w:rPr>
            </w:pPr>
            <w:r>
              <w:rPr>
                <w:rFonts w:ascii="Arial" w:cs="Arial" w:eastAsia="Arial" w:hAnsi="Arial"/>
                <w:sz w:val="14"/>
                <w:szCs w:val="14"/>
                <w:b w:val="1"/>
                <w:bCs w:val="1"/>
                <w:color w:val="auto"/>
                <w:w w:val="83"/>
              </w:rPr>
              <w:t>2010</w:t>
            </w:r>
          </w:p>
        </w:tc>
        <w:tc>
          <w:tcPr>
            <w:tcW w:w="1980" w:type="dxa"/>
            <w:vAlign w:val="bottom"/>
            <w:gridSpan w:val="4"/>
          </w:tcPr>
          <w:p>
            <w:pPr>
              <w:ind w:left="980"/>
              <w:spacing w:after="0"/>
              <w:rPr>
                <w:sz w:val="20"/>
                <w:szCs w:val="20"/>
                <w:color w:val="auto"/>
              </w:rPr>
            </w:pPr>
            <w:r>
              <w:rPr>
                <w:rFonts w:ascii="Arial" w:cs="Arial" w:eastAsia="Arial" w:hAnsi="Arial"/>
                <w:sz w:val="14"/>
                <w:szCs w:val="14"/>
                <w:b w:val="1"/>
                <w:bCs w:val="1"/>
                <w:color w:val="auto"/>
                <w:w w:val="96"/>
              </w:rPr>
              <w:t>Q4 Fiscal 2011)</w:t>
            </w:r>
          </w:p>
        </w:tc>
        <w:tc>
          <w:tcPr>
            <w:tcW w:w="0" w:type="dxa"/>
            <w:vAlign w:val="bottom"/>
          </w:tcPr>
          <w:p>
            <w:pPr>
              <w:spacing w:after="0"/>
              <w:rPr>
                <w:sz w:val="1"/>
                <w:szCs w:val="1"/>
                <w:color w:val="auto"/>
              </w:rPr>
            </w:pPr>
          </w:p>
        </w:tc>
      </w:tr>
      <w:tr>
        <w:trPr>
          <w:trHeight w:val="196"/>
        </w:trPr>
        <w:tc>
          <w:tcPr>
            <w:tcW w:w="3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North America:</w:t>
            </w:r>
          </w:p>
        </w:tc>
        <w:tc>
          <w:tcPr>
            <w:tcW w:w="26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40" w:type="dxa"/>
            <w:vAlign w:val="bottom"/>
          </w:tcPr>
          <w:p>
            <w:pPr>
              <w:ind w:left="440"/>
              <w:spacing w:after="0"/>
              <w:rPr>
                <w:sz w:val="20"/>
                <w:szCs w:val="20"/>
                <w:color w:val="auto"/>
              </w:rPr>
            </w:pPr>
            <w:r>
              <w:rPr>
                <w:rFonts w:ascii="Arial" w:cs="Arial" w:eastAsia="Arial" w:hAnsi="Arial"/>
                <w:sz w:val="18"/>
                <w:szCs w:val="18"/>
                <w:color w:val="auto"/>
              </w:rPr>
              <w:t>Severance and benefits</w:t>
            </w:r>
          </w:p>
        </w:tc>
        <w:tc>
          <w:tcPr>
            <w:tcW w:w="2720" w:type="dxa"/>
            <w:vAlign w:val="bottom"/>
            <w:gridSpan w:val="2"/>
          </w:tcPr>
          <w:p>
            <w:pPr>
              <w:ind w:left="25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0.8</w:t>
            </w:r>
          </w:p>
        </w:tc>
        <w:tc>
          <w:tcPr>
            <w:tcW w:w="118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Facilities and other</w:t>
            </w:r>
          </w:p>
        </w:tc>
        <w:tc>
          <w:tcPr>
            <w:tcW w:w="26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140" w:type="dxa"/>
            <w:vAlign w:val="bottom"/>
          </w:tcPr>
          <w:p>
            <w:pPr>
              <w:spacing w:after="0"/>
              <w:rPr>
                <w:sz w:val="19"/>
                <w:szCs w:val="19"/>
                <w:color w:val="auto"/>
              </w:rPr>
            </w:pPr>
          </w:p>
        </w:tc>
        <w:tc>
          <w:tcPr>
            <w:tcW w:w="2720" w:type="dxa"/>
            <w:vAlign w:val="bottom"/>
            <w:gridSpan w:val="2"/>
          </w:tcPr>
          <w:p>
            <w:pPr>
              <w:ind w:left="25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0.9</w:t>
            </w:r>
          </w:p>
        </w:tc>
        <w:tc>
          <w:tcPr>
            <w:tcW w:w="118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International:</w:t>
            </w:r>
          </w:p>
        </w:tc>
        <w:tc>
          <w:tcPr>
            <w:tcW w:w="2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ind w:left="440"/>
              <w:spacing w:after="0"/>
              <w:rPr>
                <w:sz w:val="20"/>
                <w:szCs w:val="20"/>
                <w:color w:val="auto"/>
              </w:rPr>
            </w:pPr>
            <w:r>
              <w:rPr>
                <w:rFonts w:ascii="Arial" w:cs="Arial" w:eastAsia="Arial" w:hAnsi="Arial"/>
                <w:sz w:val="18"/>
                <w:szCs w:val="18"/>
                <w:color w:val="auto"/>
              </w:rPr>
              <w:t>Severance and benefits</w:t>
            </w:r>
          </w:p>
        </w:tc>
        <w:tc>
          <w:tcPr>
            <w:tcW w:w="2720" w:type="dxa"/>
            <w:vAlign w:val="bottom"/>
            <w:gridSpan w:val="2"/>
          </w:tcPr>
          <w:p>
            <w:pPr>
              <w:ind w:left="258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Facilities and other</w:t>
            </w:r>
          </w:p>
        </w:tc>
        <w:tc>
          <w:tcPr>
            <w:tcW w:w="26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140" w:type="dxa"/>
            <w:vAlign w:val="bottom"/>
          </w:tcPr>
          <w:p>
            <w:pPr>
              <w:spacing w:after="0"/>
              <w:rPr>
                <w:sz w:val="19"/>
                <w:szCs w:val="19"/>
                <w:color w:val="auto"/>
              </w:rPr>
            </w:pPr>
          </w:p>
        </w:tc>
        <w:tc>
          <w:tcPr>
            <w:tcW w:w="2720" w:type="dxa"/>
            <w:vAlign w:val="bottom"/>
            <w:gridSpan w:val="2"/>
          </w:tcPr>
          <w:p>
            <w:pPr>
              <w:ind w:left="258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Totals for Fiscal 2009 Plan</w:t>
            </w:r>
          </w:p>
        </w:tc>
        <w:tc>
          <w:tcPr>
            <w:tcW w:w="2720" w:type="dxa"/>
            <w:vAlign w:val="bottom"/>
            <w:gridSpan w:val="2"/>
            <w:shd w:val="clear" w:color="auto" w:fill="CCEEFF"/>
          </w:tcPr>
          <w:p>
            <w:pPr>
              <w:ind w:left="25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18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2600" w:type="dxa"/>
            <w:vAlign w:val="bottom"/>
            <w:vMerge w:val="restart"/>
          </w:tcPr>
          <w:p>
            <w:pPr>
              <w:ind w:left="1100"/>
              <w:spacing w:after="0"/>
              <w:rPr>
                <w:sz w:val="20"/>
                <w:szCs w:val="20"/>
                <w:color w:val="auto"/>
              </w:rPr>
            </w:pPr>
            <w:r>
              <w:rPr>
                <w:rFonts w:ascii="Arial" w:cs="Arial" w:eastAsia="Arial" w:hAnsi="Arial"/>
                <w:sz w:val="18"/>
                <w:szCs w:val="18"/>
                <w:color w:val="auto"/>
              </w:rPr>
              <w:t>12</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140" w:type="dxa"/>
            <w:vAlign w:val="bottom"/>
          </w:tcPr>
          <w:p>
            <w:pPr>
              <w:spacing w:after="0"/>
              <w:rPr>
                <w:sz w:val="24"/>
                <w:szCs w:val="24"/>
                <w:color w:val="auto"/>
              </w:rPr>
            </w:pPr>
          </w:p>
        </w:tc>
        <w:tc>
          <w:tcPr>
            <w:tcW w:w="26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During the first quarter of fiscal 2011, our restructuring charges related to the Fiscal 2009 Plan primarily consisted of the severance and benefits charges for reductions in force in our San Antonio manufacturing facilities and costs related to facility lease obligation adjustments.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Liabilities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information in the following table summarizes our restructuring activities during the first quarter of fiscal 2012 and restructuring liability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2011:</w:t>
      </w:r>
    </w:p>
    <w:p>
      <w:pPr>
        <w:spacing w:after="0" w:line="18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Severance</w:t>
            </w:r>
          </w:p>
        </w:tc>
        <w:tc>
          <w:tcPr>
            <w:tcW w:w="38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Facilities</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and</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and</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0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20" w:type="dxa"/>
            <w:vAlign w:val="bottom"/>
            <w:gridSpan w:val="3"/>
          </w:tcPr>
          <w:p>
            <w:pPr>
              <w:ind w:left="80"/>
              <w:spacing w:after="0"/>
              <w:rPr>
                <w:sz w:val="20"/>
                <w:szCs w:val="20"/>
                <w:color w:val="auto"/>
              </w:rPr>
            </w:pPr>
            <w:r>
              <w:rPr>
                <w:rFonts w:ascii="Arial" w:cs="Arial" w:eastAsia="Arial" w:hAnsi="Arial"/>
                <w:sz w:val="14"/>
                <w:szCs w:val="14"/>
                <w:b w:val="1"/>
                <w:bCs w:val="1"/>
                <w:color w:val="auto"/>
              </w:rPr>
              <w:t>Benefits</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0"/>
              </w:rPr>
              <w:t>Other</w:t>
            </w:r>
          </w:p>
        </w:tc>
        <w:tc>
          <w:tcPr>
            <w:tcW w:w="280" w:type="dxa"/>
            <w:vAlign w:val="bottom"/>
          </w:tcPr>
          <w:p>
            <w:pPr>
              <w:spacing w:after="0"/>
              <w:rPr>
                <w:sz w:val="14"/>
                <w:szCs w:val="14"/>
                <w:color w:val="auto"/>
              </w:rPr>
            </w:pPr>
          </w:p>
        </w:tc>
        <w:tc>
          <w:tcPr>
            <w:tcW w:w="4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2"/>
        </w:trPr>
        <w:tc>
          <w:tcPr>
            <w:tcW w:w="50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4"/>
          </w:tcPr>
          <w:p>
            <w:pPr>
              <w:jc w:val="right"/>
              <w:ind w:right="340"/>
              <w:spacing w:after="0" w:line="142" w:lineRule="exact"/>
              <w:rPr>
                <w:sz w:val="20"/>
                <w:szCs w:val="20"/>
                <w:color w:val="auto"/>
              </w:rPr>
            </w:pPr>
            <w:r>
              <w:rPr>
                <w:rFonts w:ascii="Arial" w:cs="Arial" w:eastAsia="Arial" w:hAnsi="Arial"/>
                <w:sz w:val="14"/>
                <w:szCs w:val="14"/>
                <w:b w:val="1"/>
                <w:bCs w:val="1"/>
                <w:color w:val="auto"/>
              </w:rPr>
              <w:t>(In millions)</w:t>
            </w:r>
          </w:p>
        </w:tc>
        <w:tc>
          <w:tcPr>
            <w:tcW w:w="2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Restructuring liability as of July 1, 2011</w:t>
            </w:r>
          </w:p>
        </w:tc>
        <w:tc>
          <w:tcPr>
            <w:tcW w:w="1840" w:type="dxa"/>
            <w:vAlign w:val="bottom"/>
            <w:gridSpan w:val="2"/>
            <w:shd w:val="clear" w:color="auto" w:fill="CCEEFF"/>
          </w:tcPr>
          <w:p>
            <w:pPr>
              <w:ind w:left="17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Provision related to Fiscal 2011 Plan</w:t>
            </w: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0.5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Cash payments</w:t>
            </w: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(2.2)</w:t>
            </w: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Arial" w:cs="Arial" w:eastAsia="Arial" w:hAnsi="Arial"/>
                <w:sz w:val="18"/>
                <w:szCs w:val="18"/>
                <w:color w:val="auto"/>
              </w:rPr>
              <w:t>Restructuring liability as of September 30, 2011</w:t>
            </w:r>
          </w:p>
        </w:tc>
        <w:tc>
          <w:tcPr>
            <w:tcW w:w="1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80" w:type="dxa"/>
            <w:vAlign w:val="bottom"/>
            <w:vMerge w:val="continue"/>
          </w:tcPr>
          <w:p>
            <w:pPr>
              <w:spacing w:after="0"/>
              <w:rPr>
                <w:sz w:val="19"/>
                <w:szCs w:val="19"/>
                <w:color w:val="auto"/>
              </w:rPr>
            </w:pPr>
          </w:p>
        </w:tc>
        <w:tc>
          <w:tcPr>
            <w:tcW w:w="170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4</w:t>
            </w:r>
          </w:p>
        </w:tc>
        <w:tc>
          <w:tcPr>
            <w:tcW w:w="220" w:type="dxa"/>
            <w:vAlign w:val="bottom"/>
          </w:tcPr>
          <w:p>
            <w:pPr>
              <w:spacing w:after="0"/>
              <w:rPr>
                <w:sz w:val="19"/>
                <w:szCs w:val="19"/>
                <w:color w:val="auto"/>
              </w:rPr>
            </w:pPr>
          </w:p>
        </w:tc>
        <w:tc>
          <w:tcPr>
            <w:tcW w:w="460" w:type="dxa"/>
            <w:vAlign w:val="bottom"/>
            <w:gridSpan w:val="2"/>
          </w:tcPr>
          <w:p>
            <w:pPr>
              <w:ind w:left="380"/>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1.3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Current restructuring liability</w:t>
            </w: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2"/>
        </w:trPr>
        <w:tc>
          <w:tcPr>
            <w:tcW w:w="5080" w:type="dxa"/>
            <w:vAlign w:val="bottom"/>
          </w:tcPr>
          <w:p>
            <w:pPr>
              <w:spacing w:after="0"/>
              <w:rPr>
                <w:sz w:val="20"/>
                <w:szCs w:val="20"/>
                <w:color w:val="auto"/>
              </w:rPr>
            </w:pPr>
            <w:r>
              <w:rPr>
                <w:rFonts w:ascii="Arial" w:cs="Arial" w:eastAsia="Arial" w:hAnsi="Arial"/>
                <w:sz w:val="18"/>
                <w:szCs w:val="18"/>
                <w:color w:val="auto"/>
              </w:rPr>
              <w:t>Long-term restructuring liability</w:t>
            </w:r>
          </w:p>
        </w:tc>
        <w:tc>
          <w:tcPr>
            <w:tcW w:w="1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Share-Based Compensation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compensation expense for share-based awards was included in our consolidated statements of operations as follows: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ind w:left="500"/>
              <w:spacing w:after="0"/>
              <w:rPr>
                <w:sz w:val="20"/>
                <w:szCs w:val="20"/>
                <w:color w:val="auto"/>
              </w:rPr>
            </w:pPr>
            <w:r>
              <w:rPr>
                <w:rFonts w:ascii="Arial" w:cs="Arial" w:eastAsia="Arial" w:hAnsi="Arial"/>
                <w:sz w:val="14"/>
                <w:szCs w:val="14"/>
                <w:b w:val="1"/>
                <w:bCs w:val="1"/>
                <w:color w:val="auto"/>
                <w:w w:val="96"/>
              </w:rPr>
              <w:t>Quarter Ended</w:t>
            </w: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1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6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6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October 1,</w:t>
            </w:r>
          </w:p>
        </w:tc>
        <w:tc>
          <w:tcPr>
            <w:tcW w:w="100" w:type="dxa"/>
            <w:vAlign w:val="bottom"/>
          </w:tcPr>
          <w:p>
            <w:pPr>
              <w:spacing w:after="0"/>
              <w:rPr>
                <w:sz w:val="11"/>
                <w:szCs w:val="11"/>
                <w:color w:val="auto"/>
              </w:rPr>
            </w:pPr>
          </w:p>
        </w:tc>
      </w:tr>
      <w:tr>
        <w:trPr>
          <w:trHeight w:val="161"/>
        </w:trPr>
        <w:tc>
          <w:tcPr>
            <w:tcW w:w="5820" w:type="dxa"/>
            <w:vAlign w:val="bottom"/>
            <w:tcBorders>
              <w:bottom w:val="single" w:sz="8" w:color="CCEEFF"/>
            </w:tcBorders>
            <w:gridSpan w:val="3"/>
          </w:tcPr>
          <w:p>
            <w:pPr>
              <w:spacing w:after="0"/>
              <w:rPr>
                <w:sz w:val="20"/>
                <w:szCs w:val="20"/>
                <w:color w:val="auto"/>
              </w:rPr>
            </w:pPr>
            <w:r>
              <w:rPr>
                <w:rFonts w:ascii="Arial" w:cs="Arial" w:eastAsia="Arial" w:hAnsi="Arial"/>
                <w:sz w:val="14"/>
                <w:szCs w:val="14"/>
                <w:b w:val="1"/>
                <w:bCs w:val="1"/>
                <w:color w:val="auto"/>
              </w:rPr>
              <w:t>(In millions)</w:t>
            </w:r>
          </w:p>
        </w:tc>
        <w:tc>
          <w:tcPr>
            <w:tcW w:w="14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2011</w:t>
            </w:r>
          </w:p>
        </w:tc>
        <w:tc>
          <w:tcPr>
            <w:tcW w:w="8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6"/>
              </w:rPr>
              <w:t>2010</w:t>
            </w:r>
          </w:p>
        </w:tc>
        <w:tc>
          <w:tcPr>
            <w:tcW w:w="100" w:type="dxa"/>
            <w:vAlign w:val="bottom"/>
            <w:tcBorders>
              <w:bottom w:val="single" w:sz="8" w:color="CCEEFF"/>
            </w:tcBorders>
          </w:tcPr>
          <w:p>
            <w:pPr>
              <w:spacing w:after="0"/>
              <w:rPr>
                <w:sz w:val="14"/>
                <w:szCs w:val="14"/>
                <w:color w:val="auto"/>
              </w:rPr>
            </w:pPr>
          </w:p>
        </w:tc>
      </w:tr>
      <w:tr>
        <w:trPr>
          <w:trHeight w:val="176"/>
        </w:trPr>
        <w:tc>
          <w:tcPr>
            <w:tcW w:w="1680" w:type="dxa"/>
            <w:vAlign w:val="bottom"/>
            <w:tcBorders>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6"/>
              </w:rPr>
              <w:t>By Expense Category:</w:t>
            </w:r>
          </w:p>
        </w:tc>
        <w:tc>
          <w:tcPr>
            <w:tcW w:w="414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Cost of product sales and services</w:t>
            </w:r>
          </w:p>
        </w:tc>
        <w:tc>
          <w:tcPr>
            <w:tcW w:w="160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82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r>
      <w:tr>
        <w:trPr>
          <w:trHeight w:val="216"/>
        </w:trPr>
        <w:tc>
          <w:tcPr>
            <w:tcW w:w="5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Selling and administrative</w:t>
            </w: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82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8"/>
                <w:szCs w:val="18"/>
                <w:color w:val="auto"/>
              </w:rPr>
            </w:pPr>
          </w:p>
        </w:tc>
      </w:tr>
      <w:tr>
        <w:trPr>
          <w:trHeight w:val="216"/>
        </w:trPr>
        <w:tc>
          <w:tcPr>
            <w:tcW w:w="5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14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5820" w:type="dxa"/>
            <w:vAlign w:val="bottom"/>
            <w:gridSpan w:val="3"/>
          </w:tcPr>
          <w:p>
            <w:pPr>
              <w:ind w:left="440"/>
              <w:spacing w:after="0"/>
              <w:rPr>
                <w:sz w:val="20"/>
                <w:szCs w:val="20"/>
                <w:color w:val="auto"/>
              </w:rPr>
            </w:pPr>
            <w:r>
              <w:rPr>
                <w:rFonts w:ascii="Arial" w:cs="Arial" w:eastAsia="Arial" w:hAnsi="Arial"/>
                <w:sz w:val="18"/>
                <w:szCs w:val="18"/>
                <w:color w:val="auto"/>
              </w:rPr>
              <w:t>Total share-based compensation expense, net of zero tax</w:t>
            </w:r>
          </w:p>
        </w:tc>
        <w:tc>
          <w:tcPr>
            <w:tcW w:w="160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82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8</w:t>
            </w:r>
          </w:p>
        </w:tc>
        <w:tc>
          <w:tcPr>
            <w:tcW w:w="100" w:type="dxa"/>
            <w:vAlign w:val="bottom"/>
          </w:tcPr>
          <w:p>
            <w:pPr>
              <w:spacing w:after="0"/>
              <w:rPr>
                <w:sz w:val="19"/>
                <w:szCs w:val="19"/>
                <w:color w:val="auto"/>
              </w:rPr>
            </w:pPr>
          </w:p>
        </w:tc>
      </w:tr>
      <w:tr>
        <w:trPr>
          <w:trHeight w:val="20"/>
        </w:trPr>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1"/>
        </w:trPr>
        <w:tc>
          <w:tcPr>
            <w:tcW w:w="5820" w:type="dxa"/>
            <w:vAlign w:val="bottom"/>
            <w:gridSpan w:val="3"/>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By Types of Award:</w:t>
            </w:r>
          </w:p>
        </w:tc>
        <w:tc>
          <w:tcPr>
            <w:tcW w:w="14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1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Options</w:t>
            </w:r>
          </w:p>
        </w:tc>
        <w:tc>
          <w:tcPr>
            <w:tcW w:w="4340" w:type="dxa"/>
            <w:vAlign w:val="bottom"/>
            <w:tcBorders>
              <w:top w:val="single" w:sz="8" w:color="CCEEFF"/>
            </w:tcBorders>
            <w:gridSpan w:val="2"/>
          </w:tcPr>
          <w:p>
            <w:pPr>
              <w:spacing w:after="0"/>
              <w:rPr>
                <w:sz w:val="18"/>
                <w:szCs w:val="18"/>
                <w:color w:val="auto"/>
              </w:rPr>
            </w:pPr>
          </w:p>
        </w:tc>
        <w:tc>
          <w:tcPr>
            <w:tcW w:w="1600" w:type="dxa"/>
            <w:vAlign w:val="bottom"/>
            <w:tcBorders>
              <w:top w:val="single" w:sz="8" w:color="CCEEFF"/>
            </w:tcBorders>
            <w:gridSpan w:val="2"/>
          </w:tcPr>
          <w:p>
            <w:pPr>
              <w:ind w:left="142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CCEEFF"/>
            </w:tcBorders>
            <w:gridSpan w:val="2"/>
          </w:tcPr>
          <w:p>
            <w:pPr>
              <w:jc w:val="right"/>
              <w:ind w:right="820"/>
              <w:spacing w:after="0"/>
              <w:rPr>
                <w:sz w:val="20"/>
                <w:szCs w:val="20"/>
                <w:color w:val="auto"/>
              </w:rPr>
            </w:pPr>
            <w:r>
              <w:rPr>
                <w:rFonts w:ascii="Arial" w:cs="Arial" w:eastAsia="Arial" w:hAnsi="Arial"/>
                <w:sz w:val="18"/>
                <w:szCs w:val="18"/>
                <w:color w:val="auto"/>
              </w:rPr>
              <w:t>0.6</w:t>
            </w:r>
          </w:p>
        </w:tc>
        <w:tc>
          <w:tcPr>
            <w:tcW w:w="120" w:type="dxa"/>
            <w:vAlign w:val="bottom"/>
            <w:tcBorders>
              <w:top w:val="single" w:sz="8" w:color="CCEEFF"/>
            </w:tcBorders>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top w:val="single" w:sz="8" w:color="CCEEFF"/>
            </w:tcBorders>
          </w:tcPr>
          <w:p>
            <w:pPr>
              <w:spacing w:after="0"/>
              <w:rPr>
                <w:sz w:val="18"/>
                <w:szCs w:val="18"/>
                <w:color w:val="auto"/>
              </w:rPr>
            </w:pPr>
          </w:p>
        </w:tc>
      </w:tr>
      <w:tr>
        <w:trPr>
          <w:trHeight w:val="216"/>
        </w:trPr>
        <w:tc>
          <w:tcPr>
            <w:tcW w:w="5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Restricted stock awards</w:t>
            </w:r>
          </w:p>
        </w:tc>
        <w:tc>
          <w:tcPr>
            <w:tcW w:w="1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r>
      <w:tr>
        <w:trPr>
          <w:trHeight w:val="223"/>
        </w:trPr>
        <w:tc>
          <w:tcPr>
            <w:tcW w:w="5820" w:type="dxa"/>
            <w:vAlign w:val="bottom"/>
            <w:gridSpan w:val="3"/>
          </w:tcPr>
          <w:p>
            <w:pPr>
              <w:spacing w:after="0"/>
              <w:rPr>
                <w:sz w:val="20"/>
                <w:szCs w:val="20"/>
                <w:color w:val="auto"/>
              </w:rPr>
            </w:pPr>
            <w:r>
              <w:rPr>
                <w:rFonts w:ascii="Arial" w:cs="Arial" w:eastAsia="Arial" w:hAnsi="Arial"/>
                <w:sz w:val="18"/>
                <w:szCs w:val="18"/>
                <w:color w:val="auto"/>
              </w:rPr>
              <w:t>Performance shares</w:t>
            </w:r>
          </w:p>
        </w:tc>
        <w:tc>
          <w:tcPr>
            <w:tcW w:w="14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8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r>
      <w:tr>
        <w:trPr>
          <w:trHeight w:val="216"/>
        </w:trPr>
        <w:tc>
          <w:tcPr>
            <w:tcW w:w="58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Total share-based compensation expense</w:t>
            </w:r>
          </w:p>
        </w:tc>
        <w:tc>
          <w:tcPr>
            <w:tcW w:w="1600" w:type="dxa"/>
            <w:vAlign w:val="bottom"/>
            <w:gridSpan w:val="2"/>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8</w:t>
            </w:r>
          </w:p>
        </w:tc>
        <w:tc>
          <w:tcPr>
            <w:tcW w:w="100" w:type="dxa"/>
            <w:vAlign w:val="bottom"/>
            <w:shd w:val="clear" w:color="auto" w:fill="CCEEFF"/>
          </w:tcPr>
          <w:p>
            <w:pPr>
              <w:spacing w:after="0"/>
              <w:rPr>
                <w:sz w:val="18"/>
                <w:szCs w:val="18"/>
                <w:color w:val="auto"/>
              </w:rPr>
            </w:pPr>
          </w:p>
        </w:tc>
      </w:tr>
      <w:tr>
        <w:trPr>
          <w:trHeight w:val="20"/>
        </w:trPr>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During the first quarter of fiscal 2012, we granted options to purchase 692,001 shares of our common stock and awarded 245,099 shares of restricted stock and unit and 173,333 shares of performance award and unit to employees under our 2007 Stock Equity Plan. During the first quarter of fiscal 2012, 100,763 shares of performance share awards and 21,722 shares of performance share units were vested upon achievement of a new product development milestone during the quarter. There were no share-based awards granted in the first quarter of fiscal 2011.</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fair value of each share subject to an option grant was estimated on the date of grant using the Black-Scholes-Merton option-pricing model based on the following weighted average assumptions:</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8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3580" w:type="dxa"/>
            <w:vAlign w:val="bottom"/>
            <w:gridSpan w:val="4"/>
          </w:tcPr>
          <w:p>
            <w:pPr>
              <w:jc w:val="center"/>
              <w:ind w:left="2182"/>
              <w:spacing w:after="0"/>
              <w:rPr>
                <w:sz w:val="20"/>
                <w:szCs w:val="20"/>
                <w:color w:val="auto"/>
              </w:rPr>
            </w:pPr>
            <w:r>
              <w:rPr>
                <w:rFonts w:ascii="Arial" w:cs="Arial" w:eastAsia="Arial" w:hAnsi="Arial"/>
                <w:sz w:val="14"/>
                <w:szCs w:val="14"/>
                <w:b w:val="1"/>
                <w:bCs w:val="1"/>
                <w:color w:val="auto"/>
                <w:w w:val="90"/>
              </w:rPr>
              <w:t>Quarter Ended</w:t>
            </w:r>
          </w:p>
        </w:tc>
        <w:tc>
          <w:tcPr>
            <w:tcW w:w="0" w:type="dxa"/>
            <w:vAlign w:val="bottom"/>
          </w:tcPr>
          <w:p>
            <w:pPr>
              <w:spacing w:after="0"/>
              <w:rPr>
                <w:sz w:val="1"/>
                <w:szCs w:val="1"/>
                <w:color w:val="auto"/>
              </w:rPr>
            </w:pPr>
          </w:p>
        </w:tc>
      </w:tr>
      <w:tr>
        <w:trPr>
          <w:trHeight w:val="149"/>
        </w:trPr>
        <w:tc>
          <w:tcPr>
            <w:tcW w:w="680" w:type="dxa"/>
            <w:vAlign w:val="bottom"/>
            <w:vMerge w:val="restart"/>
          </w:tcPr>
          <w:p>
            <w:pPr>
              <w:spacing w:after="0"/>
              <w:rPr>
                <w:sz w:val="20"/>
                <w:szCs w:val="20"/>
                <w:color w:val="auto"/>
              </w:rPr>
            </w:pPr>
            <w:r>
              <w:rPr>
                <w:rFonts w:ascii="Arial" w:cs="Arial" w:eastAsia="Arial" w:hAnsi="Arial"/>
                <w:sz w:val="14"/>
                <w:szCs w:val="14"/>
                <w:b w:val="1"/>
                <w:bCs w:val="1"/>
                <w:color w:val="auto"/>
                <w:w w:val="92"/>
              </w:rPr>
              <w:t>Grant Date</w:t>
            </w:r>
          </w:p>
        </w:tc>
        <w:tc>
          <w:tcPr>
            <w:tcW w:w="4420" w:type="dxa"/>
            <w:vAlign w:val="bottom"/>
            <w:vMerge w:val="restart"/>
          </w:tcPr>
          <w:p>
            <w:pPr>
              <w:spacing w:after="0"/>
              <w:rPr>
                <w:sz w:val="12"/>
                <w:szCs w:val="12"/>
                <w:color w:val="auto"/>
              </w:rPr>
            </w:pPr>
          </w:p>
        </w:tc>
        <w:tc>
          <w:tcPr>
            <w:tcW w:w="2480" w:type="dxa"/>
            <w:vAlign w:val="bottom"/>
          </w:tcPr>
          <w:p>
            <w:pPr>
              <w:spacing w:after="0"/>
              <w:rPr>
                <w:sz w:val="12"/>
                <w:szCs w:val="12"/>
                <w:color w:val="auto"/>
              </w:rPr>
            </w:pPr>
          </w:p>
        </w:tc>
        <w:tc>
          <w:tcPr>
            <w:tcW w:w="11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153"/>
        </w:trPr>
        <w:tc>
          <w:tcPr>
            <w:tcW w:w="680" w:type="dxa"/>
            <w:vAlign w:val="bottom"/>
            <w:tcBorders>
              <w:bottom w:val="single" w:sz="8" w:color="auto"/>
            </w:tcBorders>
            <w:vMerge w:val="continue"/>
          </w:tcPr>
          <w:p>
            <w:pPr>
              <w:spacing w:after="0"/>
              <w:rPr>
                <w:sz w:val="12"/>
                <w:szCs w:val="12"/>
                <w:color w:val="auto"/>
              </w:rPr>
            </w:pPr>
          </w:p>
        </w:tc>
        <w:tc>
          <w:tcPr>
            <w:tcW w:w="4420" w:type="dxa"/>
            <w:vAlign w:val="bottom"/>
            <w:vMerge w:val="continue"/>
          </w:tcPr>
          <w:p>
            <w:pPr>
              <w:spacing w:after="0"/>
              <w:rPr>
                <w:sz w:val="12"/>
                <w:szCs w:val="12"/>
                <w:color w:val="auto"/>
              </w:rPr>
            </w:pPr>
          </w:p>
        </w:tc>
        <w:tc>
          <w:tcPr>
            <w:tcW w:w="2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center"/>
              <w:ind w:right="136"/>
              <w:spacing w:after="0" w:line="148" w:lineRule="exact"/>
              <w:rPr>
                <w:sz w:val="20"/>
                <w:szCs w:val="20"/>
                <w:color w:val="auto"/>
              </w:rPr>
            </w:pPr>
            <w:r>
              <w:rPr>
                <w:rFonts w:ascii="Arial" w:cs="Arial" w:eastAsia="Arial" w:hAnsi="Arial"/>
                <w:sz w:val="14"/>
                <w:szCs w:val="14"/>
                <w:b w:val="1"/>
                <w:bCs w:val="1"/>
                <w:color w:val="auto"/>
                <w:w w:val="89"/>
              </w:rPr>
              <w:t>2011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1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Expected dividends</w:t>
            </w:r>
          </w:p>
        </w:tc>
        <w:tc>
          <w:tcPr>
            <w:tcW w:w="24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00" w:type="dxa"/>
            <w:vAlign w:val="bottom"/>
            <w:gridSpan w:val="2"/>
            <w:vMerge w:val="continue"/>
            <w:shd w:val="clear" w:color="auto" w:fill="CCEEFF"/>
          </w:tcPr>
          <w:p>
            <w:pPr>
              <w:spacing w:after="0"/>
              <w:rPr>
                <w:sz w:val="17"/>
                <w:szCs w:val="17"/>
                <w:color w:val="auto"/>
              </w:rPr>
            </w:pPr>
          </w:p>
        </w:tc>
        <w:tc>
          <w:tcPr>
            <w:tcW w:w="2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2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Expected term (years)</w:t>
            </w:r>
          </w:p>
        </w:tc>
        <w:tc>
          <w:tcPr>
            <w:tcW w:w="2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per option on date of grant</w:t>
            </w:r>
          </w:p>
        </w:tc>
        <w:tc>
          <w:tcPr>
            <w:tcW w:w="268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As of September 30, 2011, there was $6.0 million of total unrecognized compensation expense related to nonvested stock options and restricted stock awards granted under our 2007 Stock Equity Plan. This expense is expected to be recognized over a weighted-average period of 2.03 years.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Major Customer and Business Segments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During the first quarter of fiscal 2012, one International segment customer, Mobile Telephone Networks group (“MTN”) in Africa, accounted for 17.6% of our total revenue. MTN is an affiliated group of separate regional carriers and operators located in Africa. During the first quarter of fiscal 2011, none of our customers accounted for 10% or more of revenue.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Revenue and operating loss by segment are as follows: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Quarter Ended</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5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640" w:type="dxa"/>
            <w:vAlign w:val="bottom"/>
            <w:gridSpan w:val="3"/>
          </w:tcPr>
          <w:p>
            <w:pPr>
              <w:ind w:left="40"/>
              <w:spacing w:after="0" w:line="129" w:lineRule="exact"/>
              <w:rPr>
                <w:sz w:val="20"/>
                <w:szCs w:val="20"/>
                <w:color w:val="auto"/>
              </w:rPr>
            </w:pPr>
            <w:r>
              <w:rPr>
                <w:rFonts w:ascii="Arial" w:cs="Arial" w:eastAsia="Arial" w:hAnsi="Arial"/>
                <w:sz w:val="14"/>
                <w:szCs w:val="14"/>
                <w:b w:val="1"/>
                <w:bCs w:val="1"/>
                <w:color w:val="auto"/>
                <w:w w:val="83"/>
              </w:rPr>
              <w:t>October 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40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1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217"/>
              <w:spacing w:after="0"/>
              <w:rPr>
                <w:sz w:val="20"/>
                <w:szCs w:val="20"/>
                <w:color w:val="auto"/>
              </w:rPr>
            </w:pPr>
            <w:r>
              <w:rPr>
                <w:rFonts w:ascii="Arial" w:cs="Arial" w:eastAsia="Arial" w:hAnsi="Arial"/>
                <w:sz w:val="14"/>
                <w:szCs w:val="14"/>
                <w:b w:val="1"/>
                <w:bCs w:val="1"/>
                <w:color w:val="auto"/>
              </w:rPr>
              <w:t>2011</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75"/>
              <w:spacing w:after="0"/>
              <w:rPr>
                <w:sz w:val="20"/>
                <w:szCs w:val="20"/>
                <w:color w:val="auto"/>
              </w:rPr>
            </w:pPr>
            <w:r>
              <w:rPr>
                <w:rFonts w:ascii="Arial" w:cs="Arial" w:eastAsia="Arial" w:hAnsi="Arial"/>
                <w:sz w:val="14"/>
                <w:szCs w:val="14"/>
                <w:b w:val="1"/>
                <w:bCs w:val="1"/>
                <w:color w:val="auto"/>
                <w:w w:val="96"/>
              </w:rPr>
              <w:t>2010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19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420"/>
              <w:spacing w:after="0"/>
              <w:rPr>
                <w:sz w:val="20"/>
                <w:szCs w:val="20"/>
                <w:color w:val="auto"/>
              </w:rPr>
            </w:pPr>
            <w:r>
              <w:rPr>
                <w:rFonts w:ascii="Arial" w:cs="Arial" w:eastAsia="Arial" w:hAnsi="Arial"/>
                <w:sz w:val="18"/>
                <w:szCs w:val="18"/>
                <w:color w:val="auto"/>
              </w:rPr>
              <w:t>North America</w:t>
            </w:r>
          </w:p>
        </w:tc>
        <w:tc>
          <w:tcPr>
            <w:tcW w:w="2140" w:type="dxa"/>
            <w:vAlign w:val="bottom"/>
            <w:gridSpan w:val="2"/>
          </w:tcPr>
          <w:p>
            <w:pPr>
              <w:ind w:left="19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37.1</w:t>
            </w:r>
          </w:p>
        </w:tc>
        <w:tc>
          <w:tcPr>
            <w:tcW w:w="740" w:type="dxa"/>
            <w:vAlign w:val="bottom"/>
          </w:tcPr>
          <w:p>
            <w:pPr>
              <w:spacing w:after="0"/>
              <w:rPr>
                <w:sz w:val="18"/>
                <w:szCs w:val="18"/>
                <w:color w:val="auto"/>
              </w:rPr>
            </w:pPr>
          </w:p>
        </w:tc>
        <w:tc>
          <w:tcPr>
            <w:tcW w:w="160" w:type="dxa"/>
            <w:vAlign w:val="bottom"/>
            <w:gridSpan w:val="2"/>
          </w:tcPr>
          <w:p>
            <w:pPr>
              <w:ind w:left="4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International</w:t>
            </w:r>
          </w:p>
        </w:tc>
        <w:tc>
          <w:tcPr>
            <w:tcW w:w="19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0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2140" w:type="dxa"/>
            <w:vAlign w:val="bottom"/>
            <w:gridSpan w:val="2"/>
          </w:tcPr>
          <w:p>
            <w:pPr>
              <w:ind w:left="19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111.4</w:t>
            </w:r>
          </w:p>
        </w:tc>
        <w:tc>
          <w:tcPr>
            <w:tcW w:w="740" w:type="dxa"/>
            <w:vAlign w:val="bottom"/>
          </w:tcPr>
          <w:p>
            <w:pPr>
              <w:spacing w:after="0"/>
              <w:rPr>
                <w:sz w:val="19"/>
                <w:szCs w:val="19"/>
                <w:color w:val="auto"/>
              </w:rPr>
            </w:pPr>
          </w:p>
        </w:tc>
        <w:tc>
          <w:tcPr>
            <w:tcW w:w="160" w:type="dxa"/>
            <w:vAlign w:val="bottom"/>
            <w:gridSpan w:val="2"/>
          </w:tcPr>
          <w:p>
            <w:pPr>
              <w:ind w:left="4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100.4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Income Taxes</w:t>
            </w:r>
          </w:p>
        </w:tc>
        <w:tc>
          <w:tcPr>
            <w:tcW w:w="1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Segment Operating (Loss) Income:</w:t>
            </w: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North America (1)</w:t>
            </w:r>
          </w:p>
        </w:tc>
        <w:tc>
          <w:tcPr>
            <w:tcW w:w="2140" w:type="dxa"/>
            <w:vAlign w:val="bottom"/>
            <w:gridSpan w:val="2"/>
            <w:shd w:val="clear" w:color="auto" w:fill="CCEEFF"/>
          </w:tcPr>
          <w:p>
            <w:pPr>
              <w:ind w:left="19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(1.9)</w:t>
            </w: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420"/>
              <w:spacing w:after="0"/>
              <w:rPr>
                <w:sz w:val="20"/>
                <w:szCs w:val="20"/>
                <w:color w:val="auto"/>
              </w:rPr>
            </w:pPr>
            <w:r>
              <w:rPr>
                <w:rFonts w:ascii="Arial" w:cs="Arial" w:eastAsia="Arial" w:hAnsi="Arial"/>
                <w:sz w:val="18"/>
                <w:szCs w:val="18"/>
                <w:color w:val="auto"/>
              </w:rPr>
              <w:t>International (2)</w:t>
            </w: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8"/>
                <w:szCs w:val="18"/>
                <w:color w:val="auto"/>
              </w:rPr>
              <w:t>(0.6)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140" w:type="dxa"/>
            <w:vAlign w:val="bottom"/>
            <w:gridSpan w:val="2"/>
            <w:shd w:val="clear" w:color="auto" w:fill="CCEEFF"/>
          </w:tcPr>
          <w:p>
            <w:pPr>
              <w:ind w:left="19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(2.5)</w:t>
            </w: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following table summarizes certain charges and expenses included in the North America segment operating results during the first quarter of fiscal</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2012 and fiscal 2011:</w:t>
      </w:r>
    </w:p>
    <w:p>
      <w:pPr>
        <w:spacing w:after="0" w:line="20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tcPr>
          <w:p>
            <w:pPr>
              <w:ind w:left="540"/>
              <w:spacing w:after="0"/>
              <w:rPr>
                <w:sz w:val="20"/>
                <w:szCs w:val="20"/>
                <w:color w:val="auto"/>
              </w:rPr>
            </w:pPr>
            <w:r>
              <w:rPr>
                <w:rFonts w:ascii="Arial" w:cs="Arial" w:eastAsia="Arial" w:hAnsi="Arial"/>
                <w:sz w:val="14"/>
                <w:szCs w:val="14"/>
                <w:b w:val="1"/>
                <w:bCs w:val="1"/>
                <w:color w:val="auto"/>
                <w:w w:val="94"/>
              </w:rPr>
              <w:t>Quarter Ended</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60" w:type="dxa"/>
            <w:vAlign w:val="bottom"/>
            <w:gridSpan w:val="3"/>
          </w:tcPr>
          <w:p>
            <w:pPr>
              <w:jc w:val="right"/>
              <w:ind w:right="840"/>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66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w w:val="92"/>
              </w:rPr>
              <w:t>October 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44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(In millions)</w:t>
            </w:r>
          </w:p>
        </w:tc>
        <w:tc>
          <w:tcPr>
            <w:tcW w:w="8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2011</w:t>
            </w:r>
          </w:p>
        </w:tc>
        <w:tc>
          <w:tcPr>
            <w:tcW w:w="8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440" w:type="dxa"/>
            <w:vAlign w:val="bottom"/>
            <w:shd w:val="clear" w:color="auto" w:fill="CCEEFF"/>
          </w:tcPr>
          <w:p>
            <w:pPr>
              <w:spacing w:after="0" w:line="188" w:lineRule="exact"/>
              <w:rPr>
                <w:sz w:val="20"/>
                <w:szCs w:val="20"/>
                <w:color w:val="auto"/>
              </w:rPr>
            </w:pPr>
            <w:r>
              <w:rPr>
                <w:rFonts w:ascii="Arial" w:cs="Arial" w:eastAsia="Arial" w:hAnsi="Arial"/>
                <w:sz w:val="18"/>
                <w:szCs w:val="18"/>
                <w:color w:val="auto"/>
              </w:rPr>
              <w:t>Amortization of developed technology, trade names and customer</w:t>
            </w: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relationships</w:t>
            </w:r>
          </w:p>
        </w:tc>
        <w:tc>
          <w:tcPr>
            <w:tcW w:w="10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84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Rebranding and transitional costs</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charges</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0.7</w:t>
            </w: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Other non-recurring charges</w:t>
            </w:r>
          </w:p>
        </w:tc>
        <w:tc>
          <w:tcPr>
            <w:tcW w:w="8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440" w:type="dxa"/>
            <w:vAlign w:val="bottom"/>
          </w:tcPr>
          <w:p>
            <w:pPr>
              <w:spacing w:after="0"/>
              <w:rPr>
                <w:sz w:val="19"/>
                <w:szCs w:val="19"/>
                <w:color w:val="auto"/>
              </w:rPr>
            </w:pPr>
          </w:p>
        </w:tc>
        <w:tc>
          <w:tcPr>
            <w:tcW w:w="100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2.4</w:t>
            </w:r>
          </w:p>
        </w:tc>
        <w:tc>
          <w:tcPr>
            <w:tcW w:w="840" w:type="dxa"/>
            <w:vAlign w:val="bottom"/>
          </w:tcPr>
          <w:p>
            <w:pPr>
              <w:spacing w:after="0"/>
              <w:rPr>
                <w:sz w:val="19"/>
                <w:szCs w:val="19"/>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vMerge w:val="restart"/>
          </w:tcPr>
          <w:p>
            <w:pPr>
              <w:ind w:left="4240"/>
              <w:spacing w:after="0"/>
              <w:rPr>
                <w:sz w:val="20"/>
                <w:szCs w:val="20"/>
                <w:color w:val="auto"/>
              </w:rPr>
            </w:pPr>
            <w:r>
              <w:rPr>
                <w:rFonts w:ascii="Arial" w:cs="Arial" w:eastAsia="Arial" w:hAnsi="Arial"/>
                <w:sz w:val="18"/>
                <w:szCs w:val="18"/>
                <w:color w:val="auto"/>
              </w:rPr>
              <w:t>14</w:t>
            </w:r>
          </w:p>
        </w:tc>
        <w:tc>
          <w:tcPr>
            <w:tcW w:w="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44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hanging="452"/>
        <w:spacing w:after="0" w:line="268"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following table summarizes certain charges and expenses included in the International segment operating results during the first quarter of fiscal 2011 and fiscal 2010:</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tcPr>
          <w:p>
            <w:pPr>
              <w:ind w:left="540"/>
              <w:spacing w:after="0"/>
              <w:rPr>
                <w:sz w:val="20"/>
                <w:szCs w:val="20"/>
                <w:color w:val="auto"/>
              </w:rPr>
            </w:pPr>
            <w:r>
              <w:rPr>
                <w:rFonts w:ascii="Arial" w:cs="Arial" w:eastAsia="Arial" w:hAnsi="Arial"/>
                <w:sz w:val="14"/>
                <w:szCs w:val="14"/>
                <w:b w:val="1"/>
                <w:bCs w:val="1"/>
                <w:color w:val="auto"/>
                <w:w w:val="94"/>
              </w:rPr>
              <w:t>Quarter Ended</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36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660" w:type="dxa"/>
            <w:vAlign w:val="bottom"/>
            <w:gridSpan w:val="3"/>
          </w:tcPr>
          <w:p>
            <w:pPr>
              <w:jc w:val="right"/>
              <w:ind w:right="840"/>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66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w w:val="92"/>
              </w:rPr>
              <w:t>October 1,</w:t>
            </w:r>
          </w:p>
        </w:tc>
        <w:tc>
          <w:tcPr>
            <w:tcW w:w="100" w:type="dxa"/>
            <w:vAlign w:val="bottom"/>
          </w:tcPr>
          <w:p>
            <w:pPr>
              <w:spacing w:after="0"/>
              <w:rPr>
                <w:sz w:val="11"/>
                <w:szCs w:val="11"/>
                <w:color w:val="auto"/>
              </w:rPr>
            </w:pPr>
          </w:p>
        </w:tc>
      </w:tr>
      <w:tr>
        <w:trPr>
          <w:trHeight w:val="161"/>
        </w:trPr>
        <w:tc>
          <w:tcPr>
            <w:tcW w:w="43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(In millions)</w:t>
            </w:r>
          </w:p>
        </w:tc>
        <w:tc>
          <w:tcPr>
            <w:tcW w:w="19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2011</w:t>
            </w:r>
          </w:p>
        </w:tc>
        <w:tc>
          <w:tcPr>
            <w:tcW w:w="8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Borders>
              <w:bottom w:val="single" w:sz="8" w:color="CCEEFF"/>
            </w:tcBorders>
          </w:tcPr>
          <w:p>
            <w:pPr>
              <w:spacing w:after="0"/>
              <w:rPr>
                <w:sz w:val="14"/>
                <w:szCs w:val="14"/>
                <w:color w:val="auto"/>
              </w:rPr>
            </w:pPr>
          </w:p>
        </w:tc>
      </w:tr>
      <w:tr>
        <w:trPr>
          <w:trHeight w:val="210"/>
        </w:trPr>
        <w:tc>
          <w:tcPr>
            <w:tcW w:w="4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Restructuring charges</w:t>
            </w:r>
          </w:p>
        </w:tc>
        <w:tc>
          <w:tcPr>
            <w:tcW w:w="19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8"/>
                <w:szCs w:val="18"/>
                <w:color w:val="auto"/>
              </w:rPr>
            </w:pPr>
          </w:p>
        </w:tc>
      </w:tr>
      <w:tr>
        <w:trPr>
          <w:trHeight w:val="223"/>
        </w:trPr>
        <w:tc>
          <w:tcPr>
            <w:tcW w:w="436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19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r>
      <w:tr>
        <w:trPr>
          <w:trHeight w:val="216"/>
        </w:trPr>
        <w:tc>
          <w:tcPr>
            <w:tcW w:w="43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8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8"/>
                <w:szCs w:val="18"/>
                <w:color w:val="auto"/>
              </w:rPr>
            </w:pPr>
          </w:p>
        </w:tc>
      </w:tr>
      <w:tr>
        <w:trPr>
          <w:trHeight w:val="20"/>
        </w:trPr>
        <w:tc>
          <w:tcPr>
            <w:tcW w:w="43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Income Taxes</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determination of our provision for income taxes for the first quarter of fiscal 2012 of $1.0 million and benefit for income taxes for the first quarter of fiscal 2011 of $5.5 million was primarily based on our estimated annual effective tax rate adjusted for losses in separate jurisdictions for which no tax benefit can be recognized.</w:t>
      </w:r>
    </w:p>
    <w:p>
      <w:pPr>
        <w:spacing w:after="0" w:line="140"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Our effective tax rate varies from the U.S. federal statutory rate of 35% due to results of foreign operations that are subject to income taxes at different statutory rates and certain jurisdictions where we cannot recognize tax benefits on current losses. We accrued tax expenses for foreign jurisdictions that are anticipated to be profitable for fiscal 2012.</w:t>
      </w:r>
    </w:p>
    <w:p>
      <w:pPr>
        <w:spacing w:after="0" w:line="14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account for interest and penalties related to unrecognized tax benefits as part of our provision for federal, foreign, and state income taxes. We accrued no additional amount for such interest during the first quarter of fiscal 2012 and fiscal 2011. No penalties have been accrued on any of the unrecognized tax benefits.</w:t>
      </w:r>
    </w:p>
    <w:p>
      <w:pPr>
        <w:spacing w:after="0" w:line="14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expect that the amount of unrecognized tax benefit may change in the next year; however, it is not expected to have a significant impact on our results of operations, financial position or cash flows.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a number of years with open tax audits which vary from jurisdiction to jurisdiction. Our major tax jurisdictions include the U.S., Singapore,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Poland, Nigeria, France and the U.K. The earliest years still open and subject to potential audits for these jurisdictions are as follows: Singapore — 2004;</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Poland — 2006; Nigeria — 2004; France — 2008; U.K. — 2010; and Australia — 2007. For other foreign jurisdictions, the earliest years still open and subject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potential audits vary from year 2006 to year 2011. As of September 30, 2011, we are no longer under audit by the U.S. Internal Revenue Service for the June 27,</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2008 tax year as this audit was closed during the current quarter. Because of net operating loss carryforwards that remain subject to future audit, the tax years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back to 2003 remain open, in effect. In the current year, an audit in Nigeria for our 2004 through 2009 tax year remains open.</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Operating Lease Commitments</w:t>
      </w:r>
    </w:p>
    <w:p>
      <w:pPr>
        <w:spacing w:after="0" w:line="96"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We lease office and manufacturing facilities under non-cancelable operating leases expiring at various dates through April 2020. We lease approximately 129,000 square feet of office space in Santa Clara, California as our corporate headquarters. As of September 30, 2011, future minimum lease payments for our headquarters total $21.6 million through April 2020.</w:t>
      </w:r>
    </w:p>
    <w:p>
      <w:pPr>
        <w:spacing w:after="0" w:line="140"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As of September 30, 2011, our future minimum commitments, net of $2.4 million non-cancelable subleases, for all non-cancelable operating leases with an initial lease term in excess of one year are as follows:</w:t>
      </w:r>
    </w:p>
    <w:p>
      <w:pPr>
        <w:spacing w:after="0" w:line="16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260" w:type="dxa"/>
            <w:vAlign w:val="bottom"/>
            <w:gridSpan w:val="2"/>
          </w:tcPr>
          <w:p>
            <w:pPr>
              <w:spacing w:after="0"/>
              <w:rPr>
                <w:sz w:val="20"/>
                <w:szCs w:val="20"/>
                <w:color w:val="auto"/>
              </w:rPr>
            </w:pPr>
            <w:r>
              <w:rPr>
                <w:rFonts w:ascii="Arial" w:cs="Arial" w:eastAsia="Arial" w:hAnsi="Arial"/>
                <w:sz w:val="14"/>
                <w:szCs w:val="14"/>
                <w:b w:val="1"/>
                <w:bCs w:val="1"/>
                <w:color w:val="auto"/>
              </w:rPr>
              <w:t>Fiscal Years Ending in June</w:t>
            </w:r>
          </w:p>
        </w:tc>
        <w:tc>
          <w:tcPr>
            <w:tcW w:w="2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Amounts</w:t>
            </w:r>
          </w:p>
        </w:tc>
      </w:tr>
      <w:tr>
        <w:trPr>
          <w:trHeight w:val="142"/>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7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9"/>
              </w:rPr>
              <w:t>(In millions)</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2012</w:t>
            </w:r>
          </w:p>
        </w:tc>
        <w:tc>
          <w:tcPr>
            <w:tcW w:w="2780" w:type="dxa"/>
            <w:vAlign w:val="bottom"/>
            <w:gridSpan w:val="2"/>
            <w:shd w:val="clear" w:color="auto" w:fill="CCEEFF"/>
          </w:tcPr>
          <w:p>
            <w:pPr>
              <w:ind w:left="268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420"/>
              <w:spacing w:after="0"/>
              <w:rPr>
                <w:sz w:val="20"/>
                <w:szCs w:val="20"/>
                <w:color w:val="auto"/>
              </w:rPr>
            </w:pPr>
            <w:r>
              <w:rPr>
                <w:rFonts w:ascii="Arial" w:cs="Arial" w:eastAsia="Arial" w:hAnsi="Arial"/>
                <w:sz w:val="18"/>
                <w:szCs w:val="18"/>
                <w:color w:val="auto"/>
              </w:rPr>
              <w:t>2013</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2014</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420"/>
              <w:spacing w:after="0"/>
              <w:rPr>
                <w:sz w:val="20"/>
                <w:szCs w:val="20"/>
                <w:color w:val="auto"/>
              </w:rPr>
            </w:pPr>
            <w:r>
              <w:rPr>
                <w:rFonts w:ascii="Arial" w:cs="Arial" w:eastAsia="Arial" w:hAnsi="Arial"/>
                <w:sz w:val="18"/>
                <w:szCs w:val="18"/>
                <w:color w:val="auto"/>
              </w:rPr>
              <w:t>2015</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2016</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240" w:type="dxa"/>
            <w:vAlign w:val="bottom"/>
          </w:tcPr>
          <w:p>
            <w:pPr>
              <w:ind w:left="420"/>
              <w:spacing w:after="0"/>
              <w:rPr>
                <w:sz w:val="20"/>
                <w:szCs w:val="20"/>
                <w:color w:val="auto"/>
              </w:rPr>
            </w:pPr>
            <w:r>
              <w:rPr>
                <w:rFonts w:ascii="Arial" w:cs="Arial" w:eastAsia="Arial" w:hAnsi="Arial"/>
                <w:sz w:val="18"/>
                <w:szCs w:val="18"/>
                <w:color w:val="auto"/>
              </w:rPr>
              <w:t>Thereafter</w:t>
            </w:r>
          </w:p>
        </w:tc>
        <w:tc>
          <w:tcPr>
            <w:tcW w:w="2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780" w:type="dxa"/>
            <w:vAlign w:val="bottom"/>
            <w:gridSpan w:val="2"/>
            <w:shd w:val="clear" w:color="auto" w:fill="CCEEFF"/>
          </w:tcPr>
          <w:p>
            <w:pPr>
              <w:ind w:left="268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These commitments do not contain any material rent escalations, rent holidays, contingent rent, rent concessions, leasehold improvement incentives or unusual provisions or conditions.</w:t>
      </w:r>
    </w:p>
    <w:p>
      <w:pPr>
        <w:spacing w:after="0" w:line="13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Rental expense for operating leases, including rentals on a month-to-month basis was $2.4 million and $2.9 million in the first quarter of fiscal 2012 and 2011,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Derivative Financial Instruments and Hedging Activities</w:t>
      </w:r>
    </w:p>
    <w:p>
      <w:pPr>
        <w:spacing w:after="0" w:line="96"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We use derivative instruments to manage our market exposures to foreign currency risk. Our objectives for using derivatives are to reduce the volatility of earnings and cash flows associated with changes in foreign currency exchange rates. We do not hold or issue derivatives for trading purposes or make speculative investments in foreign currencies. All derivative instruments are carried on the balance sheet at fair value.</w:t>
      </w:r>
    </w:p>
    <w:p>
      <w:pPr>
        <w:sectPr>
          <w:pgSz w:w="11900" w:h="16838" w:orient="portrait"/>
          <w:cols w:equalWidth="0" w:num="1">
            <w:col w:w="11400"/>
          </w:cols>
          <w:pgMar w:left="240" w:top="459" w:right="259" w:bottom="1440" w:gutter="0" w:footer="0" w:header="0"/>
        </w:sectPr>
      </w:pP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00"/>
          </w:cols>
          <w:pgMar w:left="240" w:top="459" w:right="25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major foreign currency hedging activities are described below:</w:t>
      </w:r>
    </w:p>
    <w:p>
      <w:pPr>
        <w:spacing w:after="0" w:line="171"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i w:val="1"/>
          <w:iCs w:val="1"/>
          <w:color w:val="auto"/>
        </w:rPr>
        <w:t>Cash Flow Hedges</w:t>
      </w:r>
      <w:r>
        <w:rPr>
          <w:rFonts w:ascii="Arial" w:cs="Arial" w:eastAsia="Arial" w:hAnsi="Arial"/>
          <w:sz w:val="18"/>
          <w:szCs w:val="18"/>
          <w:color w:val="auto"/>
        </w:rPr>
        <w:t>. We use currency forward contracts to hedge exposures related to certain forecasted foreign currency transactions relating to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costs, operating expenses and intercompany transactions. As of September 30, 2011, hedged transactions included our customer and intercompany backlog and outstanding purchase commitments denominated primarily in the Euro and Polish zloty. These derivatives are designated as cash flow hedges and typically have maturities from one to three months with a maximum of six months, which in general closely match the underlying forecasted transaction in duration.</w:t>
      </w:r>
    </w:p>
    <w:p>
      <w:pPr>
        <w:spacing w:after="0" w:line="143"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We measure the effectiveness of the hedges of forecasted transactions on a monthly basis by comparing the fair values of the designated currency forward contracts with the fair values of the forecasted transactions. The effective portion of the contract’s gain and loss is initially recognized in other comprehensive income or loss (“OCI”) and, upon occurrence of the forecasted transaction occurs, is reclassified into the income or expense line item to which the hedged transaction relates. Any ineffective portion of the derivative hedging gain or loss as well as changes in the fair value of the derivative’s time value (which are excluded from the assessment of hedge effectiveness) is recorded in current period earnings, specifically, in cost of product sales as these gains and losses are considered by us to be operational in nature. If the forecasted transaction does not occur, or it becomes probable that it will not occur, the gain or loss on the related cash flow hedge is recognized immediately in cost of product sales.</w:t>
      </w:r>
    </w:p>
    <w:p>
      <w:pPr>
        <w:spacing w:after="0" w:line="118" w:lineRule="exact"/>
        <w:rPr>
          <w:sz w:val="20"/>
          <w:szCs w:val="20"/>
          <w:color w:val="auto"/>
        </w:rPr>
      </w:pPr>
    </w:p>
    <w:p>
      <w:pPr>
        <w:jc w:val="both"/>
        <w:ind w:right="220" w:firstLine="456"/>
        <w:spacing w:after="0" w:line="335" w:lineRule="auto"/>
        <w:rPr>
          <w:sz w:val="20"/>
          <w:szCs w:val="20"/>
          <w:color w:val="auto"/>
        </w:rPr>
      </w:pPr>
      <w:r>
        <w:rPr>
          <w:rFonts w:ascii="Arial" w:cs="Arial" w:eastAsia="Arial" w:hAnsi="Arial"/>
          <w:sz w:val="15"/>
          <w:szCs w:val="15"/>
          <w:color w:val="auto"/>
        </w:rPr>
        <w:t>As of September 30, 2011, it is expected that $0.7 million of derivative net gain on both outstanding and matured derivatives recorded in AOCI will be reclassified to net income or loss during the next twelve months as a result of underlying hedged transactions also being recorded in net income or loss. Actual amounts ultimately to be reclassified to net income or loss depend on the exchange rates in effect when currently outstanding derivative contracts mature.</w:t>
      </w:r>
    </w:p>
    <w:p>
      <w:pPr>
        <w:spacing w:after="0" w:line="8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Balance Sheet Hedges</w:t>
      </w:r>
      <w:r>
        <w:rPr>
          <w:rFonts w:ascii="Arial" w:cs="Arial" w:eastAsia="Arial" w:hAnsi="Arial"/>
          <w:sz w:val="16"/>
          <w:szCs w:val="16"/>
          <w:color w:val="auto"/>
        </w:rPr>
        <w:t>. We also use foreign exchange forward contracts to mitigate the gains and losses generated from the re-measurement of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foreign monetary assets and liabilities, including primarily cash balances, third party accounts receivable and accounts payable, and intercompany transactions recorded on the balance sheet. These derivatives are not designated and do not qualify as hedge instruments, accordingly, are carried at fair value with changes recorded in cost of product sales in current period. Changes in the fair value of these derivatives are largely offset by re-measurement of the underlying assets and liabilities. These derivatives have maturities of approximately one month.</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table presents the gross notional value of all our foreign exchange forward contracts outstanding as of September 30, 2011 and July 1, 2011:</w:t>
      </w:r>
    </w:p>
    <w:p>
      <w:pPr>
        <w:spacing w:after="0" w:line="24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1640" w:type="dxa"/>
            <w:vAlign w:val="bottom"/>
            <w:gridSpan w:val="5"/>
          </w:tcPr>
          <w:p>
            <w:pPr>
              <w:ind w:left="240"/>
              <w:spacing w:after="0"/>
              <w:rPr>
                <w:sz w:val="20"/>
                <w:szCs w:val="20"/>
                <w:color w:val="auto"/>
              </w:rPr>
            </w:pPr>
            <w:r>
              <w:rPr>
                <w:rFonts w:ascii="Arial" w:cs="Arial" w:eastAsia="Arial" w:hAnsi="Arial"/>
                <w:sz w:val="14"/>
                <w:szCs w:val="14"/>
                <w:b w:val="1"/>
                <w:bCs w:val="1"/>
                <w:color w:val="auto"/>
              </w:rPr>
              <w:t>September 30, 2011</w:t>
            </w:r>
          </w:p>
        </w:tc>
        <w:tc>
          <w:tcPr>
            <w:tcW w:w="540" w:type="dxa"/>
            <w:vAlign w:val="bottom"/>
          </w:tcPr>
          <w:p>
            <w:pPr>
              <w:spacing w:after="0"/>
              <w:rPr>
                <w:sz w:val="14"/>
                <w:szCs w:val="14"/>
                <w:color w:val="auto"/>
              </w:rPr>
            </w:pPr>
          </w:p>
        </w:tc>
        <w:tc>
          <w:tcPr>
            <w:tcW w:w="1260" w:type="dxa"/>
            <w:vAlign w:val="bottom"/>
            <w:gridSpan w:val="3"/>
          </w:tcPr>
          <w:p>
            <w:pPr>
              <w:ind w:left="460"/>
              <w:spacing w:after="0"/>
              <w:rPr>
                <w:sz w:val="20"/>
                <w:szCs w:val="20"/>
                <w:color w:val="auto"/>
              </w:rPr>
            </w:pPr>
            <w:r>
              <w:rPr>
                <w:rFonts w:ascii="Arial" w:cs="Arial" w:eastAsia="Arial" w:hAnsi="Arial"/>
                <w:sz w:val="14"/>
                <w:szCs w:val="14"/>
                <w:b w:val="1"/>
                <w:bCs w:val="1"/>
                <w:color w:val="auto"/>
                <w:w w:val="99"/>
              </w:rPr>
              <w:t>July 1, 2011</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660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9"/>
              </w:rPr>
              <w:t>Notional</w:t>
            </w: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5"/>
              </w:rPr>
              <w:t>Notional</w:t>
            </w:r>
          </w:p>
        </w:tc>
        <w:tc>
          <w:tcPr>
            <w:tcW w:w="100" w:type="dxa"/>
            <w:vAlign w:val="bottom"/>
          </w:tcPr>
          <w:p>
            <w:pPr>
              <w:spacing w:after="0"/>
              <w:rPr>
                <w:sz w:val="11"/>
                <w:szCs w:val="11"/>
                <w:color w:val="auto"/>
              </w:rPr>
            </w:pPr>
          </w:p>
        </w:tc>
      </w:tr>
      <w:tr>
        <w:trPr>
          <w:trHeight w:val="149"/>
        </w:trPr>
        <w:tc>
          <w:tcPr>
            <w:tcW w:w="6600" w:type="dxa"/>
            <w:vAlign w:val="bottom"/>
          </w:tcPr>
          <w:p>
            <w:pPr>
              <w:spacing w:after="0"/>
              <w:rPr>
                <w:sz w:val="12"/>
                <w:szCs w:val="12"/>
                <w:color w:val="auto"/>
              </w:rPr>
            </w:pPr>
          </w:p>
        </w:tc>
        <w:tc>
          <w:tcPr>
            <w:tcW w:w="11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7"/>
              </w:rPr>
              <w:t>Local</w:t>
            </w:r>
          </w:p>
        </w:tc>
        <w:tc>
          <w:tcPr>
            <w:tcW w:w="5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0"/>
              </w:rPr>
              <w:t>Contract</w:t>
            </w:r>
          </w:p>
        </w:tc>
        <w:tc>
          <w:tcPr>
            <w:tcW w:w="540" w:type="dxa"/>
            <w:vAlign w:val="bottom"/>
          </w:tcPr>
          <w:p>
            <w:pPr>
              <w:spacing w:after="0"/>
              <w:rPr>
                <w:sz w:val="12"/>
                <w:szCs w:val="12"/>
                <w:color w:val="auto"/>
              </w:rPr>
            </w:pPr>
          </w:p>
        </w:tc>
        <w:tc>
          <w:tcPr>
            <w:tcW w:w="110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rPr>
              <w:t>Local</w:t>
            </w:r>
          </w:p>
        </w:tc>
        <w:tc>
          <w:tcPr>
            <w:tcW w:w="6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Contract</w:t>
            </w:r>
          </w:p>
        </w:tc>
      </w:tr>
      <w:tr>
        <w:trPr>
          <w:trHeight w:val="149"/>
        </w:trPr>
        <w:tc>
          <w:tcPr>
            <w:tcW w:w="6600" w:type="dxa"/>
            <w:vAlign w:val="bottom"/>
          </w:tcPr>
          <w:p>
            <w:pPr>
              <w:spacing w:after="0"/>
              <w:rPr>
                <w:sz w:val="12"/>
                <w:szCs w:val="12"/>
                <w:color w:val="auto"/>
              </w:rPr>
            </w:pPr>
          </w:p>
        </w:tc>
        <w:tc>
          <w:tcPr>
            <w:tcW w:w="110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87"/>
              </w:rPr>
              <w:t>Currency</w:t>
            </w:r>
          </w:p>
        </w:tc>
        <w:tc>
          <w:tcPr>
            <w:tcW w:w="5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4"/>
              </w:rPr>
              <w:t>Amount</w:t>
            </w:r>
          </w:p>
        </w:tc>
        <w:tc>
          <w:tcPr>
            <w:tcW w:w="540" w:type="dxa"/>
            <w:vAlign w:val="bottom"/>
          </w:tcPr>
          <w:p>
            <w:pPr>
              <w:spacing w:after="0"/>
              <w:rPr>
                <w:sz w:val="12"/>
                <w:szCs w:val="12"/>
                <w:color w:val="auto"/>
              </w:rPr>
            </w:pPr>
          </w:p>
        </w:tc>
        <w:tc>
          <w:tcPr>
            <w:tcW w:w="110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84"/>
              </w:rPr>
              <w:t>Currency</w:t>
            </w:r>
          </w:p>
        </w:tc>
        <w:tc>
          <w:tcPr>
            <w:tcW w:w="6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Amount</w:t>
            </w:r>
          </w:p>
        </w:tc>
      </w:tr>
      <w:tr>
        <w:trPr>
          <w:trHeight w:val="161"/>
        </w:trPr>
        <w:tc>
          <w:tcPr>
            <w:tcW w:w="660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11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0"/>
              </w:rPr>
              <w:t>Amount</w:t>
            </w:r>
          </w:p>
        </w:tc>
        <w:tc>
          <w:tcPr>
            <w:tcW w:w="540" w:type="dxa"/>
            <w:vAlign w:val="bottom"/>
            <w:gridSpan w:val="3"/>
          </w:tcPr>
          <w:p>
            <w:pPr>
              <w:ind w:left="80"/>
              <w:spacing w:after="0"/>
              <w:rPr>
                <w:sz w:val="20"/>
                <w:szCs w:val="20"/>
                <w:color w:val="auto"/>
              </w:rPr>
            </w:pPr>
            <w:r>
              <w:rPr>
                <w:rFonts w:ascii="Arial" w:cs="Arial" w:eastAsia="Arial" w:hAnsi="Arial"/>
                <w:sz w:val="14"/>
                <w:szCs w:val="14"/>
                <w:b w:val="1"/>
                <w:bCs w:val="1"/>
                <w:color w:val="auto"/>
              </w:rPr>
              <w:t>(USD)</w:t>
            </w:r>
          </w:p>
        </w:tc>
        <w:tc>
          <w:tcPr>
            <w:tcW w:w="540" w:type="dxa"/>
            <w:vAlign w:val="bottom"/>
          </w:tcPr>
          <w:p>
            <w:pPr>
              <w:spacing w:after="0"/>
              <w:rPr>
                <w:sz w:val="14"/>
                <w:szCs w:val="14"/>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0"/>
              </w:rPr>
              <w:t>Amount</w:t>
            </w:r>
          </w:p>
        </w:tc>
        <w:tc>
          <w:tcPr>
            <w:tcW w:w="620" w:type="dxa"/>
            <w:vAlign w:val="bottom"/>
            <w:gridSpan w:val="3"/>
          </w:tcPr>
          <w:p>
            <w:pPr>
              <w:ind w:left="80"/>
              <w:spacing w:after="0"/>
              <w:rPr>
                <w:sz w:val="20"/>
                <w:szCs w:val="20"/>
                <w:color w:val="auto"/>
              </w:rPr>
            </w:pPr>
            <w:r>
              <w:rPr>
                <w:rFonts w:ascii="Arial" w:cs="Arial" w:eastAsia="Arial" w:hAnsi="Arial"/>
                <w:sz w:val="14"/>
                <w:szCs w:val="14"/>
                <w:b w:val="1"/>
                <w:bCs w:val="1"/>
                <w:color w:val="auto"/>
              </w:rPr>
              <w:t>(USD)</w:t>
            </w:r>
          </w:p>
        </w:tc>
      </w:tr>
      <w:tr>
        <w:trPr>
          <w:trHeight w:val="196"/>
        </w:trPr>
        <w:tc>
          <w:tcPr>
            <w:tcW w:w="6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 hedges:</w:t>
            </w:r>
          </w:p>
        </w:tc>
        <w:tc>
          <w:tcPr>
            <w:tcW w:w="5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600" w:type="dxa"/>
            <w:vAlign w:val="bottom"/>
          </w:tcPr>
          <w:p>
            <w:pPr>
              <w:ind w:left="440"/>
              <w:spacing w:after="0"/>
              <w:rPr>
                <w:sz w:val="20"/>
                <w:szCs w:val="20"/>
                <w:color w:val="auto"/>
              </w:rPr>
            </w:pPr>
            <w:r>
              <w:rPr>
                <w:rFonts w:ascii="Arial" w:cs="Arial" w:eastAsia="Arial" w:hAnsi="Arial"/>
                <w:sz w:val="18"/>
                <w:szCs w:val="18"/>
                <w:color w:val="auto"/>
              </w:rPr>
              <w:t>Euro</w:t>
            </w:r>
          </w:p>
        </w:tc>
        <w:tc>
          <w:tcPr>
            <w:tcW w:w="560" w:type="dxa"/>
            <w:vAlign w:val="bottom"/>
          </w:tcPr>
          <w:p>
            <w:pPr>
              <w:jc w:val="right"/>
              <w:spacing w:after="0"/>
              <w:rPr>
                <w:sz w:val="20"/>
                <w:szCs w:val="20"/>
                <w:color w:val="auto"/>
              </w:rPr>
            </w:pPr>
            <w:r>
              <w:rPr>
                <w:rFonts w:ascii="Arial" w:cs="Arial" w:eastAsia="Arial" w:hAnsi="Arial"/>
                <w:sz w:val="18"/>
                <w:szCs w:val="18"/>
                <w:color w:val="auto"/>
              </w:rPr>
              <w:t>3.7</w:t>
            </w:r>
          </w:p>
        </w:tc>
        <w:tc>
          <w:tcPr>
            <w:tcW w:w="5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5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r>
      <w:tr>
        <w:trPr>
          <w:trHeight w:val="216"/>
        </w:trPr>
        <w:tc>
          <w:tcPr>
            <w:tcW w:w="6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Polish zloty</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r>
      <w:tr>
        <w:trPr>
          <w:trHeight w:val="223"/>
        </w:trPr>
        <w:tc>
          <w:tcPr>
            <w:tcW w:w="6600" w:type="dxa"/>
            <w:vAlign w:val="bottom"/>
          </w:tcPr>
          <w:p>
            <w:pPr>
              <w:ind w:left="440"/>
              <w:spacing w:after="0"/>
              <w:rPr>
                <w:sz w:val="20"/>
                <w:szCs w:val="20"/>
                <w:color w:val="auto"/>
              </w:rPr>
            </w:pPr>
            <w:r>
              <w:rPr>
                <w:rFonts w:ascii="Arial" w:cs="Arial" w:eastAsia="Arial" w:hAnsi="Arial"/>
                <w:sz w:val="18"/>
                <w:szCs w:val="18"/>
                <w:color w:val="auto"/>
              </w:rPr>
              <w:t>Other</w:t>
            </w: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N/A</w:t>
            </w:r>
          </w:p>
        </w:tc>
        <w:tc>
          <w:tcPr>
            <w:tcW w:w="1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N/A</w:t>
            </w:r>
          </w:p>
        </w:tc>
        <w:tc>
          <w:tcPr>
            <w:tcW w:w="1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r>
      <w:tr>
        <w:trPr>
          <w:trHeight w:val="216"/>
        </w:trPr>
        <w:tc>
          <w:tcPr>
            <w:tcW w:w="66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cash flow hedges</w:t>
            </w: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w:t>
            </w: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8"/>
                <w:szCs w:val="18"/>
                <w:color w:val="auto"/>
              </w:rPr>
            </w:pPr>
          </w:p>
        </w:tc>
      </w:tr>
      <w:tr>
        <w:trPr>
          <w:trHeight w:val="222"/>
        </w:trPr>
        <w:tc>
          <w:tcPr>
            <w:tcW w:w="6600" w:type="dxa"/>
            <w:vAlign w:val="bottom"/>
          </w:tcPr>
          <w:p>
            <w:pPr>
              <w:spacing w:after="0"/>
              <w:rPr>
                <w:sz w:val="20"/>
                <w:szCs w:val="20"/>
                <w:color w:val="auto"/>
              </w:rPr>
            </w:pPr>
            <w:r>
              <w:rPr>
                <w:rFonts w:ascii="Arial" w:cs="Arial" w:eastAsia="Arial" w:hAnsi="Arial"/>
                <w:sz w:val="18"/>
                <w:szCs w:val="18"/>
                <w:b w:val="1"/>
                <w:bCs w:val="1"/>
                <w:color w:val="auto"/>
              </w:rPr>
              <w:t>Balance sheet hedges:</w:t>
            </w: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6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Canadian dollar</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r>
      <w:tr>
        <w:trPr>
          <w:trHeight w:val="216"/>
        </w:trPr>
        <w:tc>
          <w:tcPr>
            <w:tcW w:w="6600" w:type="dxa"/>
            <w:vAlign w:val="bottom"/>
          </w:tcPr>
          <w:p>
            <w:pPr>
              <w:ind w:left="440"/>
              <w:spacing w:after="0"/>
              <w:rPr>
                <w:sz w:val="20"/>
                <w:szCs w:val="20"/>
                <w:color w:val="auto"/>
              </w:rPr>
            </w:pPr>
            <w:r>
              <w:rPr>
                <w:rFonts w:ascii="Arial" w:cs="Arial" w:eastAsia="Arial" w:hAnsi="Arial"/>
                <w:sz w:val="18"/>
                <w:szCs w:val="18"/>
                <w:color w:val="auto"/>
              </w:rPr>
              <w:t>Euro</w:t>
            </w:r>
          </w:p>
        </w:tc>
        <w:tc>
          <w:tcPr>
            <w:tcW w:w="560" w:type="dxa"/>
            <w:vAlign w:val="bottom"/>
          </w:tcPr>
          <w:p>
            <w:pPr>
              <w:jc w:val="right"/>
              <w:spacing w:after="0"/>
              <w:rPr>
                <w:sz w:val="20"/>
                <w:szCs w:val="20"/>
                <w:color w:val="auto"/>
              </w:rPr>
            </w:pPr>
            <w:r>
              <w:rPr>
                <w:rFonts w:ascii="Arial" w:cs="Arial" w:eastAsia="Arial" w:hAnsi="Arial"/>
                <w:sz w:val="18"/>
                <w:szCs w:val="18"/>
                <w:color w:val="auto"/>
              </w:rPr>
              <w:t>8.9</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12.0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15.1</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21.3</w:t>
            </w:r>
          </w:p>
        </w:tc>
        <w:tc>
          <w:tcPr>
            <w:tcW w:w="100" w:type="dxa"/>
            <w:vAlign w:val="bottom"/>
          </w:tcPr>
          <w:p>
            <w:pPr>
              <w:spacing w:after="0"/>
              <w:rPr>
                <w:sz w:val="18"/>
                <w:szCs w:val="18"/>
                <w:color w:val="auto"/>
              </w:rPr>
            </w:pPr>
          </w:p>
        </w:tc>
      </w:tr>
      <w:tr>
        <w:trPr>
          <w:trHeight w:val="216"/>
        </w:trPr>
        <w:tc>
          <w:tcPr>
            <w:tcW w:w="6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Philippine peso</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181.1</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r>
      <w:tr>
        <w:trPr>
          <w:trHeight w:val="216"/>
        </w:trPr>
        <w:tc>
          <w:tcPr>
            <w:tcW w:w="6600" w:type="dxa"/>
            <w:vAlign w:val="bottom"/>
          </w:tcPr>
          <w:p>
            <w:pPr>
              <w:ind w:left="440"/>
              <w:spacing w:after="0"/>
              <w:rPr>
                <w:sz w:val="20"/>
                <w:szCs w:val="20"/>
                <w:color w:val="auto"/>
              </w:rPr>
            </w:pPr>
            <w:r>
              <w:rPr>
                <w:rFonts w:ascii="Arial" w:cs="Arial" w:eastAsia="Arial" w:hAnsi="Arial"/>
                <w:sz w:val="18"/>
                <w:szCs w:val="18"/>
                <w:color w:val="auto"/>
              </w:rPr>
              <w:t>Polish zloty</w:t>
            </w:r>
          </w:p>
        </w:tc>
        <w:tc>
          <w:tcPr>
            <w:tcW w:w="560" w:type="dxa"/>
            <w:vAlign w:val="bottom"/>
          </w:tcPr>
          <w:p>
            <w:pPr>
              <w:jc w:val="right"/>
              <w:spacing w:after="0"/>
              <w:rPr>
                <w:sz w:val="20"/>
                <w:szCs w:val="20"/>
                <w:color w:val="auto"/>
              </w:rPr>
            </w:pPr>
            <w:r>
              <w:rPr>
                <w:rFonts w:ascii="Arial" w:cs="Arial" w:eastAsia="Arial" w:hAnsi="Arial"/>
                <w:sz w:val="18"/>
                <w:szCs w:val="18"/>
                <w:color w:val="auto"/>
              </w:rPr>
              <w:t>15.9</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23.8</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8"/>
                <w:szCs w:val="18"/>
                <w:color w:val="auto"/>
              </w:rPr>
            </w:pPr>
          </w:p>
        </w:tc>
      </w:tr>
      <w:tr>
        <w:trPr>
          <w:trHeight w:val="216"/>
        </w:trPr>
        <w:tc>
          <w:tcPr>
            <w:tcW w:w="6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Singapore dollar</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r>
      <w:tr>
        <w:trPr>
          <w:trHeight w:val="216"/>
        </w:trPr>
        <w:tc>
          <w:tcPr>
            <w:tcW w:w="6600" w:type="dxa"/>
            <w:vAlign w:val="bottom"/>
          </w:tcPr>
          <w:p>
            <w:pPr>
              <w:ind w:left="440"/>
              <w:spacing w:after="0"/>
              <w:rPr>
                <w:sz w:val="20"/>
                <w:szCs w:val="20"/>
                <w:color w:val="auto"/>
              </w:rPr>
            </w:pPr>
            <w:r>
              <w:rPr>
                <w:rFonts w:ascii="Arial" w:cs="Arial" w:eastAsia="Arial" w:hAnsi="Arial"/>
                <w:sz w:val="18"/>
                <w:szCs w:val="18"/>
                <w:color w:val="auto"/>
              </w:rPr>
              <w:t>Thailand baht</w:t>
            </w:r>
          </w:p>
        </w:tc>
        <w:tc>
          <w:tcPr>
            <w:tcW w:w="560" w:type="dxa"/>
            <w:vAlign w:val="bottom"/>
          </w:tcPr>
          <w:p>
            <w:pPr>
              <w:jc w:val="right"/>
              <w:spacing w:after="0"/>
              <w:rPr>
                <w:sz w:val="20"/>
                <w:szCs w:val="20"/>
                <w:color w:val="auto"/>
              </w:rPr>
            </w:pPr>
            <w:r>
              <w:rPr>
                <w:rFonts w:ascii="Arial" w:cs="Arial" w:eastAsia="Arial" w:hAnsi="Arial"/>
                <w:sz w:val="18"/>
                <w:szCs w:val="18"/>
                <w:color w:val="auto"/>
              </w:rPr>
              <w:t>58.2</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63.9</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r>
      <w:tr>
        <w:trPr>
          <w:trHeight w:val="216"/>
        </w:trPr>
        <w:tc>
          <w:tcPr>
            <w:tcW w:w="6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Republic of South Africa rand</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8"/>
                <w:szCs w:val="18"/>
                <w:color w:val="auto"/>
              </w:rPr>
            </w:pPr>
          </w:p>
        </w:tc>
      </w:tr>
      <w:tr>
        <w:trPr>
          <w:trHeight w:val="223"/>
        </w:trPr>
        <w:tc>
          <w:tcPr>
            <w:tcW w:w="6600" w:type="dxa"/>
            <w:vAlign w:val="bottom"/>
          </w:tcPr>
          <w:p>
            <w:pPr>
              <w:ind w:left="440"/>
              <w:spacing w:after="0"/>
              <w:rPr>
                <w:sz w:val="20"/>
                <w:szCs w:val="20"/>
                <w:color w:val="auto"/>
              </w:rPr>
            </w:pPr>
            <w:r>
              <w:rPr>
                <w:rFonts w:ascii="Arial" w:cs="Arial" w:eastAsia="Arial" w:hAnsi="Arial"/>
                <w:sz w:val="18"/>
                <w:szCs w:val="18"/>
                <w:color w:val="auto"/>
              </w:rPr>
              <w:t>Other</w:t>
            </w: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N/A</w:t>
            </w:r>
          </w:p>
        </w:tc>
        <w:tc>
          <w:tcPr>
            <w:tcW w:w="1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N/A</w:t>
            </w:r>
          </w:p>
        </w:tc>
        <w:tc>
          <w:tcPr>
            <w:tcW w:w="1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r>
      <w:tr>
        <w:trPr>
          <w:trHeight w:val="216"/>
        </w:trPr>
        <w:tc>
          <w:tcPr>
            <w:tcW w:w="66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non-designated hedges</w:t>
            </w: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52.1</w:t>
            </w:r>
          </w:p>
        </w:tc>
        <w:tc>
          <w:tcPr>
            <w:tcW w:w="100" w:type="dxa"/>
            <w:vAlign w:val="bottom"/>
            <w:shd w:val="clear" w:color="auto" w:fill="CCEEFF"/>
          </w:tcPr>
          <w:p>
            <w:pPr>
              <w:spacing w:after="0"/>
              <w:rPr>
                <w:sz w:val="18"/>
                <w:szCs w:val="18"/>
                <w:color w:val="auto"/>
              </w:rPr>
            </w:pPr>
          </w:p>
        </w:tc>
      </w:tr>
      <w:tr>
        <w:trPr>
          <w:trHeight w:val="222"/>
        </w:trPr>
        <w:tc>
          <w:tcPr>
            <w:tcW w:w="66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48.0</w:t>
            </w: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61.5</w:t>
            </w:r>
          </w:p>
        </w:tc>
        <w:tc>
          <w:tcPr>
            <w:tcW w:w="100" w:type="dxa"/>
            <w:vAlign w:val="bottom"/>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the fair value of derivative instruments included within our consolidated balance sheets as of September 30, 2011 and July 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2011.</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060" w:type="dxa"/>
            <w:vAlign w:val="bottom"/>
            <w:tcBorders>
              <w:bottom w:val="single" w:sz="8" w:color="auto"/>
            </w:tcBorders>
            <w:gridSpan w:val="4"/>
          </w:tcPr>
          <w:p>
            <w:pPr>
              <w:ind w:left="920"/>
              <w:spacing w:after="0"/>
              <w:rPr>
                <w:sz w:val="20"/>
                <w:szCs w:val="20"/>
                <w:color w:val="auto"/>
              </w:rPr>
            </w:pPr>
            <w:r>
              <w:rPr>
                <w:rFonts w:ascii="Arial" w:cs="Arial" w:eastAsia="Arial" w:hAnsi="Arial"/>
                <w:sz w:val="14"/>
                <w:szCs w:val="14"/>
                <w:b w:val="1"/>
                <w:bCs w:val="1"/>
                <w:color w:val="auto"/>
                <w:w w:val="95"/>
              </w:rPr>
              <w:t>Asset Derivatives</w:t>
            </w:r>
          </w:p>
        </w:tc>
        <w:tc>
          <w:tcPr>
            <w:tcW w:w="4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60" w:type="dxa"/>
            <w:vAlign w:val="bottom"/>
            <w:tcBorders>
              <w:bottom w:val="single" w:sz="8" w:color="auto"/>
            </w:tcBorders>
            <w:gridSpan w:val="5"/>
          </w:tcPr>
          <w:p>
            <w:pPr>
              <w:jc w:val="right"/>
              <w:ind w:right="440"/>
              <w:spacing w:after="0"/>
              <w:rPr>
                <w:sz w:val="20"/>
                <w:szCs w:val="20"/>
                <w:color w:val="auto"/>
              </w:rPr>
            </w:pPr>
            <w:r>
              <w:rPr>
                <w:rFonts w:ascii="Arial" w:cs="Arial" w:eastAsia="Arial" w:hAnsi="Arial"/>
                <w:sz w:val="14"/>
                <w:szCs w:val="14"/>
                <w:b w:val="1"/>
                <w:bCs w:val="1"/>
                <w:color w:val="auto"/>
              </w:rPr>
              <w:t>Liability Derivatives</w:t>
            </w: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220" w:type="dxa"/>
            <w:vAlign w:val="bottom"/>
          </w:tcPr>
          <w:p>
            <w:pPr>
              <w:spacing w:after="0"/>
              <w:rPr>
                <w:sz w:val="11"/>
                <w:szCs w:val="11"/>
                <w:color w:val="auto"/>
              </w:rPr>
            </w:pPr>
          </w:p>
        </w:tc>
        <w:tc>
          <w:tcPr>
            <w:tcW w:w="940" w:type="dxa"/>
            <w:vAlign w:val="bottom"/>
          </w:tcPr>
          <w:p>
            <w:pPr>
              <w:ind w:left="60"/>
              <w:spacing w:after="0" w:line="129" w:lineRule="exact"/>
              <w:rPr>
                <w:sz w:val="20"/>
                <w:szCs w:val="20"/>
                <w:color w:val="auto"/>
              </w:rPr>
            </w:pPr>
            <w:r>
              <w:rPr>
                <w:rFonts w:ascii="Arial" w:cs="Arial" w:eastAsia="Arial" w:hAnsi="Arial"/>
                <w:sz w:val="14"/>
                <w:szCs w:val="14"/>
                <w:b w:val="1"/>
                <w:bCs w:val="1"/>
                <w:color w:val="auto"/>
                <w:w w:val="89"/>
              </w:rPr>
              <w:t>Balance Sheet</w:t>
            </w:r>
          </w:p>
        </w:tc>
        <w:tc>
          <w:tcPr>
            <w:tcW w:w="300" w:type="dxa"/>
            <w:vAlign w:val="bottom"/>
          </w:tcPr>
          <w:p>
            <w:pPr>
              <w:spacing w:after="0"/>
              <w:rPr>
                <w:sz w:val="11"/>
                <w:szCs w:val="11"/>
                <w:color w:val="auto"/>
              </w:rPr>
            </w:pPr>
          </w:p>
        </w:tc>
        <w:tc>
          <w:tcPr>
            <w:tcW w:w="8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400" w:type="dxa"/>
            <w:vAlign w:val="bottom"/>
          </w:tcPr>
          <w:p>
            <w:pPr>
              <w:spacing w:after="0"/>
              <w:rPr>
                <w:sz w:val="11"/>
                <w:szCs w:val="11"/>
                <w:color w:val="auto"/>
              </w:rPr>
            </w:pPr>
          </w:p>
        </w:tc>
        <w:tc>
          <w:tcPr>
            <w:tcW w:w="3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2"/>
              </w:rPr>
              <w:t>July 1,</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Balance Sheet</w:t>
            </w:r>
          </w:p>
        </w:tc>
        <w:tc>
          <w:tcPr>
            <w:tcW w:w="300" w:type="dxa"/>
            <w:vAlign w:val="bottom"/>
          </w:tcPr>
          <w:p>
            <w:pPr>
              <w:spacing w:after="0"/>
              <w:rPr>
                <w:sz w:val="11"/>
                <w:szCs w:val="11"/>
                <w:color w:val="auto"/>
              </w:rPr>
            </w:pPr>
          </w:p>
        </w:tc>
        <w:tc>
          <w:tcPr>
            <w:tcW w:w="12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3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2"/>
              </w:rPr>
              <w:t>July 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24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940" w:type="dxa"/>
            <w:vAlign w:val="bottom"/>
          </w:tcPr>
          <w:p>
            <w:pPr>
              <w:ind w:left="220"/>
              <w:spacing w:after="0"/>
              <w:rPr>
                <w:sz w:val="20"/>
                <w:szCs w:val="20"/>
                <w:color w:val="auto"/>
              </w:rPr>
            </w:pPr>
            <w:r>
              <w:rPr>
                <w:rFonts w:ascii="Arial" w:cs="Arial" w:eastAsia="Arial" w:hAnsi="Arial"/>
                <w:sz w:val="14"/>
                <w:szCs w:val="14"/>
                <w:b w:val="1"/>
                <w:bCs w:val="1"/>
                <w:color w:val="auto"/>
              </w:rPr>
              <w:t>Location</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97"/>
              <w:spacing w:after="0"/>
              <w:rPr>
                <w:sz w:val="20"/>
                <w:szCs w:val="20"/>
                <w:color w:val="auto"/>
              </w:rPr>
            </w:pPr>
            <w:r>
              <w:rPr>
                <w:rFonts w:ascii="Arial" w:cs="Arial" w:eastAsia="Arial" w:hAnsi="Arial"/>
                <w:sz w:val="14"/>
                <w:szCs w:val="14"/>
                <w:b w:val="1"/>
                <w:bCs w:val="1"/>
                <w:color w:val="auto"/>
              </w:rPr>
              <w:t>2011</w:t>
            </w:r>
          </w:p>
        </w:tc>
        <w:tc>
          <w:tcPr>
            <w:tcW w:w="7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5"/>
              </w:rPr>
              <w:t>Location</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97"/>
              <w:spacing w:after="0"/>
              <w:rPr>
                <w:sz w:val="20"/>
                <w:szCs w:val="20"/>
                <w:color w:val="auto"/>
              </w:rPr>
            </w:pPr>
            <w:r>
              <w:rPr>
                <w:rFonts w:ascii="Arial" w:cs="Arial" w:eastAsia="Arial" w:hAnsi="Arial"/>
                <w:sz w:val="14"/>
                <w:szCs w:val="14"/>
                <w:b w:val="1"/>
                <w:bCs w:val="1"/>
                <w:color w:val="auto"/>
              </w:rPr>
              <w:t>2011</w:t>
            </w:r>
          </w:p>
        </w:tc>
        <w:tc>
          <w:tcPr>
            <w:tcW w:w="400" w:type="dxa"/>
            <w:vAlign w:val="bottom"/>
          </w:tcPr>
          <w:p>
            <w:pPr>
              <w:spacing w:after="0"/>
              <w:rPr>
                <w:sz w:val="14"/>
                <w:szCs w:val="14"/>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Derivatives designated as hedging instruments:</w:t>
            </w:r>
          </w:p>
        </w:tc>
        <w:tc>
          <w:tcPr>
            <w:tcW w:w="9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Foreign exchange forward contracts</w:t>
            </w:r>
          </w:p>
        </w:tc>
        <w:tc>
          <w:tcPr>
            <w:tcW w:w="940" w:type="dxa"/>
            <w:vAlign w:val="bottom"/>
          </w:tcPr>
          <w:p>
            <w:pPr>
              <w:spacing w:after="0"/>
              <w:rPr>
                <w:sz w:val="20"/>
                <w:szCs w:val="20"/>
                <w:color w:val="auto"/>
              </w:rPr>
            </w:pPr>
            <w:r>
              <w:rPr>
                <w:rFonts w:ascii="Arial" w:cs="Arial" w:eastAsia="Arial" w:hAnsi="Arial"/>
                <w:sz w:val="18"/>
                <w:szCs w:val="18"/>
                <w:color w:val="auto"/>
                <w:w w:val="86"/>
              </w:rPr>
              <w:t>Other current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ind w:left="200"/>
              <w:spacing w:after="0"/>
              <w:rPr>
                <w:sz w:val="20"/>
                <w:szCs w:val="20"/>
                <w:color w:val="auto"/>
              </w:rPr>
            </w:pPr>
            <w:r>
              <w:rPr>
                <w:rFonts w:ascii="Arial" w:cs="Arial" w:eastAsia="Arial" w:hAnsi="Arial"/>
                <w:sz w:val="18"/>
                <w:szCs w:val="18"/>
                <w:color w:val="auto"/>
                <w:w w:val="86"/>
              </w:rPr>
              <w:t>Other current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assets</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0.8</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0.1</w:t>
            </w:r>
          </w:p>
        </w:tc>
        <w:tc>
          <w:tcPr>
            <w:tcW w:w="1140" w:type="dxa"/>
            <w:vAlign w:val="bottom"/>
            <w:gridSpan w:val="2"/>
          </w:tcPr>
          <w:p>
            <w:pPr>
              <w:ind w:left="200"/>
              <w:spacing w:after="0"/>
              <w:rPr>
                <w:sz w:val="20"/>
                <w:szCs w:val="20"/>
                <w:color w:val="auto"/>
              </w:rPr>
            </w:pPr>
            <w:r>
              <w:rPr>
                <w:rFonts w:ascii="Arial" w:cs="Arial" w:eastAsia="Arial" w:hAnsi="Arial"/>
                <w:sz w:val="18"/>
                <w:szCs w:val="18"/>
                <w:color w:val="auto"/>
              </w:rPr>
              <w:t>liabilities</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Foreign exchange forward contracts</w:t>
            </w:r>
          </w:p>
        </w:tc>
        <w:tc>
          <w:tcPr>
            <w:tcW w:w="940" w:type="dxa"/>
            <w:vAlign w:val="bottom"/>
          </w:tcPr>
          <w:p>
            <w:pPr>
              <w:spacing w:after="0"/>
              <w:rPr>
                <w:sz w:val="20"/>
                <w:szCs w:val="20"/>
                <w:color w:val="auto"/>
              </w:rPr>
            </w:pPr>
            <w:r>
              <w:rPr>
                <w:rFonts w:ascii="Arial" w:cs="Arial" w:eastAsia="Arial" w:hAnsi="Arial"/>
                <w:sz w:val="18"/>
                <w:szCs w:val="18"/>
                <w:color w:val="auto"/>
                <w:w w:val="86"/>
              </w:rPr>
              <w:t>Other current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ind w:left="200"/>
              <w:spacing w:after="0"/>
              <w:rPr>
                <w:sz w:val="20"/>
                <w:szCs w:val="20"/>
                <w:color w:val="auto"/>
              </w:rPr>
            </w:pPr>
            <w:r>
              <w:rPr>
                <w:rFonts w:ascii="Arial" w:cs="Arial" w:eastAsia="Arial" w:hAnsi="Arial"/>
                <w:sz w:val="18"/>
                <w:szCs w:val="18"/>
                <w:color w:val="auto"/>
                <w:w w:val="86"/>
              </w:rPr>
              <w:t>Other current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assets</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0.1</w:t>
            </w:r>
          </w:p>
        </w:tc>
        <w:tc>
          <w:tcPr>
            <w:tcW w:w="1140" w:type="dxa"/>
            <w:vAlign w:val="bottom"/>
            <w:gridSpan w:val="2"/>
          </w:tcPr>
          <w:p>
            <w:pPr>
              <w:ind w:left="200"/>
              <w:spacing w:after="0"/>
              <w:rPr>
                <w:sz w:val="20"/>
                <w:szCs w:val="20"/>
                <w:color w:val="auto"/>
              </w:rPr>
            </w:pPr>
            <w:r>
              <w:rPr>
                <w:rFonts w:ascii="Arial" w:cs="Arial" w:eastAsia="Arial" w:hAnsi="Arial"/>
                <w:sz w:val="18"/>
                <w:szCs w:val="18"/>
                <w:color w:val="auto"/>
              </w:rPr>
              <w:t>liabilities</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derivatives</w:t>
            </w:r>
          </w:p>
        </w:tc>
        <w:tc>
          <w:tcPr>
            <w:tcW w:w="9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0.2</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following table summarizes the location and amount of the gains and losses on derivative instruments reported in our financial statements during the first quarter of fiscal 2012 and fiscal 2011:</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w w:val="88"/>
              </w:rPr>
              <w:t>Quarter Ended</w:t>
            </w: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Locations of Gain (Losses) on Derivative Instruments</w:t>
            </w:r>
          </w:p>
        </w:tc>
        <w:tc>
          <w:tcPr>
            <w:tcW w:w="15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64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6"/>
              </w:rPr>
              <w:t>October 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824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ind w:left="100"/>
              <w:spacing w:after="0" w:line="148"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3"/>
                <w:szCs w:val="13"/>
                <w:color w:val="auto"/>
              </w:rPr>
            </w:pPr>
          </w:p>
        </w:tc>
        <w:tc>
          <w:tcPr>
            <w:tcW w:w="480" w:type="dxa"/>
            <w:vAlign w:val="bottom"/>
          </w:tcPr>
          <w:p>
            <w:pPr>
              <w:ind w:left="40"/>
              <w:spacing w:after="0" w:line="148"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260" w:type="dxa"/>
            <w:vAlign w:val="bottom"/>
            <w:tcBorders>
              <w:top w:val="single" w:sz="8" w:color="auto"/>
            </w:tcBorders>
          </w:tcPr>
          <w:p>
            <w:pPr>
              <w:spacing w:after="0"/>
              <w:rPr>
                <w:sz w:val="12"/>
                <w:szCs w:val="12"/>
                <w:color w:val="auto"/>
              </w:rPr>
            </w:pPr>
          </w:p>
        </w:tc>
        <w:tc>
          <w:tcPr>
            <w:tcW w:w="49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ind w:left="540"/>
              <w:spacing w:after="0" w:line="149" w:lineRule="exact"/>
              <w:rPr>
                <w:sz w:val="20"/>
                <w:szCs w:val="20"/>
                <w:color w:val="auto"/>
              </w:rPr>
            </w:pPr>
            <w:r>
              <w:rPr>
                <w:rFonts w:ascii="Arial" w:cs="Arial" w:eastAsia="Arial" w:hAnsi="Arial"/>
                <w:sz w:val="14"/>
                <w:szCs w:val="14"/>
                <w:b w:val="1"/>
                <w:bCs w:val="1"/>
                <w:color w:val="auto"/>
                <w:w w:val="99"/>
              </w:rPr>
              <w:t>(In millions)</w:t>
            </w:r>
          </w:p>
        </w:tc>
        <w:tc>
          <w:tcPr>
            <w:tcW w:w="1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Designated as cash flow hedges </w:t>
            </w:r>
            <w:r>
              <w:rPr>
                <w:rFonts w:ascii="Arial" w:cs="Arial" w:eastAsia="Arial" w:hAnsi="Arial"/>
                <w:sz w:val="18"/>
                <w:szCs w:val="18"/>
                <w:color w:val="auto"/>
              </w:rPr>
              <w:t>(foreign exchange forward contracts)</w:t>
            </w: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gridSpan w:val="2"/>
          </w:tcPr>
          <w:p>
            <w:pPr>
              <w:spacing w:after="0"/>
              <w:rPr>
                <w:sz w:val="20"/>
                <w:szCs w:val="20"/>
                <w:color w:val="auto"/>
              </w:rPr>
            </w:pPr>
            <w:r>
              <w:rPr>
                <w:rFonts w:ascii="Arial" w:cs="Arial" w:eastAsia="Arial" w:hAnsi="Arial"/>
                <w:sz w:val="18"/>
                <w:szCs w:val="18"/>
                <w:color w:val="auto"/>
              </w:rPr>
              <w:t>Effective portion of gain (loss) recognized in OCI</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tcPr>
          <w:p>
            <w:pPr>
              <w:ind w:left="420"/>
              <w:spacing w:after="0"/>
              <w:rPr>
                <w:sz w:val="20"/>
                <w:szCs w:val="20"/>
                <w:color w:val="auto"/>
              </w:rPr>
            </w:pPr>
            <w:r>
              <w:rPr>
                <w:rFonts w:ascii="Arial" w:cs="Arial" w:eastAsia="Arial" w:hAnsi="Arial"/>
                <w:sz w:val="18"/>
                <w:szCs w:val="18"/>
                <w:color w:val="auto"/>
              </w:rPr>
              <w:t>0.7</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200"/>
              <w:spacing w:after="0"/>
              <w:rPr>
                <w:sz w:val="20"/>
                <w:szCs w:val="20"/>
                <w:color w:val="auto"/>
              </w:rPr>
            </w:pPr>
            <w:r>
              <w:rPr>
                <w:rFonts w:ascii="Arial" w:cs="Arial" w:eastAsia="Arial" w:hAnsi="Arial"/>
                <w:sz w:val="18"/>
                <w:szCs w:val="18"/>
                <w:color w:val="auto"/>
                <w:w w:val="97"/>
              </w:rPr>
              <w:t>(0.3)</w:t>
            </w:r>
          </w:p>
        </w:tc>
        <w:tc>
          <w:tcPr>
            <w:tcW w:w="0" w:type="dxa"/>
            <w:vAlign w:val="bottom"/>
          </w:tcPr>
          <w:p>
            <w:pPr>
              <w:spacing w:after="0"/>
              <w:rPr>
                <w:sz w:val="1"/>
                <w:szCs w:val="1"/>
                <w:color w:val="auto"/>
              </w:rPr>
            </w:pPr>
          </w:p>
        </w:tc>
      </w:tr>
      <w:tr>
        <w:trPr>
          <w:trHeight w:val="216"/>
        </w:trPr>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Effective portion of gain (loss) reclassified from AOCI into:</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gridSpan w:val="2"/>
          </w:tcPr>
          <w:p>
            <w:pPr>
              <w:ind w:left="440"/>
              <w:spacing w:after="0"/>
              <w:rPr>
                <w:sz w:val="20"/>
                <w:szCs w:val="20"/>
                <w:color w:val="auto"/>
              </w:rPr>
            </w:pPr>
            <w:r>
              <w:rPr>
                <w:rFonts w:ascii="Arial" w:cs="Arial" w:eastAsia="Arial" w:hAnsi="Arial"/>
                <w:sz w:val="18"/>
                <w:szCs w:val="18"/>
                <w:color w:val="auto"/>
              </w:rPr>
              <w:t>Revenue</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tcPr>
          <w:p>
            <w:pPr>
              <w:ind w:left="380"/>
              <w:spacing w:after="0"/>
              <w:rPr>
                <w:sz w:val="20"/>
                <w:szCs w:val="20"/>
                <w:color w:val="auto"/>
              </w:rPr>
            </w:pPr>
            <w:r>
              <w:rPr>
                <w:rFonts w:ascii="Arial" w:cs="Arial" w:eastAsia="Arial" w:hAnsi="Arial"/>
                <w:sz w:val="18"/>
                <w:szCs w:val="18"/>
                <w:color w:val="auto"/>
              </w:rPr>
              <w:t>—</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200"/>
              <w:spacing w:after="0"/>
              <w:rPr>
                <w:sz w:val="20"/>
                <w:szCs w:val="20"/>
                <w:color w:val="auto"/>
              </w:rPr>
            </w:pPr>
            <w:r>
              <w:rPr>
                <w:rFonts w:ascii="Arial" w:cs="Arial" w:eastAsia="Arial" w:hAnsi="Arial"/>
                <w:sz w:val="18"/>
                <w:szCs w:val="18"/>
                <w:color w:val="auto"/>
                <w:w w:val="97"/>
              </w:rPr>
              <w:t>(0.2)</w:t>
            </w:r>
          </w:p>
        </w:tc>
        <w:tc>
          <w:tcPr>
            <w:tcW w:w="0" w:type="dxa"/>
            <w:vAlign w:val="bottom"/>
          </w:tcPr>
          <w:p>
            <w:pPr>
              <w:spacing w:after="0"/>
              <w:rPr>
                <w:sz w:val="1"/>
                <w:szCs w:val="1"/>
                <w:color w:val="auto"/>
              </w:rPr>
            </w:pPr>
          </w:p>
        </w:tc>
      </w:tr>
      <w:tr>
        <w:trPr>
          <w:trHeight w:val="216"/>
        </w:trPr>
        <w:tc>
          <w:tcPr>
            <w:tcW w:w="8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Cost of product sales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7"/>
              </w:rPr>
              <w:t>(0.1)</w:t>
            </w:r>
          </w:p>
        </w:tc>
        <w:tc>
          <w:tcPr>
            <w:tcW w:w="0" w:type="dxa"/>
            <w:vAlign w:val="bottom"/>
          </w:tcPr>
          <w:p>
            <w:pPr>
              <w:spacing w:after="0"/>
              <w:rPr>
                <w:sz w:val="1"/>
                <w:szCs w:val="1"/>
                <w:color w:val="auto"/>
              </w:rPr>
            </w:pPr>
          </w:p>
        </w:tc>
      </w:tr>
      <w:tr>
        <w:trPr>
          <w:trHeight w:val="216"/>
        </w:trPr>
        <w:tc>
          <w:tcPr>
            <w:tcW w:w="8240" w:type="dxa"/>
            <w:vAlign w:val="bottom"/>
            <w:gridSpan w:val="2"/>
          </w:tcPr>
          <w:p>
            <w:pPr>
              <w:spacing w:after="0"/>
              <w:rPr>
                <w:sz w:val="20"/>
                <w:szCs w:val="20"/>
                <w:color w:val="auto"/>
              </w:rPr>
            </w:pPr>
            <w:r>
              <w:rPr>
                <w:rFonts w:ascii="Arial" w:cs="Arial" w:eastAsia="Arial" w:hAnsi="Arial"/>
                <w:sz w:val="18"/>
                <w:szCs w:val="18"/>
                <w:color w:val="auto"/>
              </w:rPr>
              <w:t>Gain (loss) associated with excluded time value recognized in cost of product sales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tcPr>
          <w:p>
            <w:pPr>
              <w:ind w:left="380"/>
              <w:spacing w:after="0"/>
              <w:rPr>
                <w:sz w:val="20"/>
                <w:szCs w:val="20"/>
                <w:color w:val="auto"/>
              </w:rPr>
            </w:pPr>
            <w:r>
              <w:rPr>
                <w:rFonts w:ascii="Arial" w:cs="Arial" w:eastAsia="Arial" w:hAnsi="Arial"/>
                <w:sz w:val="18"/>
                <w:szCs w:val="18"/>
                <w:color w:val="auto"/>
              </w:rPr>
              <w:t>—</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(loss) due to hedge ineffectiveness recognized in cost of product sales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Not designated as balance sheet hedges </w:t>
            </w:r>
            <w:r>
              <w:rPr>
                <w:rFonts w:ascii="Arial" w:cs="Arial" w:eastAsia="Arial" w:hAnsi="Arial"/>
                <w:sz w:val="18"/>
                <w:szCs w:val="18"/>
                <w:color w:val="auto"/>
              </w:rPr>
              <w:t>(foreign exchange forward contracts)</w:t>
            </w: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(loss) recognized in cost of product sales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7"/>
              </w:rPr>
              <w:t>(0.9)</w:t>
            </w: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are exposed to credit-related losses in the event of non-performance by counterparties to hedging instruments. The counterparties to all derivative transactions are major financial institutions with investment grade credit ratings. However, this does not eliminate our exposure to credit risk with these institutions. Should any of these counterparties fail to perform as contracted, we could incur interest charges and unanticipated gains or losses on the settlement of the derivatives in addition to the recorded fair value of the derivative due to non-delivery of the currency. To manage this risk, we have established strict counterparty credit guidelines and maintain credit relationships with more than one financial institutions providing foreign currency exchange services in accordance with corporate policy. As a result of the above considerations, we consider the risk of counterparty default to be immaterial.</w:t>
      </w:r>
    </w:p>
    <w:p>
      <w:pPr>
        <w:spacing w:after="0" w:line="12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credit facilities we have with financial institutions under which we transact foreign exchange transactions are generally restricted to a total notional amount outstanding, a maximum settlement amount in any one day and a maximum term. There are no formal written agreements supporting these facilities other than the financial institutions’ general terms and conditions for trading. None of the facilities are collateralized and none require compliance with financial covenants or contain cross default or other provisions which could affect other credit arrangements we have with the same or other banks. If we fail to deliver currencies as required upon settlement of a trade, the bank may require early settlement on a net basis of all derivatives outstanding and if any amounts are still owing to the bank, they may charge any cash account we have with the bank for that amount.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Legal Proceedings</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and certain of our former executive officers and directors were named in a federal securities class action complaint filed on September 15, 2008 in the United States District Court for the District of Delaware by plaintiff Norfolk County Retirement System on behalf of an alleged class of purchasers of our securities from January 29, 2007 to July 30, 2008, including stockholders of Stratex Networks, Inc. who exchanged shares of Stratex Networks, Inc. for our shares as part of the merger between Stratex Networks and the Microwave Communications Division of Harris Corporation (“MCD”). This action relates to the restatement of our prior financial statements as discussed in our fiscal 2008 Annual Report on Form 10-K filed with the Securities and Exchange Commission on September 25, 2008. Similar complaints were filed in the United States District Court of Delaware on October 6 and October 30,</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318" w:lineRule="auto"/>
        <w:rPr>
          <w:sz w:val="20"/>
          <w:szCs w:val="20"/>
          <w:color w:val="auto"/>
        </w:rPr>
      </w:pPr>
      <w:r>
        <w:rPr>
          <w:rFonts w:ascii="Arial" w:cs="Arial" w:eastAsia="Arial" w:hAnsi="Arial"/>
          <w:sz w:val="15"/>
          <w:szCs w:val="15"/>
          <w:color w:val="auto"/>
        </w:rPr>
        <w:t>2008. Each complaint alleges violations of Sections 10(b) and 20(a) of the Securities Exchange Act of 1934 and Rule 10b-5 promulgated thereunder, as well as violations of Sections 11 and 15 of the Securities Act of 1933 and seeks, among other relief, determinations that the action is a proper class action, unspecified compensatory damages and reasonable attorneys’ fees and costs. The actions were consolidated on June 5, 2009 and a consolidated class action complaint was filed on July 29, 2009 (“Dutton”). On July 27, 2010, the Court denied the motions to dismiss that we and the officer and director defendants had filed. On September 9, 2010, we and the officer and director defendants filed an answer denying the material allegations of the consolidated class action complaint.</w:t>
      </w:r>
    </w:p>
    <w:p>
      <w:pPr>
        <w:spacing w:after="0" w:line="10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 xml:space="preserve">On May 31, 2011, we and the other named defendants entered into a stipulation of settlement (“Stipulation”) with respect to the </w:t>
      </w:r>
      <w:r>
        <w:rPr>
          <w:rFonts w:ascii="Arial" w:cs="Arial" w:eastAsia="Arial" w:hAnsi="Arial"/>
          <w:sz w:val="16"/>
          <w:szCs w:val="16"/>
          <w:i w:val="1"/>
          <w:iCs w:val="1"/>
          <w:color w:val="auto"/>
        </w:rPr>
        <w:t>Dutton</w:t>
      </w:r>
      <w:r>
        <w:rPr>
          <w:rFonts w:ascii="Arial" w:cs="Arial" w:eastAsia="Arial" w:hAnsi="Arial"/>
          <w:sz w:val="16"/>
          <w:szCs w:val="16"/>
          <w:color w:val="auto"/>
        </w:rPr>
        <w:t xml:space="preserve"> action, pursuant to which we are to cause $8.9 million to be paid into a settlement fund. The entire settlement amount is covered by insurance and has been assumed by the insurance company. A motion for preliminary approval of the settlement was filed with the Court on June 1, 2011 and the Court issued its order preliminarily approving the settlement on June 21, 2011. The hearing for final approval of the settlement took place on September 16, 2011.</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effectiveness of the Stipulation and the settlement incorporated therein is conditioned on the following remaining conditions:</w:t>
      </w:r>
    </w:p>
    <w:p>
      <w:pPr>
        <w:spacing w:after="0" w:line="90" w:lineRule="exact"/>
        <w:rPr>
          <w:sz w:val="20"/>
          <w:szCs w:val="20"/>
          <w:color w:val="auto"/>
        </w:rPr>
      </w:pPr>
    </w:p>
    <w:p>
      <w:pPr>
        <w:ind w:left="900" w:right="80" w:hanging="446"/>
        <w:spacing w:after="0" w:line="306"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and Harris Corporation’s option to terminate the Stipulation if prior to the settlement hearing the aggregate number of shares of Aviat Network’s common stock purchased during the class period by all class members who would otherwise be entitled to participate in the settlement but who validly request exclusion equals or exceeds the sum specified in a supplemental agreement between the parties;</w:t>
      </w:r>
    </w:p>
    <w:p>
      <w:pPr>
        <w:spacing w:after="0" w:line="25" w:lineRule="exact"/>
        <w:rPr>
          <w:rFonts w:ascii="Arial" w:cs="Arial" w:eastAsia="Arial" w:hAnsi="Arial"/>
          <w:sz w:val="16"/>
          <w:szCs w:val="16"/>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Court entering an order of final approval of the Class Action settlement;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Court entering judgment in the Class Action;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judgment becoming final.</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can be no assurance that the settlement will be approved or become effective.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Court entered a Judgment and Order of Dismissal with Prejudice on October 11, 2011.</w:t>
      </w:r>
    </w:p>
    <w:p>
      <w:pPr>
        <w:spacing w:after="0" w:line="171"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Certain of our former executive officers and directors were named in a complaint filed on July 18, 2011 in the United States District Court for the District of Delaware by plaintiff Howard Taylor. Plaintiff purports to bring this action derivatively on behalf of Aviat Networks, which is named as a nominal defendant. Plaintiff brings a claim for breach of fiduciary duty against the officer and director defendants based on the allegations of securities law violations alleged in the class action described above and also alleges that the defendants caused us to acquire MCD at an inflated price. Plaintiff seeks to recover unspecified damages and other relief on behalf of Aviat Networks, as well as payment of costs and attorneys fees. We filed a motion to dismiss on October 3, 2011. We intend to defend our interests in the litigation vigorously.</w:t>
      </w:r>
    </w:p>
    <w:p>
      <w:pPr>
        <w:spacing w:after="0" w:line="12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On February 8, 2007, a court order was entered against Stratex do Brasil, a subsidiary of Aviat U.S., Inc. (formerly Harris Stratex Networks Operating Corporation), in Brazil, to enforce performance of an alleged agreement between the former Stratex Networks, Inc. entity and a supplier. We have not determined what, if any, liability this may result in, as the court did not award any damages. We have appealed the decision to enforce the alleged agreement, and do not expect this litigation to have a material adverse effect on our business, operating results or financial condition.</w:t>
      </w:r>
    </w:p>
    <w:p>
      <w:pPr>
        <w:spacing w:after="0" w:line="11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From time to time, we may be involved in various legal claims and litigation that arise in the normal course of our operations. While the results of such claims and litigation cannot be predicted with certainty, we currently believe that we are not a party to any litigation the final outcome of which is likely to have a material adverse effect on our financial position, results of operations or cash flows. However, should we not prevail in any such litigation; it could have a material adverse impact on our operating results, cash flows or financial position.</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This Quarterly Report on Form 10-Q, including “Item 2. Management’s Discussion and Analysis of Financial Condition and Results of Operations,” contains forward-looking statements that involve risks and uncertainties, as well as assumptions that, if they do not materialize or prove correct, could cause our results to differ materially from those expressed or implied by such forward-looking statements. All statements other than statements of historical fact are statements that could be deemed forward-looking statements, including statements of, about, concerning or regarding: our plans, strategies and objectives for future operations; our research and development efforts and new product releases and services; trends in revenue; drivers of our business and the markets in which we operate; future economic conditions, performance or outlook and changes in our industry and the markets we serve; the outcome of contingencies; the value of our contract awards; beliefs or expectations; the sufficiency of our cash and our capital needs and expenditures; our intellectual property protection; our compliance with regulatory requirements and the associated expenses; expectations regarding litigation; our intention not to pay cash dividends; seasonality of our business; the impact of foreign exchange and inflation; taxes; and assumptions underlying any of the foregoing. Forward-looking statements may be identified by the use of forward-looking terminology, such as “anticipates,” “believes,” “expects,” “may,” “should,” “would,” “will,” “intends,” “plans,” “estimates,” “strategy,” “projects,” “targets,” “goals,” “seeing,” “delivering,” “continues,” “forecasts,” “future,” “predict,” “might,” “could,” “potential,” or the negative of these terms, and similar words or expressions.</w:t>
      </w:r>
    </w:p>
    <w:p>
      <w:pPr>
        <w:spacing w:after="0" w:line="124"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These forward-looking statements are based on estimates reflecting the current beliefs of the senior management of Aviat Networks. These forward-looking statements involve a number of risks and uncertainties that could cause actual results to differ materially from those suggested by the forward-looking statements. Forward-looking statements should therefore be considered in light of various important factors, including those set forth in this document. Important factors that could cause actual results to differ materially from estimates or projections contained in the forward-looking statements include the following:</w:t>
      </w:r>
    </w:p>
    <w:p>
      <w:pPr>
        <w:spacing w:after="0" w:line="32"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continued price erosion as a result of increased competition in the microwave transmission industry;</w:t>
      </w:r>
    </w:p>
    <w:p>
      <w:pPr>
        <w:spacing w:after="0" w:line="90" w:lineRule="exact"/>
        <w:rPr>
          <w:rFonts w:ascii="Arial" w:cs="Arial" w:eastAsia="Arial" w:hAnsi="Arial"/>
          <w:sz w:val="18"/>
          <w:szCs w:val="18"/>
          <w:i w:val="1"/>
          <w:iCs w:val="1"/>
          <w:color w:val="auto"/>
        </w:rPr>
      </w:pPr>
    </w:p>
    <w:p>
      <w:pPr>
        <w:ind w:left="900" w:hanging="325"/>
        <w:spacing w:after="0"/>
        <w:tabs>
          <w:tab w:leader="none" w:pos="90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the impact of the volume, timing and customer, product and geographic mix of our product orders;</w:t>
      </w:r>
    </w:p>
    <w:p>
      <w:pPr>
        <w:spacing w:after="0" w:line="90" w:lineRule="exact"/>
        <w:rPr>
          <w:rFonts w:ascii="Arial" w:cs="Arial" w:eastAsia="Arial" w:hAnsi="Arial"/>
          <w:sz w:val="18"/>
          <w:szCs w:val="18"/>
          <w:i w:val="1"/>
          <w:iCs w:val="1"/>
          <w:color w:val="auto"/>
        </w:rPr>
      </w:pPr>
    </w:p>
    <w:p>
      <w:pPr>
        <w:ind w:left="90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our suppliers’ inability to perform and deliver on time as a result of their financial condition, component shortages or other supply chain constraints, such as the recent natural disasters in Thailand;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our ability to meet projected new product development dates or anticipated cost reductions of new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continued weakness in the global economy affecting customer spending;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customer acceptance of new products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the ability of our subcontractors to timely perform;</w:t>
      </w:r>
    </w:p>
    <w:p>
      <w:pPr>
        <w:spacing w:after="0" w:line="90" w:lineRule="exact"/>
        <w:rPr>
          <w:rFonts w:ascii="Arial" w:cs="Arial" w:eastAsia="Arial" w:hAnsi="Arial"/>
          <w:sz w:val="18"/>
          <w:szCs w:val="18"/>
          <w:i w:val="1"/>
          <w:iCs w:val="1"/>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retention of our key personnel</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our ability to manage and maintain key customer relationships;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uncertain economic conditions in the telecommunications sector combined with operator and supplier consolidation;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the timing of our receipt of payment for products or services from our customers;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our failure to protect our intellectual property rights or defend against intellectual property infringement claims by others;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the effects of currency and interest rate risks;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the impact of political turmoil in countries where we have significant business.</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Other factors besides those listed here also could adversely affect us. See “Item 1A. Risk Factors” in our fiscal 2011 Annual Report on Form 10-K for more information regarding factors that may cause our results to differ materially from those expressed or implied by the forward-looking statements contained in this Quarterly Report on Form 10-Q.</w:t>
      </w:r>
    </w:p>
    <w:p>
      <w:pPr>
        <w:spacing w:after="0" w:line="14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You should not place undue reliance on these forward-looking statements, which reflect our management’s opinions only as of the date of the filing of this Quarterly Report on Form 10-Q. Forward-looking statements are made in reliance upon the safe harbor provisions of Section 27A of the Securities Act of 1933, as amended, and Section 21E of the Securities Exchange Act of 1934, as amended, along with provisions of the Private Securities Litigation Reform Act of 1995, and we undertake no obligation, other than as imposed by law, to update forward-looking statements to reflect further developments or information obtained after the date of filing of this Quarterly Report on Form 10-Q or, in the case of any document incorporated by reference, the date of that document.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Business and Operating Environment</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following Management’s Discussion and Analysis (“MD&amp;A”) is intended to help the reader understand our results of operations and financial condition. MD&amp;A is provided as a supplement to, and should be read in conjunction with, our condensed consolidated financial statements and the accompanying notes.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generate revenue by designing, developing, manufacturing and supporting a range of wireless networking products, solutions and services for mobile and fixed communications service providers, private network operators, government agencies, transportation and utility companies, public safety agencies and broadcast system operators across the globe. Our products include point-to-point (PTP) digital microwave transmission systems designed for first/last mile access, middle mile/backhaul, and long distance trunking applications. We also provide network management software solutions to enable operators to deploy, monitor and manage our systems, third party equipment such as antennas, routers, multiplexers, etc., necessary to build and deploy a wireless transmission network, and a full suite of turnkey support services.</w:t>
      </w:r>
    </w:p>
    <w:p>
      <w:pPr>
        <w:spacing w:after="0" w:line="12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We work continuously to improve our established brands and to create new products that meet our customers’ evolving needs and preferences. Our fundamental business goal is to generate superior returns for our stockholders over the long term. We believe that increases in revenue, segment operating profits, earnings per share, and return on average total capital are the key measures of financial performance for our business.</w:t>
      </w:r>
    </w:p>
    <w:p>
      <w:pPr>
        <w:spacing w:after="0" w:line="107"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Our strategic focus in fiscal 2012 will be to continue to accelerate innovation and optimize our product portfolio, improve costs and operational efficiencies, grow our revenue and create a sustainable, profitable business model. To do this, we have examined our products, markets, facilities, development programs, and operational flows to ensure we’re focused on what we do well and what will differentiate us in the future. We will continue working to streamline management processes to run with the speed required by the markets in which we do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 Review</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first quarter revenue was up $11.0 million, or 11.0%, over the same period in fiscal year 2011. We continue to secure orders and expand our footprint with our existing customers in the mobile operator market using our current technology and service capabilities. We believe that there is steady growth in this market and that it will continue over the long term as mobile operators build network capacity to address increasing demands for bandwidth. We recognize that in order to significantly expand our mobile operator customer base and displace competitors we need to bring our next generation of products to market. We’re encouraged by the signs of growth in non-mobile segments mostly in North America today, but increasingly in other parts of the world. Typical applications are in utility and public safety networks where the emphasis is on quality, service, reliability and network security.</w:t>
      </w:r>
    </w:p>
    <w:p>
      <w:pPr>
        <w:spacing w:after="0" w:line="120"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One of our contract manufacturers in Thailand has been affected by recent flooding in that country. We have been taken steps with the contract manufacturer to partially mitigate the effects and continued working to address production issues from this event. We continue to monitor and assess potential effects on our business. We are unable to accurately estimate at this time if, or how, our future business results may be affected.</w:t>
      </w:r>
    </w:p>
    <w:p>
      <w:pPr>
        <w:spacing w:after="0" w:line="10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March 2011, our board of directors approved a plan for the sale of our WiMAX business. We completed the sale to EION on September 2, 2011. The sale of the WiMAX business was part of our strategic plan to streamline our business and focus our time and resources on growing our core microwave business to better position us for long-term success.</w:t>
      </w:r>
    </w:p>
    <w:p>
      <w:pPr>
        <w:spacing w:after="0" w:line="140"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We began accounting for the WiMAX business as a discontinued operation in the third quarter of fiscal 2011. We have reclassified the WiMAX business’ operating results for the first quarter of fiscal 2011 to loss from discontinued operations in our condensed consolidated statements of operations. The discussions of our revenue, gross margin, operating expenses and income taxes have excluded WiMAX business results, which are discussed separately.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Consolidated 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90"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Beginning from the first quarter of fiscal 2012, in order to align with our international business organization, our management changed its review of revenue by region by separating the Middle East region from Europe and Russia and grouping it with Africa. This change has been made for comparable prior year quarter. Revenue by region comparing the first quarter of fiscal 2012 with the same quarter of fiscal 2011 and the related changes are shown in the table below:</w:t>
      </w:r>
    </w:p>
    <w:p>
      <w:pPr>
        <w:spacing w:after="0" w:line="17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w w:val="94"/>
              </w:rPr>
              <w:t>Quarter Ended</w:t>
            </w:r>
          </w:p>
        </w:tc>
        <w:tc>
          <w:tcPr>
            <w:tcW w:w="4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gridSpan w:val="2"/>
            <w:vMerge w:val="restart"/>
          </w:tcPr>
          <w:p>
            <w:pPr>
              <w:jc w:val="right"/>
              <w:ind w:right="122"/>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14"/>
                <w:szCs w:val="14"/>
                <w:color w:val="auto"/>
              </w:rPr>
            </w:pPr>
          </w:p>
        </w:tc>
        <w:tc>
          <w:tcPr>
            <w:tcW w:w="440" w:type="dxa"/>
            <w:vAlign w:val="bottom"/>
            <w:vMerge w:val="restart"/>
          </w:tcPr>
          <w:p>
            <w:pPr>
              <w:jc w:val="right"/>
              <w:ind w:right="77"/>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3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6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October 1,</w:t>
            </w:r>
          </w:p>
        </w:tc>
        <w:tc>
          <w:tcPr>
            <w:tcW w:w="26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500" w:type="dxa"/>
            <w:vAlign w:val="bottom"/>
            <w:gridSpan w:val="2"/>
          </w:tcPr>
          <w:p>
            <w:pPr>
              <w:spacing w:after="0"/>
              <w:rPr>
                <w:sz w:val="20"/>
                <w:szCs w:val="20"/>
                <w:color w:val="auto"/>
              </w:rPr>
            </w:pPr>
            <w:r>
              <w:rPr>
                <w:rFonts w:ascii="Arial" w:cs="Arial" w:eastAsia="Arial" w:hAnsi="Arial"/>
                <w:sz w:val="14"/>
                <w:szCs w:val="14"/>
                <w:b w:val="1"/>
                <w:bCs w:val="1"/>
                <w:color w:val="auto"/>
              </w:rPr>
              <w:t>(In millions, except %)</w:t>
            </w:r>
          </w:p>
        </w:tc>
        <w:tc>
          <w:tcPr>
            <w:tcW w:w="1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ind w:right="197"/>
              <w:spacing w:after="0"/>
              <w:rPr>
                <w:sz w:val="20"/>
                <w:szCs w:val="20"/>
                <w:color w:val="auto"/>
              </w:rPr>
            </w:pPr>
            <w:r>
              <w:rPr>
                <w:rFonts w:ascii="Arial" w:cs="Arial" w:eastAsia="Arial" w:hAnsi="Arial"/>
                <w:sz w:val="14"/>
                <w:szCs w:val="14"/>
                <w:b w:val="1"/>
                <w:bCs w:val="1"/>
                <w:color w:val="auto"/>
              </w:rPr>
              <w:t>2011</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75"/>
              <w:spacing w:after="0"/>
              <w:rPr>
                <w:sz w:val="20"/>
                <w:szCs w:val="20"/>
                <w:color w:val="auto"/>
              </w:rPr>
            </w:pPr>
            <w:r>
              <w:rPr>
                <w:rFonts w:ascii="Arial" w:cs="Arial" w:eastAsia="Arial" w:hAnsi="Arial"/>
                <w:sz w:val="14"/>
                <w:szCs w:val="14"/>
                <w:b w:val="1"/>
                <w:bCs w:val="1"/>
                <w:color w:val="auto"/>
                <w:w w:val="96"/>
              </w:rPr>
              <w:t>2010</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1"/>
              </w:rPr>
              <w:t>Change</w:t>
            </w:r>
          </w:p>
        </w:tc>
        <w:tc>
          <w:tcPr>
            <w:tcW w:w="7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North America</w:t>
            </w:r>
          </w:p>
        </w:tc>
        <w:tc>
          <w:tcPr>
            <w:tcW w:w="182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vMerge w:val="continue"/>
            <w:shd w:val="clear" w:color="auto" w:fill="CCEEFF"/>
          </w:tcPr>
          <w:p>
            <w:pPr>
              <w:spacing w:after="0"/>
              <w:rPr>
                <w:sz w:val="18"/>
                <w:szCs w:val="18"/>
                <w:color w:val="auto"/>
              </w:rPr>
            </w:pPr>
          </w:p>
        </w:tc>
        <w:tc>
          <w:tcPr>
            <w:tcW w:w="1820" w:type="dxa"/>
            <w:vAlign w:val="bottom"/>
            <w:vMerge w:val="continue"/>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5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260" w:type="dxa"/>
            <w:vAlign w:val="bottom"/>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1.8</w:t>
            </w:r>
          </w:p>
        </w:tc>
        <w:tc>
          <w:tcPr>
            <w:tcW w:w="5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2"/>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International:</w:t>
            </w:r>
          </w:p>
        </w:tc>
        <w:tc>
          <w:tcPr>
            <w:tcW w:w="1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Africa and Middle East</w:t>
            </w:r>
          </w:p>
        </w:tc>
        <w:tc>
          <w:tcPr>
            <w:tcW w:w="1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5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420"/>
              <w:spacing w:after="0"/>
              <w:rPr>
                <w:sz w:val="20"/>
                <w:szCs w:val="20"/>
                <w:color w:val="auto"/>
              </w:rPr>
            </w:pPr>
            <w:r>
              <w:rPr>
                <w:rFonts w:ascii="Arial" w:cs="Arial" w:eastAsia="Arial" w:hAnsi="Arial"/>
                <w:sz w:val="18"/>
                <w:szCs w:val="18"/>
                <w:color w:val="auto"/>
              </w:rPr>
              <w:t>Europe and Russia</w:t>
            </w: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12.4</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17.7</w:t>
            </w:r>
          </w:p>
        </w:tc>
        <w:tc>
          <w:tcPr>
            <w:tcW w:w="1260" w:type="dxa"/>
            <w:vAlign w:val="bottom"/>
            <w:gridSpan w:val="3"/>
          </w:tcPr>
          <w:p>
            <w:pPr>
              <w:jc w:val="right"/>
              <w:ind w:right="480"/>
              <w:spacing w:after="0"/>
              <w:rPr>
                <w:sz w:val="20"/>
                <w:szCs w:val="20"/>
                <w:color w:val="auto"/>
              </w:rPr>
            </w:pPr>
            <w:r>
              <w:rPr>
                <w:rFonts w:ascii="Arial" w:cs="Arial" w:eastAsia="Arial" w:hAnsi="Arial"/>
                <w:sz w:val="18"/>
                <w:szCs w:val="18"/>
                <w:color w:val="auto"/>
              </w:rPr>
              <w:t>(5.3)</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Latin America and Asia Pacific</w:t>
            </w:r>
          </w:p>
        </w:tc>
        <w:tc>
          <w:tcPr>
            <w:tcW w:w="1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16.9</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5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
        </w:trPr>
        <w:tc>
          <w:tcPr>
            <w:tcW w:w="45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International</w:t>
            </w:r>
          </w:p>
        </w:tc>
        <w:tc>
          <w:tcPr>
            <w:tcW w:w="18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line="20" w:lineRule="exact"/>
              <w:rPr>
                <w:sz w:val="1"/>
                <w:szCs w:val="1"/>
                <w:color w:val="auto"/>
              </w:rPr>
            </w:pPr>
          </w:p>
        </w:tc>
      </w:tr>
      <w:tr>
        <w:trPr>
          <w:trHeight w:val="222"/>
        </w:trPr>
        <w:tc>
          <w:tcPr>
            <w:tcW w:w="4500" w:type="dxa"/>
            <w:vAlign w:val="bottom"/>
            <w:gridSpan w:val="2"/>
            <w:vMerge w:val="continue"/>
          </w:tcPr>
          <w:p>
            <w:pPr>
              <w:spacing w:after="0"/>
              <w:rPr>
                <w:sz w:val="19"/>
                <w:szCs w:val="19"/>
                <w:color w:val="auto"/>
              </w:rPr>
            </w:pPr>
          </w:p>
        </w:tc>
        <w:tc>
          <w:tcPr>
            <w:tcW w:w="1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74.3</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65.1</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540" w:type="dxa"/>
            <w:vAlign w:val="bottom"/>
          </w:tcPr>
          <w:p>
            <w:pPr>
              <w:spacing w:after="0"/>
              <w:rPr>
                <w:sz w:val="19"/>
                <w:szCs w:val="19"/>
                <w:color w:val="auto"/>
              </w:rPr>
            </w:pPr>
          </w:p>
        </w:tc>
        <w:tc>
          <w:tcPr>
            <w:tcW w:w="7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4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1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100.4</w:t>
            </w:r>
          </w:p>
        </w:tc>
        <w:tc>
          <w:tcPr>
            <w:tcW w:w="12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$ 11.0</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During first quarter of fiscal 2012, MTN Group in Africa accounted for 17.6% of our total revenue. In the same quarter of fiscal 2011 there were no customers accounting for 10% or more of our revenue. We have entered into separate and distinct contracts with MTN as well as separate arrangements with MTN group subsidiaries. None of such other contracts on an individual basis are material to our operations. The loss of all MTN group business could adversely affect our results of operations, cash flows and financial position.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North America</w:t>
      </w:r>
    </w:p>
    <w:p>
      <w:pPr>
        <w:spacing w:after="0" w:line="9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North America segment revenue was up $1.8 million, or 5.1% over the first quarter of fiscal 2011. While North America revenue was almost equivalent to the prior year, the product mix of our sales was substantially different. In the most recent quarter, the bulk of our product revenue in North America came from our new product platform, whereas a year ago, our legacy products made up a significant portion of the sector sales. The rate of customer acceptance and orders of our equipment as of the end of the quarter has increased in comparison to the year ago quarter.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International segment revenue was up $9.2 million, or 14.1% during our first quarter compared with the same period a year ago. Sales to customers in West Africa were substantially better than the year ago period, offset in part by a decline in revenue from customers in Russia. Sales in our other regions were slightly up compared with last year. We expect to experience pricing pressure in all regions.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Loss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operating loss by segment is summarized in the table below:</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w w:val="98"/>
              </w:rPr>
              <w:t>Quarter Ended</w:t>
            </w:r>
          </w:p>
        </w:tc>
        <w:tc>
          <w:tcPr>
            <w:tcW w:w="48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spacing w:after="0"/>
              <w:rPr>
                <w:sz w:val="14"/>
                <w:szCs w:val="14"/>
                <w:color w:val="auto"/>
              </w:rPr>
            </w:pPr>
          </w:p>
        </w:tc>
        <w:tc>
          <w:tcPr>
            <w:tcW w:w="44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440" w:type="dxa"/>
            <w:vAlign w:val="bottom"/>
            <w:gridSpan w:val="3"/>
          </w:tcPr>
          <w:p>
            <w:pPr>
              <w:jc w:val="center"/>
              <w:ind w:right="620"/>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6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October 1,</w:t>
            </w:r>
          </w:p>
        </w:tc>
        <w:tc>
          <w:tcPr>
            <w:tcW w:w="62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780" w:type="dxa"/>
            <w:vAlign w:val="bottom"/>
            <w:gridSpan w:val="2"/>
          </w:tcPr>
          <w:p>
            <w:pPr>
              <w:spacing w:after="0"/>
              <w:rPr>
                <w:sz w:val="20"/>
                <w:szCs w:val="20"/>
                <w:color w:val="auto"/>
              </w:rPr>
            </w:pPr>
            <w:r>
              <w:rPr>
                <w:rFonts w:ascii="Arial" w:cs="Arial" w:eastAsia="Arial" w:hAnsi="Arial"/>
                <w:sz w:val="14"/>
                <w:szCs w:val="14"/>
                <w:b w:val="1"/>
                <w:bCs w:val="1"/>
                <w:color w:val="auto"/>
              </w:rPr>
              <w:t>(In millions, except %)</w:t>
            </w:r>
          </w:p>
        </w:tc>
        <w:tc>
          <w:tcPr>
            <w:tcW w:w="2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200"/>
              <w:spacing w:after="0"/>
              <w:rPr>
                <w:sz w:val="20"/>
                <w:szCs w:val="20"/>
                <w:color w:val="auto"/>
              </w:rPr>
            </w:pPr>
            <w:r>
              <w:rPr>
                <w:rFonts w:ascii="Arial" w:cs="Arial" w:eastAsia="Arial" w:hAnsi="Arial"/>
                <w:sz w:val="14"/>
                <w:szCs w:val="14"/>
                <w:b w:val="1"/>
                <w:bCs w:val="1"/>
                <w:color w:val="auto"/>
              </w:rPr>
              <w:t>2011</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77"/>
              <w:spacing w:after="0"/>
              <w:rPr>
                <w:sz w:val="20"/>
                <w:szCs w:val="20"/>
                <w:color w:val="auto"/>
              </w:rPr>
            </w:pPr>
            <w:r>
              <w:rPr>
                <w:rFonts w:ascii="Arial" w:cs="Arial" w:eastAsia="Arial" w:hAnsi="Arial"/>
                <w:sz w:val="14"/>
                <w:szCs w:val="14"/>
                <w:b w:val="1"/>
                <w:bCs w:val="1"/>
                <w:color w:val="auto"/>
                <w:w w:val="96"/>
              </w:rPr>
              <w:t>2010</w:t>
            </w:r>
          </w:p>
        </w:tc>
        <w:tc>
          <w:tcPr>
            <w:tcW w:w="620" w:type="dxa"/>
            <w:vAlign w:val="bottom"/>
          </w:tcPr>
          <w:p>
            <w:pPr>
              <w:spacing w:after="0"/>
              <w:rPr>
                <w:sz w:val="14"/>
                <w:szCs w:val="14"/>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Change</w:t>
            </w:r>
          </w:p>
        </w:tc>
        <w:tc>
          <w:tcPr>
            <w:tcW w:w="7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North America</w:t>
            </w:r>
          </w:p>
        </w:tc>
        <w:tc>
          <w:tcPr>
            <w:tcW w:w="230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vMerge w:val="continue"/>
            <w:shd w:val="clear" w:color="auto" w:fill="CCEEFF"/>
          </w:tcPr>
          <w:p>
            <w:pPr>
              <w:spacing w:after="0"/>
              <w:rPr>
                <w:sz w:val="18"/>
                <w:szCs w:val="18"/>
                <w:color w:val="auto"/>
              </w:rPr>
            </w:pPr>
          </w:p>
        </w:tc>
        <w:tc>
          <w:tcPr>
            <w:tcW w:w="230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70"/>
              </w:rPr>
              <w:t>(1.9)</w:t>
            </w:r>
          </w:p>
        </w:tc>
        <w:tc>
          <w:tcPr>
            <w:tcW w:w="6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620" w:type="dxa"/>
            <w:vAlign w:val="bottom"/>
            <w:vMerge w:val="continue"/>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  7.6</w:t>
            </w:r>
          </w:p>
        </w:tc>
        <w:tc>
          <w:tcPr>
            <w:tcW w:w="600" w:type="dxa"/>
            <w:vAlign w:val="bottom"/>
            <w:vMerge w:val="continue"/>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International</w:t>
            </w:r>
          </w:p>
        </w:tc>
        <w:tc>
          <w:tcPr>
            <w:tcW w:w="2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ind w:left="36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(8.6)</w:t>
            </w:r>
          </w:p>
        </w:tc>
        <w:tc>
          <w:tcPr>
            <w:tcW w:w="1060" w:type="dxa"/>
            <w:vAlign w:val="bottom"/>
            <w:gridSpan w:val="2"/>
          </w:tcPr>
          <w:p>
            <w:pPr>
              <w:jc w:val="right"/>
              <w:ind w:right="600"/>
              <w:spacing w:after="0"/>
              <w:rPr>
                <w:sz w:val="20"/>
                <w:szCs w:val="20"/>
                <w:color w:val="auto"/>
              </w:rPr>
            </w:pPr>
            <w:r>
              <w:rPr>
                <w:rFonts w:ascii="Arial" w:cs="Arial" w:eastAsia="Arial" w:hAnsi="Arial"/>
                <w:sz w:val="18"/>
                <w:szCs w:val="18"/>
                <w:color w:val="auto"/>
              </w:rPr>
              <w:t>8.0</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(93.0)%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loss</w:t>
            </w:r>
          </w:p>
        </w:tc>
        <w:tc>
          <w:tcPr>
            <w:tcW w:w="24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(18.1)</w:t>
            </w: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7"/>
              </w:rPr>
              <w:t>$ 15.6</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(86.2)%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charges and expenses included in our operating loss during these periods by segment are set forth on a comparative basis in the table below:</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80" w:type="dxa"/>
            <w:vAlign w:val="bottom"/>
            <w:gridSpan w:val="9"/>
          </w:tcPr>
          <w:p>
            <w:pPr>
              <w:ind w:left="80"/>
              <w:spacing w:after="0"/>
              <w:rPr>
                <w:sz w:val="20"/>
                <w:szCs w:val="20"/>
                <w:color w:val="auto"/>
              </w:rPr>
            </w:pPr>
            <w:r>
              <w:rPr>
                <w:rFonts w:ascii="Arial" w:cs="Arial" w:eastAsia="Arial" w:hAnsi="Arial"/>
                <w:sz w:val="14"/>
                <w:szCs w:val="14"/>
                <w:color w:val="auto"/>
              </w:rPr>
              <w:t>Quarter Ended September 30, 2011</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80" w:type="dxa"/>
            <w:vAlign w:val="bottom"/>
            <w:gridSpan w:val="9"/>
          </w:tcPr>
          <w:p>
            <w:pPr>
              <w:ind w:left="100"/>
              <w:spacing w:after="0"/>
              <w:rPr>
                <w:sz w:val="20"/>
                <w:szCs w:val="20"/>
                <w:color w:val="auto"/>
              </w:rPr>
            </w:pPr>
            <w:r>
              <w:rPr>
                <w:rFonts w:ascii="Arial" w:cs="Arial" w:eastAsia="Arial" w:hAnsi="Arial"/>
                <w:sz w:val="14"/>
                <w:szCs w:val="14"/>
                <w:color w:val="auto"/>
              </w:rPr>
              <w:t>Quarter Ended October 1, 2010</w:t>
            </w:r>
          </w:p>
        </w:tc>
        <w:tc>
          <w:tcPr>
            <w:tcW w:w="0" w:type="dxa"/>
            <w:vAlign w:val="bottom"/>
          </w:tcPr>
          <w:p>
            <w:pPr>
              <w:spacing w:after="0"/>
              <w:rPr>
                <w:sz w:val="1"/>
                <w:szCs w:val="1"/>
                <w:color w:val="auto"/>
              </w:rPr>
            </w:pPr>
          </w:p>
        </w:tc>
      </w:tr>
      <w:tr>
        <w:trPr>
          <w:trHeight w:val="131"/>
        </w:trPr>
        <w:tc>
          <w:tcPr>
            <w:tcW w:w="492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440" w:type="dxa"/>
            <w:vAlign w:val="bottom"/>
          </w:tcPr>
          <w:p>
            <w:pPr>
              <w:spacing w:after="0"/>
              <w:rPr>
                <w:sz w:val="11"/>
                <w:szCs w:val="11"/>
                <w:color w:val="auto"/>
              </w:rPr>
            </w:pPr>
          </w:p>
        </w:tc>
        <w:tc>
          <w:tcPr>
            <w:tcW w:w="840" w:type="dxa"/>
            <w:vAlign w:val="bottom"/>
            <w:tcBorders>
              <w:top w:val="single" w:sz="8" w:color="auto"/>
            </w:tcBorders>
            <w:gridSpan w:val="3"/>
          </w:tcPr>
          <w:p>
            <w:pPr>
              <w:ind w:left="80"/>
              <w:spacing w:after="0" w:line="131" w:lineRule="exact"/>
              <w:rPr>
                <w:sz w:val="20"/>
                <w:szCs w:val="20"/>
                <w:color w:val="auto"/>
              </w:rPr>
            </w:pPr>
            <w:r>
              <w:rPr>
                <w:rFonts w:ascii="Arial" w:cs="Arial" w:eastAsia="Arial" w:hAnsi="Arial"/>
                <w:sz w:val="14"/>
                <w:szCs w:val="14"/>
                <w:color w:val="auto"/>
              </w:rPr>
              <w:t>North</w:t>
            </w:r>
          </w:p>
        </w:tc>
        <w:tc>
          <w:tcPr>
            <w:tcW w:w="2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Borders>
              <w:top w:val="single" w:sz="8" w:color="auto"/>
            </w:tcBorders>
            <w:gridSpan w:val="3"/>
          </w:tcPr>
          <w:p>
            <w:pPr>
              <w:jc w:val="right"/>
              <w:ind w:right="280"/>
              <w:spacing w:after="0" w:line="131" w:lineRule="exact"/>
              <w:rPr>
                <w:sz w:val="20"/>
                <w:szCs w:val="20"/>
                <w:color w:val="auto"/>
              </w:rPr>
            </w:pPr>
            <w:r>
              <w:rPr>
                <w:rFonts w:ascii="Arial" w:cs="Arial" w:eastAsia="Arial" w:hAnsi="Arial"/>
                <w:sz w:val="14"/>
                <w:szCs w:val="14"/>
                <w:color w:val="auto"/>
              </w:rPr>
              <w:t>North</w:t>
            </w:r>
          </w:p>
        </w:tc>
        <w:tc>
          <w:tcPr>
            <w:tcW w:w="1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920" w:type="dxa"/>
            <w:vAlign w:val="bottom"/>
            <w:vMerge w:val="continue"/>
          </w:tcPr>
          <w:p>
            <w:pPr>
              <w:spacing w:after="0"/>
              <w:rPr>
                <w:sz w:val="13"/>
                <w:szCs w:val="13"/>
                <w:color w:val="auto"/>
              </w:rPr>
            </w:pPr>
          </w:p>
        </w:tc>
        <w:tc>
          <w:tcPr>
            <w:tcW w:w="1440" w:type="dxa"/>
            <w:vAlign w:val="bottom"/>
          </w:tcPr>
          <w:p>
            <w:pPr>
              <w:spacing w:after="0"/>
              <w:rPr>
                <w:sz w:val="13"/>
                <w:szCs w:val="13"/>
                <w:color w:val="auto"/>
              </w:rPr>
            </w:pPr>
          </w:p>
        </w:tc>
        <w:tc>
          <w:tcPr>
            <w:tcW w:w="840" w:type="dxa"/>
            <w:vAlign w:val="bottom"/>
            <w:gridSpan w:val="3"/>
          </w:tcPr>
          <w:p>
            <w:pPr>
              <w:spacing w:after="0" w:line="159" w:lineRule="exact"/>
              <w:rPr>
                <w:sz w:val="20"/>
                <w:szCs w:val="20"/>
                <w:color w:val="auto"/>
              </w:rPr>
            </w:pPr>
            <w:r>
              <w:rPr>
                <w:rFonts w:ascii="Arial" w:cs="Arial" w:eastAsia="Arial" w:hAnsi="Arial"/>
                <w:sz w:val="14"/>
                <w:szCs w:val="14"/>
                <w:color w:val="auto"/>
              </w:rPr>
              <w:t>America</w:t>
            </w:r>
          </w:p>
        </w:tc>
        <w:tc>
          <w:tcPr>
            <w:tcW w:w="920" w:type="dxa"/>
            <w:vAlign w:val="bottom"/>
            <w:gridSpan w:val="3"/>
          </w:tcPr>
          <w:p>
            <w:pPr>
              <w:ind w:left="20"/>
              <w:spacing w:after="0" w:line="159" w:lineRule="exact"/>
              <w:rPr>
                <w:sz w:val="20"/>
                <w:szCs w:val="20"/>
                <w:color w:val="auto"/>
              </w:rPr>
            </w:pPr>
            <w:r>
              <w:rPr>
                <w:rFonts w:ascii="Arial" w:cs="Arial" w:eastAsia="Arial" w:hAnsi="Arial"/>
                <w:sz w:val="14"/>
                <w:szCs w:val="14"/>
                <w:color w:val="auto"/>
              </w:rPr>
              <w:t>International</w:t>
            </w:r>
          </w:p>
        </w:tc>
        <w:tc>
          <w:tcPr>
            <w:tcW w:w="180" w:type="dxa"/>
            <w:vAlign w:val="bottom"/>
          </w:tcPr>
          <w:p>
            <w:pPr>
              <w:spacing w:after="0"/>
              <w:rPr>
                <w:sz w:val="13"/>
                <w:szCs w:val="13"/>
                <w:color w:val="auto"/>
              </w:rPr>
            </w:pPr>
          </w:p>
        </w:tc>
        <w:tc>
          <w:tcPr>
            <w:tcW w:w="580" w:type="dxa"/>
            <w:vAlign w:val="bottom"/>
            <w:gridSpan w:val="3"/>
          </w:tcPr>
          <w:p>
            <w:pPr>
              <w:jc w:val="center"/>
              <w:ind w:right="180"/>
              <w:spacing w:after="0" w:line="159" w:lineRule="exact"/>
              <w:rPr>
                <w:sz w:val="20"/>
                <w:szCs w:val="20"/>
                <w:color w:val="auto"/>
              </w:rPr>
            </w:pPr>
            <w:r>
              <w:rPr>
                <w:rFonts w:ascii="Arial" w:cs="Arial" w:eastAsia="Arial" w:hAnsi="Arial"/>
                <w:sz w:val="14"/>
                <w:szCs w:val="14"/>
                <w:color w:val="auto"/>
                <w:w w:val="89"/>
              </w:rPr>
              <w:t>Total</w:t>
            </w:r>
          </w:p>
        </w:tc>
        <w:tc>
          <w:tcPr>
            <w:tcW w:w="200" w:type="dxa"/>
            <w:vAlign w:val="bottom"/>
          </w:tcPr>
          <w:p>
            <w:pPr>
              <w:spacing w:after="0"/>
              <w:rPr>
                <w:sz w:val="13"/>
                <w:szCs w:val="13"/>
                <w:color w:val="auto"/>
              </w:rPr>
            </w:pPr>
          </w:p>
        </w:tc>
        <w:tc>
          <w:tcPr>
            <w:tcW w:w="660" w:type="dxa"/>
            <w:vAlign w:val="bottom"/>
            <w:gridSpan w:val="3"/>
          </w:tcPr>
          <w:p>
            <w:pPr>
              <w:jc w:val="right"/>
              <w:ind w:right="200"/>
              <w:spacing w:after="0" w:line="159" w:lineRule="exact"/>
              <w:rPr>
                <w:sz w:val="20"/>
                <w:szCs w:val="20"/>
                <w:color w:val="auto"/>
              </w:rPr>
            </w:pPr>
            <w:r>
              <w:rPr>
                <w:rFonts w:ascii="Arial" w:cs="Arial" w:eastAsia="Arial" w:hAnsi="Arial"/>
                <w:sz w:val="14"/>
                <w:szCs w:val="14"/>
                <w:color w:val="auto"/>
                <w:w w:val="85"/>
              </w:rPr>
              <w:t>America</w:t>
            </w:r>
          </w:p>
        </w:tc>
        <w:tc>
          <w:tcPr>
            <w:tcW w:w="180" w:type="dxa"/>
            <w:vAlign w:val="bottom"/>
          </w:tcPr>
          <w:p>
            <w:pPr>
              <w:spacing w:after="0"/>
              <w:rPr>
                <w:sz w:val="13"/>
                <w:szCs w:val="13"/>
                <w:color w:val="auto"/>
              </w:rPr>
            </w:pPr>
          </w:p>
        </w:tc>
        <w:tc>
          <w:tcPr>
            <w:tcW w:w="900" w:type="dxa"/>
            <w:vAlign w:val="bottom"/>
            <w:gridSpan w:val="3"/>
          </w:tcPr>
          <w:p>
            <w:pPr>
              <w:jc w:val="right"/>
              <w:ind w:right="200"/>
              <w:spacing w:after="0" w:line="159" w:lineRule="exact"/>
              <w:rPr>
                <w:sz w:val="20"/>
                <w:szCs w:val="20"/>
                <w:color w:val="auto"/>
              </w:rPr>
            </w:pPr>
            <w:r>
              <w:rPr>
                <w:rFonts w:ascii="Arial" w:cs="Arial" w:eastAsia="Arial" w:hAnsi="Arial"/>
                <w:sz w:val="14"/>
                <w:szCs w:val="14"/>
                <w:color w:val="auto"/>
                <w:w w:val="88"/>
              </w:rPr>
              <w:t>International</w:t>
            </w:r>
          </w:p>
        </w:tc>
        <w:tc>
          <w:tcPr>
            <w:tcW w:w="180" w:type="dxa"/>
            <w:vAlign w:val="bottom"/>
          </w:tcPr>
          <w:p>
            <w:pPr>
              <w:spacing w:after="0"/>
              <w:rPr>
                <w:sz w:val="13"/>
                <w:szCs w:val="13"/>
                <w:color w:val="auto"/>
              </w:rPr>
            </w:pPr>
          </w:p>
        </w:tc>
        <w:tc>
          <w:tcPr>
            <w:tcW w:w="420" w:type="dxa"/>
            <w:vAlign w:val="bottom"/>
            <w:gridSpan w:val="2"/>
          </w:tcPr>
          <w:p>
            <w:pPr>
              <w:ind w:left="20"/>
              <w:spacing w:after="0" w:line="15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49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Restructuring</w:t>
            </w:r>
          </w:p>
        </w:tc>
        <w:tc>
          <w:tcPr>
            <w:tcW w:w="1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79"/>
              </w:rPr>
              <w:t>0.7</w:t>
            </w:r>
          </w:p>
        </w:tc>
        <w:tc>
          <w:tcPr>
            <w:tcW w:w="3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$5.6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Rebranding and transitional costs</w:t>
            </w: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purchased technology and intangible assets</w:t>
            </w: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0.9</w:t>
            </w: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0.8</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ind w:left="100"/>
              <w:spacing w:after="0"/>
              <w:rPr>
                <w:sz w:val="20"/>
                <w:szCs w:val="20"/>
                <w:color w:val="auto"/>
              </w:rPr>
            </w:pPr>
            <w:r>
              <w:rPr>
                <w:rFonts w:ascii="Arial" w:cs="Arial" w:eastAsia="Arial" w:hAnsi="Arial"/>
                <w:sz w:val="18"/>
                <w:szCs w:val="18"/>
                <w:color w:val="auto"/>
              </w:rPr>
              <w:t>0.7</w:t>
            </w:r>
          </w:p>
        </w:tc>
        <w:tc>
          <w:tcPr>
            <w:tcW w:w="28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0.9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0.7</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0.1</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Other non-recurring charges</w:t>
            </w: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0.1</w:t>
            </w: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920" w:type="dxa"/>
            <w:vAlign w:val="bottom"/>
          </w:tcPr>
          <w:p>
            <w:pPr>
              <w:spacing w:after="0"/>
              <w:rPr>
                <w:sz w:val="19"/>
                <w:szCs w:val="19"/>
                <w:color w:val="auto"/>
              </w:rPr>
            </w:pPr>
          </w:p>
        </w:tc>
        <w:tc>
          <w:tcPr>
            <w:tcW w:w="1580" w:type="dxa"/>
            <w:vAlign w:val="bottom"/>
            <w:gridSpan w:val="2"/>
          </w:tcPr>
          <w:p>
            <w:pPr>
              <w:ind w:left="144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100"/>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0.4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2.8</w:t>
            </w:r>
          </w:p>
        </w:tc>
        <w:tc>
          <w:tcPr>
            <w:tcW w:w="360" w:type="dxa"/>
            <w:vAlign w:val="bottom"/>
            <w:gridSpan w:val="2"/>
          </w:tcPr>
          <w:p>
            <w:pPr>
              <w:jc w:val="right"/>
              <w:ind w:right="9"/>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6.6</w:t>
            </w:r>
          </w:p>
        </w:tc>
        <w:tc>
          <w:tcPr>
            <w:tcW w:w="44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0.9</w:t>
            </w:r>
          </w:p>
        </w:tc>
        <w:tc>
          <w:tcPr>
            <w:tcW w:w="5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440" w:type="dxa"/>
            <w:vAlign w:val="bottom"/>
            <w:vMerge w:val="restart"/>
          </w:tcPr>
          <w:p>
            <w:pPr>
              <w:jc w:val="right"/>
              <w:ind w:right="472"/>
              <w:spacing w:after="0"/>
              <w:rPr>
                <w:sz w:val="20"/>
                <w:szCs w:val="20"/>
                <w:color w:val="auto"/>
              </w:rPr>
            </w:pPr>
            <w:r>
              <w:rPr>
                <w:rFonts w:ascii="Arial" w:cs="Arial" w:eastAsia="Arial" w:hAnsi="Arial"/>
                <w:sz w:val="18"/>
                <w:szCs w:val="18"/>
                <w:color w:val="auto"/>
              </w:rPr>
              <w:t>21</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920" w:type="dxa"/>
            <w:vAlign w:val="bottom"/>
          </w:tcPr>
          <w:p>
            <w:pPr>
              <w:spacing w:after="0"/>
              <w:rPr>
                <w:sz w:val="24"/>
                <w:szCs w:val="24"/>
                <w:color w:val="auto"/>
              </w:rPr>
            </w:pPr>
          </w:p>
        </w:tc>
        <w:tc>
          <w:tcPr>
            <w:tcW w:w="14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initiated a restructuring plan to reduce our operational costs during the first quarter of fiscal 2011 (the “Fiscal 2011 Plan”). The Fiscal 2011 Plan was intended to bring our cost structure in line with the changing dynamics of the worldwide microwave radio and telecommunication markets, primarily in North America, Europe and Asia. In addition, in fiscal 2009 we commenced a restructuring plan to reduce our workforce in the U.S., France, Canada and other locations throughout the world and outsource our San Antonio manufacturing operations to a third party in Austin, Texas (the “Fiscal 2009 Plan”). The Fiscal 2009 Plan has been completed as of the end of fiscal 2011.</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Restructuring charges in first quarter of fiscal 2012 included severance and related benefit charges of $0.4 million and facilities costs totaling $0.5 million as we continued to execute the Fiscal 2011 Plan. During first quarter of fiscal 2011, our restructuring charges included $4.7 million related to our Fiscal 2011 Plan and $0.9 million related to our Fiscal 2009 Plan.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North America</w:t>
      </w:r>
    </w:p>
    <w:p>
      <w:pPr>
        <w:spacing w:after="0" w:line="9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Our North America segment operating loss in first quarter of fiscal 2012 was $1.9 million compared with a segment operating loss of $9.5 million in the prior year quarter. The loss in first quarter of fiscal 2012 and fiscal 2011 included restructuring charges of $0.7 million and $4.8 million, respectively, primarily related to the downsizing and relocation of our Morrisville, North Carolina office. Please refer to the table under the operating loss section above for this and other charges and expenses for each of our business segments and our business as a whole. The year to year reduction in operating loss is due to the success of the restructuring actions taken in prior periods, as well as the absence of a $6.0 million one-time charge related to manufacturing overhead as described below in the gross margin analysis.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Our International segment operating loss in the first quarter of fiscal 2012 was $0.6 million compared with a segment operating loss of $8.6 million in the prior year quarter. The loss in first quarter of fiscal 2012 and fiscal 2011 included restructuring charges of $0.2 million and $0.8 million, respectively. Please refer to the table under the operating loss section above for this and other charges and expenses for each of our business segments and our business as a whole. The year-to-year reduction in the International segment operating loss was also due to the success of the restructuring actions taken in prior periods, offset in part by reduction in product prices in certain markets to meet competition.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w w:val="94"/>
              </w:rPr>
              <w:t>Quarter Ended</w:t>
            </w: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960" w:type="dxa"/>
            <w:vAlign w:val="bottom"/>
          </w:tcPr>
          <w:p>
            <w:pPr>
              <w:spacing w:after="0"/>
              <w:rPr>
                <w:sz w:val="11"/>
                <w:szCs w:val="11"/>
                <w:color w:val="auto"/>
              </w:rPr>
            </w:pPr>
          </w:p>
        </w:tc>
        <w:tc>
          <w:tcPr>
            <w:tcW w:w="12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1"/>
                <w:szCs w:val="11"/>
                <w:color w:val="auto"/>
              </w:rPr>
            </w:pPr>
          </w:p>
        </w:tc>
        <w:tc>
          <w:tcPr>
            <w:tcW w:w="12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October 1,</w:t>
            </w:r>
          </w:p>
        </w:tc>
        <w:tc>
          <w:tcPr>
            <w:tcW w:w="560" w:type="dxa"/>
            <w:vAlign w:val="bottom"/>
            <w:gridSpan w:val="2"/>
          </w:tcPr>
          <w:p>
            <w:pPr>
              <w:jc w:val="right"/>
              <w:ind w:right="122"/>
              <w:spacing w:after="0" w:line="129" w:lineRule="exact"/>
              <w:rPr>
                <w:sz w:val="20"/>
                <w:szCs w:val="20"/>
                <w:color w:val="auto"/>
              </w:rPr>
            </w:pPr>
            <w:r>
              <w:rPr>
                <w:rFonts w:ascii="Arial" w:cs="Arial" w:eastAsia="Arial" w:hAnsi="Arial"/>
                <w:sz w:val="14"/>
                <w:szCs w:val="14"/>
                <w:b w:val="1"/>
                <w:bCs w:val="1"/>
                <w:color w:val="auto"/>
              </w:rPr>
              <w:t>$</w:t>
            </w:r>
          </w:p>
        </w:tc>
        <w:tc>
          <w:tcPr>
            <w:tcW w:w="600" w:type="dxa"/>
            <w:vAlign w:val="bottom"/>
          </w:tcPr>
          <w:p>
            <w:pPr>
              <w:spacing w:after="0"/>
              <w:rPr>
                <w:sz w:val="11"/>
                <w:szCs w:val="11"/>
                <w:color w:val="auto"/>
              </w:rPr>
            </w:pPr>
          </w:p>
        </w:tc>
        <w:tc>
          <w:tcPr>
            <w:tcW w:w="440" w:type="dxa"/>
            <w:vAlign w:val="bottom"/>
          </w:tcPr>
          <w:p>
            <w:pPr>
              <w:jc w:val="right"/>
              <w:ind w:right="80"/>
              <w:spacing w:after="0" w:line="12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980" w:type="dxa"/>
            <w:vAlign w:val="bottom"/>
            <w:gridSpan w:val="2"/>
          </w:tcPr>
          <w:p>
            <w:pPr>
              <w:spacing w:after="0"/>
              <w:rPr>
                <w:sz w:val="20"/>
                <w:szCs w:val="20"/>
                <w:color w:val="auto"/>
              </w:rPr>
            </w:pPr>
            <w:r>
              <w:rPr>
                <w:rFonts w:ascii="Arial" w:cs="Arial" w:eastAsia="Arial" w:hAnsi="Arial"/>
                <w:sz w:val="14"/>
                <w:szCs w:val="14"/>
                <w:b w:val="1"/>
                <w:bCs w:val="1"/>
                <w:color w:val="auto"/>
              </w:rPr>
              <w:t>(In millions, except %)</w:t>
            </w:r>
          </w:p>
        </w:tc>
        <w:tc>
          <w:tcPr>
            <w:tcW w:w="180" w:type="dxa"/>
            <w:vAlign w:val="bottom"/>
          </w:tcPr>
          <w:p>
            <w:pPr>
              <w:spacing w:after="0"/>
              <w:rPr>
                <w:sz w:val="14"/>
                <w:szCs w:val="14"/>
                <w:color w:val="auto"/>
              </w:rPr>
            </w:pPr>
          </w:p>
        </w:tc>
        <w:tc>
          <w:tcPr>
            <w:tcW w:w="640" w:type="dxa"/>
            <w:vAlign w:val="bottom"/>
          </w:tcPr>
          <w:p>
            <w:pPr>
              <w:jc w:val="right"/>
              <w:ind w:right="196"/>
              <w:spacing w:after="0"/>
              <w:rPr>
                <w:sz w:val="20"/>
                <w:szCs w:val="20"/>
                <w:color w:val="auto"/>
              </w:rPr>
            </w:pPr>
            <w:r>
              <w:rPr>
                <w:rFonts w:ascii="Arial" w:cs="Arial" w:eastAsia="Arial" w:hAnsi="Arial"/>
                <w:sz w:val="14"/>
                <w:szCs w:val="14"/>
                <w:b w:val="1"/>
                <w:bCs w:val="1"/>
                <w:color w:val="auto"/>
              </w:rPr>
              <w:t>2011</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ind w:right="99"/>
              <w:spacing w:after="0"/>
              <w:rPr>
                <w:sz w:val="20"/>
                <w:szCs w:val="20"/>
                <w:color w:val="auto"/>
              </w:rPr>
            </w:pPr>
            <w:r>
              <w:rPr>
                <w:rFonts w:ascii="Arial" w:cs="Arial" w:eastAsia="Arial" w:hAnsi="Arial"/>
                <w:sz w:val="14"/>
                <w:szCs w:val="14"/>
                <w:b w:val="1"/>
                <w:bCs w:val="1"/>
                <w:color w:val="auto"/>
                <w:w w:val="89"/>
              </w:rPr>
              <w:t>2010</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Change</w:t>
            </w:r>
          </w:p>
        </w:tc>
        <w:tc>
          <w:tcPr>
            <w:tcW w:w="6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w:t>
            </w:r>
          </w:p>
        </w:tc>
        <w:tc>
          <w:tcPr>
            <w:tcW w:w="420" w:type="dxa"/>
            <w:vAlign w:val="bottom"/>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58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$ 11.0</w:t>
            </w:r>
          </w:p>
        </w:tc>
        <w:tc>
          <w:tcPr>
            <w:tcW w:w="600" w:type="dxa"/>
            <w:vAlign w:val="bottom"/>
            <w:vMerge w:val="continue"/>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Cost of product sales and services</w:t>
            </w:r>
          </w:p>
        </w:tc>
        <w:tc>
          <w:tcPr>
            <w:tcW w:w="18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78.7</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74.1</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6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32.7</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26.3</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6.4</w:t>
            </w:r>
          </w:p>
        </w:tc>
        <w:tc>
          <w:tcPr>
            <w:tcW w:w="6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 of revenue</w:t>
            </w:r>
          </w:p>
        </w:tc>
        <w:tc>
          <w:tcPr>
            <w:tcW w:w="180" w:type="dxa"/>
            <w:vAlign w:val="bottom"/>
          </w:tcPr>
          <w:p>
            <w:pPr>
              <w:spacing w:after="0"/>
              <w:rPr>
                <w:sz w:val="19"/>
                <w:szCs w:val="19"/>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29.4%</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Gross margin for first quarter fiscal 2012 was up $6.4 million, or 24.3%, over the same period in fiscal 2011. While the business gross margin in the quarter was in line with expectations for the period, the year-over-year improvement was primarily due to a one-time charge related to manufacturing overhead in the first quarter of fiscal 2011.</w:t>
      </w:r>
    </w:p>
    <w:p>
      <w:pPr>
        <w:spacing w:after="0" w:line="14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Prior to fiscal 2011, we capitalized most of the costs associated with our internal manufacturing operations as a component of the overall cost of product inventory. Beginning in the first quarter of fiscal 2011, we shifted the manufacturing of our products primarily to contract manufacturers and completed the transfer by the end of fiscal 2011. Accordingly, the costs associated with our internal operations organization are now expensed as incurred. Gross margin in the first quarter of fiscal 2011 was negatively impacted by the immediate expensing of $6.0 million of such costs in that quarter.</w:t>
      </w:r>
    </w:p>
    <w:p>
      <w:pPr>
        <w:spacing w:after="0" w:line="11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Exclusive of this one-time charge, the gross margin in the first quarter fiscal 2012 was lower than the same period in fiscal 2011 due to competitive pricing pressures. We continue to face strong competition for business which impacts price and our gross margin performance.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w w:val="94"/>
              </w:rPr>
              <w:t>Quarter Ended</w:t>
            </w: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940" w:type="dxa"/>
            <w:vAlign w:val="bottom"/>
          </w:tcPr>
          <w:p>
            <w:pPr>
              <w:spacing w:after="0"/>
              <w:rPr>
                <w:sz w:val="11"/>
                <w:szCs w:val="11"/>
                <w:color w:val="auto"/>
              </w:rPr>
            </w:pPr>
          </w:p>
        </w:tc>
        <w:tc>
          <w:tcPr>
            <w:tcW w:w="152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September 30,</w:t>
            </w:r>
          </w:p>
        </w:tc>
        <w:tc>
          <w:tcPr>
            <w:tcW w:w="11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October 1,</w:t>
            </w:r>
          </w:p>
        </w:tc>
        <w:tc>
          <w:tcPr>
            <w:tcW w:w="560" w:type="dxa"/>
            <w:vAlign w:val="bottom"/>
            <w:gridSpan w:val="2"/>
          </w:tcPr>
          <w:p>
            <w:pPr>
              <w:jc w:val="right"/>
              <w:ind w:right="102"/>
              <w:spacing w:after="0" w:line="129" w:lineRule="exact"/>
              <w:rPr>
                <w:sz w:val="20"/>
                <w:szCs w:val="20"/>
                <w:color w:val="auto"/>
              </w:rPr>
            </w:pPr>
            <w:r>
              <w:rPr>
                <w:rFonts w:ascii="Arial" w:cs="Arial" w:eastAsia="Arial" w:hAnsi="Arial"/>
                <w:sz w:val="14"/>
                <w:szCs w:val="14"/>
                <w:b w:val="1"/>
                <w:bCs w:val="1"/>
                <w:color w:val="auto"/>
              </w:rPr>
              <w:t>$</w:t>
            </w:r>
          </w:p>
        </w:tc>
        <w:tc>
          <w:tcPr>
            <w:tcW w:w="600" w:type="dxa"/>
            <w:vAlign w:val="bottom"/>
          </w:tcPr>
          <w:p>
            <w:pPr>
              <w:spacing w:after="0"/>
              <w:rPr>
                <w:sz w:val="11"/>
                <w:szCs w:val="11"/>
                <w:color w:val="auto"/>
              </w:rPr>
            </w:pPr>
          </w:p>
        </w:tc>
        <w:tc>
          <w:tcPr>
            <w:tcW w:w="440" w:type="dxa"/>
            <w:vAlign w:val="bottom"/>
          </w:tcPr>
          <w:p>
            <w:pPr>
              <w:jc w:val="right"/>
              <w:ind w:right="82"/>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940" w:type="dxa"/>
            <w:vAlign w:val="bottom"/>
          </w:tcPr>
          <w:p>
            <w:pPr>
              <w:spacing w:after="0"/>
              <w:rPr>
                <w:sz w:val="20"/>
                <w:szCs w:val="20"/>
                <w:color w:val="auto"/>
              </w:rPr>
            </w:pPr>
            <w:r>
              <w:rPr>
                <w:rFonts w:ascii="Arial" w:cs="Arial" w:eastAsia="Arial" w:hAnsi="Arial"/>
                <w:sz w:val="14"/>
                <w:szCs w:val="14"/>
                <w:b w:val="1"/>
                <w:bCs w:val="1"/>
                <w:color w:val="auto"/>
              </w:rPr>
              <w:t>(In millions, except %)</w:t>
            </w:r>
          </w:p>
        </w:tc>
        <w:tc>
          <w:tcPr>
            <w:tcW w:w="200" w:type="dxa"/>
            <w:vAlign w:val="bottom"/>
          </w:tcPr>
          <w:p>
            <w:pPr>
              <w:spacing w:after="0"/>
              <w:rPr>
                <w:sz w:val="14"/>
                <w:szCs w:val="14"/>
                <w:color w:val="auto"/>
              </w:rPr>
            </w:pPr>
          </w:p>
        </w:tc>
        <w:tc>
          <w:tcPr>
            <w:tcW w:w="640" w:type="dxa"/>
            <w:vAlign w:val="bottom"/>
          </w:tcPr>
          <w:p>
            <w:pPr>
              <w:jc w:val="right"/>
              <w:ind w:right="197"/>
              <w:spacing w:after="0"/>
              <w:rPr>
                <w:sz w:val="20"/>
                <w:szCs w:val="20"/>
                <w:color w:val="auto"/>
              </w:rPr>
            </w:pPr>
            <w:r>
              <w:rPr>
                <w:rFonts w:ascii="Arial" w:cs="Arial" w:eastAsia="Arial" w:hAnsi="Arial"/>
                <w:sz w:val="14"/>
                <w:szCs w:val="14"/>
                <w:b w:val="1"/>
                <w:bCs w:val="1"/>
                <w:color w:val="auto"/>
              </w:rPr>
              <w:t>2011</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ind w:right="80"/>
              <w:spacing w:after="0"/>
              <w:rPr>
                <w:sz w:val="20"/>
                <w:szCs w:val="20"/>
                <w:color w:val="auto"/>
              </w:rPr>
            </w:pPr>
            <w:r>
              <w:rPr>
                <w:rFonts w:ascii="Arial" w:cs="Arial" w:eastAsia="Arial" w:hAnsi="Arial"/>
                <w:sz w:val="14"/>
                <w:szCs w:val="14"/>
                <w:b w:val="1"/>
                <w:bCs w:val="1"/>
                <w:color w:val="auto"/>
                <w:w w:val="89"/>
              </w:rPr>
              <w:t>2010</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5"/>
              </w:rPr>
              <w:t>Change</w:t>
            </w:r>
          </w:p>
        </w:tc>
        <w:tc>
          <w:tcPr>
            <w:tcW w:w="7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0"/>
        </w:trPr>
        <w:tc>
          <w:tcPr>
            <w:tcW w:w="59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8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w:t>
            </w:r>
          </w:p>
        </w:tc>
        <w:tc>
          <w:tcPr>
            <w:tcW w:w="6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100.4</w:t>
            </w:r>
          </w:p>
        </w:tc>
        <w:tc>
          <w:tcPr>
            <w:tcW w:w="58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w w:val="83"/>
              </w:rPr>
              <w:t>$ 11.0</w:t>
            </w:r>
          </w:p>
        </w:tc>
        <w:tc>
          <w:tcPr>
            <w:tcW w:w="600" w:type="dxa"/>
            <w:vAlign w:val="bottom"/>
            <w:vMerge w:val="continue"/>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80"/>
              <w:spacing w:after="0"/>
              <w:rPr>
                <w:sz w:val="20"/>
                <w:szCs w:val="20"/>
                <w:color w:val="auto"/>
              </w:rPr>
            </w:pPr>
            <w:r>
              <w:rPr>
                <w:rFonts w:ascii="Arial" w:cs="Arial" w:eastAsia="Arial" w:hAnsi="Arial"/>
                <w:sz w:val="18"/>
                <w:szCs w:val="18"/>
                <w:color w:val="auto"/>
              </w:rPr>
              <w:t>9.0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9.7</w:t>
            </w:r>
          </w:p>
        </w:tc>
        <w:tc>
          <w:tcPr>
            <w:tcW w:w="580" w:type="dxa"/>
            <w:vAlign w:val="bottom"/>
          </w:tcPr>
          <w:p>
            <w:pPr>
              <w:spacing w:after="0"/>
              <w:rPr>
                <w:sz w:val="18"/>
                <w:szCs w:val="18"/>
                <w:color w:val="auto"/>
              </w:rPr>
            </w:pPr>
          </w:p>
        </w:tc>
        <w:tc>
          <w:tcPr>
            <w:tcW w:w="1160" w:type="dxa"/>
            <w:vAlign w:val="bottom"/>
            <w:gridSpan w:val="3"/>
          </w:tcPr>
          <w:p>
            <w:pPr>
              <w:ind w:left="120"/>
              <w:spacing w:after="0"/>
              <w:rPr>
                <w:sz w:val="20"/>
                <w:szCs w:val="20"/>
                <w:color w:val="auto"/>
              </w:rPr>
            </w:pPr>
            <w:r>
              <w:rPr>
                <w:rFonts w:ascii="Arial" w:cs="Arial" w:eastAsia="Arial" w:hAnsi="Arial"/>
                <w:sz w:val="18"/>
                <w:szCs w:val="18"/>
                <w:color w:val="auto"/>
              </w:rPr>
              <w:t>$ (0.7)</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 of revenue</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8.1%</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Our research and development expenses declined $0.7 million or 7.2%, compared with the same period in fiscal 2011, primarily due to a reduction in U.S. based workforce. We continue to invest in the new product features and functions and cost reductions that we believe will enable our product lines to retain their technology leads in a cost effective manner.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Administrative Expense</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w w:val="94"/>
              </w:rPr>
              <w:t>Quarter Ended</w:t>
            </w: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940" w:type="dxa"/>
            <w:vAlign w:val="bottom"/>
          </w:tcPr>
          <w:p>
            <w:pPr>
              <w:spacing w:after="0"/>
              <w:rPr>
                <w:sz w:val="11"/>
                <w:szCs w:val="11"/>
                <w:color w:val="auto"/>
              </w:rPr>
            </w:pPr>
          </w:p>
        </w:tc>
        <w:tc>
          <w:tcPr>
            <w:tcW w:w="152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September 30,</w:t>
            </w:r>
          </w:p>
        </w:tc>
        <w:tc>
          <w:tcPr>
            <w:tcW w:w="11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October 1,</w:t>
            </w:r>
          </w:p>
        </w:tc>
        <w:tc>
          <w:tcPr>
            <w:tcW w:w="560" w:type="dxa"/>
            <w:vAlign w:val="bottom"/>
            <w:gridSpan w:val="2"/>
          </w:tcPr>
          <w:p>
            <w:pPr>
              <w:jc w:val="right"/>
              <w:ind w:right="102"/>
              <w:spacing w:after="0" w:line="129" w:lineRule="exact"/>
              <w:rPr>
                <w:sz w:val="20"/>
                <w:szCs w:val="20"/>
                <w:color w:val="auto"/>
              </w:rPr>
            </w:pPr>
            <w:r>
              <w:rPr>
                <w:rFonts w:ascii="Arial" w:cs="Arial" w:eastAsia="Arial" w:hAnsi="Arial"/>
                <w:sz w:val="14"/>
                <w:szCs w:val="14"/>
                <w:b w:val="1"/>
                <w:bCs w:val="1"/>
                <w:color w:val="auto"/>
              </w:rPr>
              <w:t>$</w:t>
            </w:r>
          </w:p>
        </w:tc>
        <w:tc>
          <w:tcPr>
            <w:tcW w:w="600" w:type="dxa"/>
            <w:vAlign w:val="bottom"/>
          </w:tcPr>
          <w:p>
            <w:pPr>
              <w:spacing w:after="0"/>
              <w:rPr>
                <w:sz w:val="11"/>
                <w:szCs w:val="11"/>
                <w:color w:val="auto"/>
              </w:rPr>
            </w:pPr>
          </w:p>
        </w:tc>
        <w:tc>
          <w:tcPr>
            <w:tcW w:w="440" w:type="dxa"/>
            <w:vAlign w:val="bottom"/>
          </w:tcPr>
          <w:p>
            <w:pPr>
              <w:jc w:val="right"/>
              <w:ind w:right="82"/>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940" w:type="dxa"/>
            <w:vAlign w:val="bottom"/>
          </w:tcPr>
          <w:p>
            <w:pPr>
              <w:spacing w:after="0"/>
              <w:rPr>
                <w:sz w:val="20"/>
                <w:szCs w:val="20"/>
                <w:color w:val="auto"/>
              </w:rPr>
            </w:pPr>
            <w:r>
              <w:rPr>
                <w:rFonts w:ascii="Arial" w:cs="Arial" w:eastAsia="Arial" w:hAnsi="Arial"/>
                <w:sz w:val="14"/>
                <w:szCs w:val="14"/>
                <w:b w:val="1"/>
                <w:bCs w:val="1"/>
                <w:color w:val="auto"/>
              </w:rPr>
              <w:t>(In millions, except %)</w:t>
            </w:r>
          </w:p>
        </w:tc>
        <w:tc>
          <w:tcPr>
            <w:tcW w:w="200" w:type="dxa"/>
            <w:vAlign w:val="bottom"/>
          </w:tcPr>
          <w:p>
            <w:pPr>
              <w:spacing w:after="0"/>
              <w:rPr>
                <w:sz w:val="14"/>
                <w:szCs w:val="14"/>
                <w:color w:val="auto"/>
              </w:rPr>
            </w:pPr>
          </w:p>
        </w:tc>
        <w:tc>
          <w:tcPr>
            <w:tcW w:w="640" w:type="dxa"/>
            <w:vAlign w:val="bottom"/>
          </w:tcPr>
          <w:p>
            <w:pPr>
              <w:jc w:val="right"/>
              <w:ind w:right="197"/>
              <w:spacing w:after="0"/>
              <w:rPr>
                <w:sz w:val="20"/>
                <w:szCs w:val="20"/>
                <w:color w:val="auto"/>
              </w:rPr>
            </w:pPr>
            <w:r>
              <w:rPr>
                <w:rFonts w:ascii="Arial" w:cs="Arial" w:eastAsia="Arial" w:hAnsi="Arial"/>
                <w:sz w:val="14"/>
                <w:szCs w:val="14"/>
                <w:b w:val="1"/>
                <w:bCs w:val="1"/>
                <w:color w:val="auto"/>
              </w:rPr>
              <w:t>2011</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ind w:right="80"/>
              <w:spacing w:after="0"/>
              <w:rPr>
                <w:sz w:val="20"/>
                <w:szCs w:val="20"/>
                <w:color w:val="auto"/>
              </w:rPr>
            </w:pPr>
            <w:r>
              <w:rPr>
                <w:rFonts w:ascii="Arial" w:cs="Arial" w:eastAsia="Arial" w:hAnsi="Arial"/>
                <w:sz w:val="14"/>
                <w:szCs w:val="14"/>
                <w:b w:val="1"/>
                <w:bCs w:val="1"/>
                <w:color w:val="auto"/>
                <w:w w:val="89"/>
              </w:rPr>
              <w:t>2010</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5"/>
              </w:rPr>
              <w:t>Change</w:t>
            </w:r>
          </w:p>
        </w:tc>
        <w:tc>
          <w:tcPr>
            <w:tcW w:w="7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0"/>
        </w:trPr>
        <w:tc>
          <w:tcPr>
            <w:tcW w:w="59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8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w:t>
            </w:r>
          </w:p>
        </w:tc>
        <w:tc>
          <w:tcPr>
            <w:tcW w:w="6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100.4</w:t>
            </w:r>
          </w:p>
        </w:tc>
        <w:tc>
          <w:tcPr>
            <w:tcW w:w="58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w w:val="83"/>
              </w:rPr>
              <w:t>$ 11.0</w:t>
            </w:r>
          </w:p>
        </w:tc>
        <w:tc>
          <w:tcPr>
            <w:tcW w:w="600" w:type="dxa"/>
            <w:vAlign w:val="bottom"/>
            <w:vMerge w:val="continue"/>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Selling and administrative</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80"/>
              <w:spacing w:after="0"/>
              <w:rPr>
                <w:sz w:val="20"/>
                <w:szCs w:val="20"/>
                <w:color w:val="auto"/>
              </w:rPr>
            </w:pPr>
            <w:r>
              <w:rPr>
                <w:rFonts w:ascii="Arial" w:cs="Arial" w:eastAsia="Arial" w:hAnsi="Arial"/>
                <w:sz w:val="18"/>
                <w:szCs w:val="18"/>
                <w:color w:val="auto"/>
              </w:rPr>
              <w:t>24.6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28.4</w:t>
            </w:r>
          </w:p>
        </w:tc>
        <w:tc>
          <w:tcPr>
            <w:tcW w:w="580" w:type="dxa"/>
            <w:vAlign w:val="bottom"/>
          </w:tcPr>
          <w:p>
            <w:pPr>
              <w:spacing w:after="0"/>
              <w:rPr>
                <w:sz w:val="18"/>
                <w:szCs w:val="18"/>
                <w:color w:val="auto"/>
              </w:rPr>
            </w:pPr>
          </w:p>
        </w:tc>
        <w:tc>
          <w:tcPr>
            <w:tcW w:w="1160" w:type="dxa"/>
            <w:vAlign w:val="bottom"/>
            <w:gridSpan w:val="3"/>
          </w:tcPr>
          <w:p>
            <w:pPr>
              <w:ind w:left="120"/>
              <w:spacing w:after="0"/>
              <w:rPr>
                <w:sz w:val="20"/>
                <w:szCs w:val="20"/>
                <w:color w:val="auto"/>
              </w:rPr>
            </w:pPr>
            <w:r>
              <w:rPr>
                <w:rFonts w:ascii="Arial" w:cs="Arial" w:eastAsia="Arial" w:hAnsi="Arial"/>
                <w:sz w:val="18"/>
                <w:szCs w:val="18"/>
                <w:color w:val="auto"/>
              </w:rPr>
              <w:t>$ (3.8)</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(13.4)%</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 of revenue</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22.1%</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28.3%</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Our selling and administrative expenses declined significantly by $3.8 million or 13.4%, and these expenses as a percentage of our revenue was reduced to 22.1% in the first quarter of fiscal 2012 as compared with 28.3% in the same period in 2011. The reductions were due primarily to a $1.8 million decrease in agent commission expenses driven by lower fee-based revenues and a $1.6 million decrease in sales and administrative compensation expenses as a result of the restructuring programs we implemented over the past two years. We will continue to seek ways to improve our operating efficiency during fiscal 2012.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(Loss), Interest Income and Interest Expense</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Quarter Ended</w:t>
            </w:r>
          </w:p>
        </w:tc>
        <w:tc>
          <w:tcPr>
            <w:tcW w:w="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29"/>
        </w:trPr>
        <w:tc>
          <w:tcPr>
            <w:tcW w:w="422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6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64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9"/>
              </w:rPr>
              <w:t>October 1,</w:t>
            </w:r>
          </w:p>
        </w:tc>
        <w:tc>
          <w:tcPr>
            <w:tcW w:w="120" w:type="dxa"/>
            <w:vAlign w:val="bottom"/>
          </w:tcPr>
          <w:p>
            <w:pPr>
              <w:spacing w:after="0"/>
              <w:rPr>
                <w:sz w:val="11"/>
                <w:szCs w:val="11"/>
                <w:color w:val="auto"/>
              </w:rPr>
            </w:pPr>
          </w:p>
        </w:tc>
      </w:tr>
      <w:tr>
        <w:trPr>
          <w:trHeight w:val="161"/>
        </w:trPr>
        <w:tc>
          <w:tcPr>
            <w:tcW w:w="422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2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200"/>
              <w:spacing w:after="0"/>
              <w:rPr>
                <w:sz w:val="20"/>
                <w:szCs w:val="20"/>
                <w:color w:val="auto"/>
              </w:rPr>
            </w:pPr>
            <w:r>
              <w:rPr>
                <w:rFonts w:ascii="Arial" w:cs="Arial" w:eastAsia="Arial" w:hAnsi="Arial"/>
                <w:sz w:val="14"/>
                <w:szCs w:val="14"/>
                <w:b w:val="1"/>
                <w:bCs w:val="1"/>
                <w:color w:val="auto"/>
              </w:rPr>
              <w:t>2011</w:t>
            </w:r>
          </w:p>
        </w:tc>
        <w:tc>
          <w:tcPr>
            <w:tcW w:w="800" w:type="dxa"/>
            <w:vAlign w:val="bottom"/>
          </w:tcPr>
          <w:p>
            <w:pPr>
              <w:spacing w:after="0"/>
              <w:rPr>
                <w:sz w:val="14"/>
                <w:szCs w:val="14"/>
                <w:color w:val="auto"/>
              </w:rPr>
            </w:pPr>
          </w:p>
        </w:tc>
        <w:tc>
          <w:tcPr>
            <w:tcW w:w="64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4"/>
                <w:szCs w:val="14"/>
                <w:color w:val="auto"/>
              </w:rPr>
            </w:pPr>
          </w:p>
        </w:tc>
      </w:tr>
      <w:tr>
        <w:trPr>
          <w:trHeight w:val="210"/>
        </w:trPr>
        <w:tc>
          <w:tcPr>
            <w:tcW w:w="42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Loss on sale of NetBoss assets</w:t>
            </w:r>
          </w:p>
        </w:tc>
        <w:tc>
          <w:tcPr>
            <w:tcW w:w="20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(3.9)</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Interest income</w:t>
            </w:r>
          </w:p>
        </w:tc>
        <w:tc>
          <w:tcPr>
            <w:tcW w:w="2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0.2</w:t>
            </w:r>
          </w:p>
        </w:tc>
        <w:tc>
          <w:tcPr>
            <w:tcW w:w="8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(0.4)</w:t>
            </w: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(0.6)</w:t>
            </w:r>
          </w:p>
        </w:tc>
      </w:tr>
    </w:tbl>
    <w:p>
      <w:pPr>
        <w:spacing w:after="0" w:line="154"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During first quarter of fiscal 2011, we incurred a $3.9 million loss on the sale of NetBoss assets. Interest expense was primarily related to preference dividends on our $8.25 million redeemable preference shares and interest expenses associated with our credit facilities and letter of credits. The $8.25 million preference shares will be redeemed on January 30, 2012.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w w:val="94"/>
              </w:rPr>
              <w:t>Quarter Ended</w:t>
            </w:r>
          </w:p>
        </w:tc>
        <w:tc>
          <w:tcPr>
            <w:tcW w:w="4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0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1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1"/>
                <w:szCs w:val="11"/>
                <w:color w:val="auto"/>
              </w:rPr>
            </w:pPr>
          </w:p>
        </w:tc>
        <w:tc>
          <w:tcPr>
            <w:tcW w:w="1140" w:type="dxa"/>
            <w:vAlign w:val="bottom"/>
            <w:gridSpan w:val="3"/>
          </w:tcPr>
          <w:p>
            <w:pPr>
              <w:jc w:val="right"/>
              <w:ind w:right="540"/>
              <w:spacing w:after="0" w:line="129" w:lineRule="exact"/>
              <w:rPr>
                <w:sz w:val="20"/>
                <w:szCs w:val="20"/>
                <w:color w:val="auto"/>
              </w:rPr>
            </w:pPr>
            <w:r>
              <w:rPr>
                <w:rFonts w:ascii="Arial" w:cs="Arial" w:eastAsia="Arial" w:hAnsi="Arial"/>
                <w:sz w:val="14"/>
                <w:szCs w:val="14"/>
                <w:b w:val="1"/>
                <w:bCs w:val="1"/>
                <w:color w:val="auto"/>
                <w:w w:val="83"/>
              </w:rPr>
              <w:t>October 1,</w:t>
            </w:r>
          </w:p>
        </w:tc>
        <w:tc>
          <w:tcPr>
            <w:tcW w:w="4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11"/>
                <w:szCs w:val="11"/>
                <w:color w:val="auto"/>
              </w:rPr>
            </w:pPr>
          </w:p>
        </w:tc>
        <w:tc>
          <w:tcPr>
            <w:tcW w:w="500" w:type="dxa"/>
            <w:vAlign w:val="bottom"/>
          </w:tcPr>
          <w:p>
            <w:pPr>
              <w:jc w:val="right"/>
              <w:ind w:right="102"/>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000" w:type="dxa"/>
            <w:vAlign w:val="bottom"/>
          </w:tcPr>
          <w:p>
            <w:pPr>
              <w:spacing w:after="0"/>
              <w:rPr>
                <w:sz w:val="20"/>
                <w:szCs w:val="20"/>
                <w:color w:val="auto"/>
              </w:rPr>
            </w:pPr>
            <w:r>
              <w:rPr>
                <w:rFonts w:ascii="Arial" w:cs="Arial" w:eastAsia="Arial" w:hAnsi="Arial"/>
                <w:sz w:val="14"/>
                <w:szCs w:val="14"/>
                <w:b w:val="1"/>
                <w:bCs w:val="1"/>
                <w:color w:val="auto"/>
              </w:rPr>
              <w:t>(In millions, except %)</w:t>
            </w: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ind w:right="199"/>
              <w:spacing w:after="0"/>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102"/>
              <w:spacing w:after="0"/>
              <w:rPr>
                <w:sz w:val="20"/>
                <w:szCs w:val="20"/>
                <w:color w:val="auto"/>
              </w:rPr>
            </w:pPr>
            <w:r>
              <w:rPr>
                <w:rFonts w:ascii="Arial" w:cs="Arial" w:eastAsia="Arial" w:hAnsi="Arial"/>
                <w:sz w:val="14"/>
                <w:szCs w:val="14"/>
                <w:b w:val="1"/>
                <w:bCs w:val="1"/>
                <w:color w:val="auto"/>
                <w:w w:val="89"/>
              </w:rPr>
              <w:t>2010</w:t>
            </w:r>
          </w:p>
        </w:tc>
        <w:tc>
          <w:tcPr>
            <w:tcW w:w="540" w:type="dxa"/>
            <w:vAlign w:val="bottom"/>
          </w:tcPr>
          <w:p>
            <w:pPr>
              <w:spacing w:after="0"/>
              <w:rPr>
                <w:sz w:val="14"/>
                <w:szCs w:val="14"/>
                <w:color w:val="auto"/>
              </w:rPr>
            </w:pP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Change</w:t>
            </w:r>
          </w:p>
        </w:tc>
        <w:tc>
          <w:tcPr>
            <w:tcW w:w="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0"/>
        </w:trPr>
        <w:tc>
          <w:tcPr>
            <w:tcW w:w="50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Loss from continuing operations before income taxes</w:t>
            </w:r>
          </w:p>
        </w:tc>
        <w:tc>
          <w:tcPr>
            <w:tcW w:w="124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tcBorders>
              <w:right w:val="single" w:sz="8" w:color="CCEEFF"/>
            </w:tcBorders>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0" w:type="dxa"/>
            <w:vAlign w:val="bottom"/>
            <w:vMerge w:val="continue"/>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w:t>
            </w:r>
          </w:p>
        </w:tc>
        <w:tc>
          <w:tcPr>
            <w:tcW w:w="2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(22.5)</w:t>
            </w:r>
          </w:p>
        </w:tc>
        <w:tc>
          <w:tcPr>
            <w:tcW w:w="540" w:type="dxa"/>
            <w:vAlign w:val="bottom"/>
            <w:tcBorders>
              <w:right w:val="single" w:sz="8" w:color="CCEEFF"/>
            </w:tcBorders>
            <w:vMerge w:val="continue"/>
            <w:shd w:val="clear" w:color="auto" w:fill="CCEEFF"/>
          </w:tcPr>
          <w:p>
            <w:pPr>
              <w:spacing w:after="0"/>
              <w:rPr>
                <w:sz w:val="18"/>
                <w:szCs w:val="18"/>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$ 19.8</w:t>
            </w:r>
          </w:p>
        </w:tc>
        <w:tc>
          <w:tcPr>
            <w:tcW w:w="540" w:type="dxa"/>
            <w:vAlign w:val="bottom"/>
            <w:vMerge w:val="continue"/>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r>
        <w:trPr>
          <w:trHeight w:val="222"/>
        </w:trPr>
        <w:tc>
          <w:tcPr>
            <w:tcW w:w="500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144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(5.5)</w:t>
            </w:r>
          </w:p>
        </w:tc>
        <w:tc>
          <w:tcPr>
            <w:tcW w:w="440" w:type="dxa"/>
            <w:vAlign w:val="bottom"/>
          </w:tcPr>
          <w:p>
            <w:pPr>
              <w:jc w:val="center"/>
              <w:spacing w:after="0"/>
              <w:rPr>
                <w:sz w:val="20"/>
                <w:szCs w:val="20"/>
                <w:color w:val="auto"/>
              </w:rPr>
            </w:pPr>
            <w:r>
              <w:rPr>
                <w:rFonts w:ascii="Arial" w:cs="Arial" w:eastAsia="Arial" w:hAnsi="Arial"/>
                <w:sz w:val="18"/>
                <w:szCs w:val="18"/>
                <w:color w:val="auto"/>
                <w:w w:val="97"/>
              </w:rPr>
              <w:t>$  6.5</w:t>
            </w:r>
          </w:p>
        </w:tc>
        <w:tc>
          <w:tcPr>
            <w:tcW w:w="54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(118.2)%</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The determination of expense for income taxes for first quarter of fiscal 2012 of $1.0 million and benefit for income taxes for first quarter of fiscal 2011 of $5.5 million was primarily based on our estimated annual effective tax rate adjusted for losses in separate jurisdictions for which no tax benefit can be recognized. The tax benefit in the first quarter of fiscal year 2011 also included a benefit of $1.9 million associated with the expiring favorable tax ruling granted by the Singapore Economic Development Board which has increased the local tax rate applied to all deferred tax assets that have been projected to reverse subsequent to the expiration of this ruling. The determination of first quarter fiscal 2012 income tax expense and first quarter 2011 tax benefit reflected tax expense and benefit generated in certain foreign jurisdictions. We accrued tax expenses for foreign jurisdictions that are anticipated to be profitable for fiscal 2012.</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Our effective tax rate varies from the U.S. federal statutory rate of 35% due to results of foreign operations that are subject to income taxes at different statutory rates and certain jurisdictions where we cannot recognize tax benefits on current losses.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from Discontinued Operations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9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Quarter Ended</w:t>
            </w: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960" w:type="dxa"/>
            <w:vAlign w:val="bottom"/>
          </w:tcPr>
          <w:p>
            <w:pPr>
              <w:spacing w:after="0"/>
              <w:rPr>
                <w:sz w:val="11"/>
                <w:szCs w:val="11"/>
                <w:color w:val="auto"/>
              </w:rPr>
            </w:pPr>
          </w:p>
        </w:tc>
        <w:tc>
          <w:tcPr>
            <w:tcW w:w="15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6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October 1,</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96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4"/>
                <w:szCs w:val="14"/>
                <w:color w:val="auto"/>
              </w:rPr>
            </w:pPr>
          </w:p>
        </w:tc>
        <w:tc>
          <w:tcPr>
            <w:tcW w:w="640" w:type="dxa"/>
            <w:vAlign w:val="bottom"/>
          </w:tcPr>
          <w:p>
            <w:pPr>
              <w:jc w:val="right"/>
              <w:ind w:right="206"/>
              <w:spacing w:after="0"/>
              <w:rPr>
                <w:sz w:val="20"/>
                <w:szCs w:val="20"/>
                <w:color w:val="auto"/>
              </w:rPr>
            </w:pPr>
            <w:r>
              <w:rPr>
                <w:rFonts w:ascii="Arial" w:cs="Arial" w:eastAsia="Arial" w:hAnsi="Arial"/>
                <w:sz w:val="14"/>
                <w:szCs w:val="14"/>
                <w:b w:val="1"/>
                <w:bCs w:val="1"/>
                <w:color w:val="auto"/>
              </w:rPr>
              <w:t>2011</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82"/>
              <w:spacing w:after="0"/>
              <w:rPr>
                <w:sz w:val="20"/>
                <w:szCs w:val="20"/>
                <w:color w:val="auto"/>
              </w:rPr>
            </w:pPr>
            <w:r>
              <w:rPr>
                <w:rFonts w:ascii="Arial" w:cs="Arial" w:eastAsia="Arial" w:hAnsi="Arial"/>
                <w:sz w:val="14"/>
                <w:szCs w:val="14"/>
                <w:b w:val="1"/>
                <w:bCs w:val="1"/>
                <w:color w:val="auto"/>
                <w:w w:val="96"/>
              </w:rPr>
              <w:t>2011</w:t>
            </w:r>
          </w:p>
        </w:tc>
        <w:tc>
          <w:tcPr>
            <w:tcW w:w="740" w:type="dxa"/>
            <w:vAlign w:val="bottom"/>
          </w:tcPr>
          <w:p>
            <w:pPr>
              <w:spacing w:after="0"/>
              <w:rPr>
                <w:sz w:val="14"/>
                <w:szCs w:val="14"/>
                <w:color w:val="auto"/>
              </w:rPr>
            </w:pPr>
          </w:p>
        </w:tc>
        <w:tc>
          <w:tcPr>
            <w:tcW w:w="80" w:type="dxa"/>
            <w:vAlign w:val="bottom"/>
          </w:tcPr>
          <w:p>
            <w:pPr>
              <w:spacing w:after="0"/>
              <w:rPr>
                <w:sz w:val="20"/>
                <w:szCs w:val="20"/>
                <w:color w:val="auto"/>
              </w:rPr>
            </w:pPr>
            <w:r>
              <w:rPr>
                <w:rFonts w:ascii="Arial" w:cs="Arial" w:eastAsia="Arial" w:hAnsi="Arial"/>
                <w:sz w:val="14"/>
                <w:szCs w:val="14"/>
                <w:b w:val="1"/>
                <w:bCs w:val="1"/>
                <w:color w:val="auto"/>
                <w:w w:val="76"/>
              </w:rPr>
              <w:t>$</w:t>
            </w:r>
          </w:p>
        </w:tc>
        <w:tc>
          <w:tcPr>
            <w:tcW w:w="5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0"/>
        </w:trPr>
        <w:tc>
          <w:tcPr>
            <w:tcW w:w="69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Loss from discontinued operations, net of $0.2 million income tax</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4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6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Our discontinued operations consist of the WiMAX business, which was sold to EION on September 2, 2011. The $1.2 million decrease of loss in first quarter of fiscal 2012 as compared with prior year quarter was primarily due to a $4.1 million higher gross margin resulting primarily from the sale of inventories that had been previously written down, partially offset by a $2.0 million loss on the disposition of WiMAX and $0.7 million of employee retention expenses.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Cash</w:t>
      </w:r>
    </w:p>
    <w:p>
      <w:pPr>
        <w:spacing w:after="0" w:line="90"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As of September 30, 2011, our total cash and cash equivalents was $87.6 million. Approximately $26.8 million or 31% of our total cash and cash equivalents was held by entities domiciled in the United States. The remaining balance of $60.8 million or 69% was held by entities outside the United States, primarily in Singapore and Nigeria, and could be subject to additional taxation if it were to be repatriated to the United States.</w:t>
      </w:r>
    </w:p>
    <w:p>
      <w:pPr>
        <w:spacing w:after="0" w:line="107" w:lineRule="exact"/>
        <w:rPr>
          <w:sz w:val="20"/>
          <w:szCs w:val="20"/>
          <w:color w:val="auto"/>
        </w:rPr>
      </w:pPr>
    </w:p>
    <w:p>
      <w:pPr>
        <w:jc w:val="both"/>
        <w:ind w:right="160" w:firstLine="456"/>
        <w:spacing w:after="0" w:line="298" w:lineRule="auto"/>
        <w:rPr>
          <w:sz w:val="20"/>
          <w:szCs w:val="20"/>
          <w:color w:val="auto"/>
        </w:rPr>
      </w:pPr>
      <w:r>
        <w:rPr>
          <w:rFonts w:ascii="Arial" w:cs="Arial" w:eastAsia="Arial" w:hAnsi="Arial"/>
          <w:sz w:val="16"/>
          <w:szCs w:val="16"/>
          <w:color w:val="auto"/>
        </w:rPr>
        <w:t>As of September 30, 2011, our principal sources of liquidity consisted of the $87.6 million in cash and cash equivalents, $24.8 million of available credit under our current $40.0 million credit facility with Silicon Valley Bank, and cash collections from customers. Historically our primary sources of liquidity have been cash flows from operations, credit facilities and cash proceeds from sale of our equity securities. During the first quarter of fiscal 2012, our total cash and cash equivalents decreased by $10.6 million primarily due to cash used in operating activities and capital expenditures.</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Cash used in operating activities was $6.6 million in the first quarter of fiscal 2012 primarily due to the net loss (after non-cash adjustments) of $0.7 million, a decrease in accounts payable and accrued liabilities of $8.9 million, and a decrease in customer advance payments and unearned income of $5.5 million, partially offset by a decrease in receivables of $8.3 million. A large portion of the decrease in accounts payable was due to payments on previous purchase commitments related to WiMAX and North America legacy product lines during the quarter. We also made $2.2 million in cash payments on restructuring liabilities related to our restructuring programs. Customer advance payments and unearned income decreased as a result of changes in timing of customer billings on certain projects during the quarter. Our accounts receivable decreased during the first quarter of fiscal 2012 primarily due to lower shipments during the quarter compared with the previous quarter.</w:t>
      </w:r>
    </w:p>
    <w:p>
      <w:pPr>
        <w:spacing w:after="0" w:line="118"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We expect to continue using cash in operating activities during the second quarter of fiscal 2012, primarily related to restructuring and winding down our WiMAX business. We expect the cash generation to be neutral to slightly positive for the second half of fiscal 2012. We believe that our existing cash and cash equivalents, the available line of credit and future cash collections from customers will be sufficient to meet our working capital requirements for the next 12 months and the foreseeable future.</w:t>
      </w:r>
    </w:p>
    <w:p>
      <w:pPr>
        <w:spacing w:after="0" w:line="143"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To accommodate our customers’ requests in granting them credit, we regularly accept longer term letters of credit from some customers. These letters of credit are generally discounted without recourse shortly after shipment occurs in order to meet immediate liquidity requirements and to reduce our credit and sovereign risk.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Credit Facility and Repayment of Debt</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of September 30, 2011, we had $24.8 million of credit available under our $40.0 million revolving credit facility with Silicon Valley Bank as mentioned above. The total amount of revolving credit available was $40.0 million less $6.0 million in outstanding short term demand borrowings and $9.2 million in outstanding standby letters of credit issued under the facility.</w:t>
      </w:r>
    </w:p>
    <w:p>
      <w:pPr>
        <w:spacing w:after="0" w:line="140"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 xml:space="preserve">In an amendment to the facility effective November 2, 2011, the commitment of $40.0 million under the facility was extended to expire on February 28, 2014 and provides for (1) demand borrowings at the prime rate published in the </w:t>
      </w:r>
      <w:r>
        <w:rPr>
          <w:rFonts w:ascii="Arial" w:cs="Arial" w:eastAsia="Arial" w:hAnsi="Arial"/>
          <w:sz w:val="16"/>
          <w:szCs w:val="16"/>
          <w:i w:val="1"/>
          <w:iCs w:val="1"/>
          <w:color w:val="auto"/>
        </w:rPr>
        <w:t>Wall Street Journal</w:t>
      </w:r>
      <w:r>
        <w:rPr>
          <w:rFonts w:ascii="Arial" w:cs="Arial" w:eastAsia="Arial" w:hAnsi="Arial"/>
          <w:sz w:val="16"/>
          <w:szCs w:val="16"/>
          <w:color w:val="auto"/>
        </w:rPr>
        <w:t>, (2) fixed term Eurodollar loans for up to six months at LIBOR plus a spread of between 2.00% to 2.75% based on the company’s current leverage ratio, (3) a two year term loan in an amount up to $8.25 million at a fixed rate of 5% per annum to be drawn by January 31, 2012, and (4) the issuance of standby or commercial letters of credit. The term loan will be repaid in monthly equal installments of principal plus accrued interest. We intend to draw down this amount on January 30, 2012 to coincide with the redemption of our preference shares on that date. The facility contains a minimum liquidity ratio covenant and a minimum profitability covenant and is secured by certain of the company’s assets.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Based on financial covenants included as part of the amended credit facility we must maintain, as measured at the last day of each fiscal quarter beginning September 30, 2011, (1) no less than a minimum liquidity ratio of 1.50 to 1 (defined as the ratio of total domestic unrestricted cash and cash equivalents plus short-term and long-term marketable securities plus the lesser of 25% of eligible accounts receivable or $12.5 million to total obligations outstanding with the bank) and (2) minimum consolidated EBITDA measured for each fiscal quarter. As of September 30, 2011, we were in compliance with these financial covenants.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 of Redeemable Preference Shares</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On June 30, 2011, we entered into an agreement with Harris Corporation for the early redemption of the preference shares issued by our Singapore subsidiary and held by Harris and another stockholder. The shares will be redeemed on January 30, 2012, the fifth anniversary of their issuance, at their total face value of $8.25 million. We intend to redeem the shares with the proceeds of a long-term loan under the terms of an amendment to our credit facility with Silicon Valley Bank, as discussed above.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and Payments</w:t>
      </w:r>
    </w:p>
    <w:p>
      <w:pPr>
        <w:spacing w:after="0" w:line="9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We have a liability for restructuring activities totaling $3.7 million as of September 30, 2011, $3.2 million of which is classified as current liability and expected to be paid out in cash over the next year. Additionally, during the remainder of fiscal 2012, we expect to incur approximately $4.5 million of additional charges from our restructuring activities. We expect to fund these future payments with available cash and cash flow provided by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Commitments and Contractual Obligations</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amounts disclosed in our Fiscal 2011 Form 10-K include our commercial commitments and contractual obligations. During the quarter ended September 30, 2011, no material changes occurred in our contractual cash obligations to repay debt, to purchase goods and services and to make payments under operating leases or our commercial commitments and contingent liabilities on outstanding letters of credit, guarantees and other arrangements as disclosed in our Fiscal 2011 Form 10-K.</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For information about our critical accounting estimates, see the “Critical Accounting Estimates” section of “Item 7. Management’s Discussion and Analysis of Financial Condition and Results of Operations” in our Fiscal 2011 Form 10-K.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Recently Issued Accounting Pronouncements</w:t>
      </w:r>
    </w:p>
    <w:p>
      <w:pPr>
        <w:spacing w:after="0" w:line="96"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As described in “Note 2 — Recently Issued Accounting Standards” in the Notes to Condensed Consolidated Financial Statements, there are accounting pronouncements that have recently been issued but have not yet been implemented by us. Note 2 describes the potential impact that these pronouncements are expected to have on our financial position, results of operations and cash flows.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Risk Management</w:t>
      </w:r>
    </w:p>
    <w:p>
      <w:pPr>
        <w:spacing w:after="0" w:line="96"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In the normal course of doing business, we are exposed to the risks associated with foreign currency exchange rates and changes in interest rates. We employ established policies and procedures governing the use of financial instruments to manage our exposure to such risks.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Rate Risk</w:t>
      </w:r>
    </w:p>
    <w:p>
      <w:pPr>
        <w:spacing w:after="0" w:line="96"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We conduct business globally in numerous currencies and are therefore exposed to foreign currency risks. We use derivative instruments to reduce the volatility of earnings and cash flows associated with changes in foreign currency exchange rates. We do not hold nor issue derivatives for trading purposes or make speculative investments in foreign currencies.</w:t>
      </w:r>
    </w:p>
    <w:p>
      <w:pPr>
        <w:spacing w:after="0" w:line="14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use foreign exchange forward contracts to hedge forecasted foreign currency transactions relating to forecasted sales and purchase transactions. These derivatives are designated as cash flow hedges and are carried at fair value. The effective portion of the gain or loss initially reported as a component of accumulated other comprehensive income (loss), and upon occurrence of the forecasted transaction, is subsequently reclassified into the income or expense line item to which the hedged transaction relates. We also enter into foreign exchange forward contracts to mitigate the change in fair value of specific non-functional currency assets and liabilities on the balance sheet. All balance sheet hedges are marked to market through earnings every period. Changes in the fair value of these derivatives are largely offset by re-measurement of the underlying assets and liabilities.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As of September 30, 2011, we had 46 foreign currency forward contracts outstanding with a total net notional amount of $21.3 million consisting of 13 different currencies. Following is a summary of the net notional amount of our outstanding contracts grouped by the underlying foreign currency as of September 30, 2011:</w:t>
      </w:r>
    </w:p>
    <w:p>
      <w:pPr>
        <w:spacing w:after="0" w:line="16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Notional</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1700" w:type="dxa"/>
            <w:vAlign w:val="bottom"/>
          </w:tcPr>
          <w:p>
            <w:pPr>
              <w:jc w:val="center"/>
              <w:ind w:right="620"/>
              <w:spacing w:after="0" w:line="149" w:lineRule="exact"/>
              <w:rPr>
                <w:sz w:val="20"/>
                <w:szCs w:val="20"/>
                <w:color w:val="auto"/>
              </w:rPr>
            </w:pPr>
            <w:r>
              <w:rPr>
                <w:rFonts w:ascii="Arial" w:cs="Arial" w:eastAsia="Arial" w:hAnsi="Arial"/>
                <w:sz w:val="14"/>
                <w:szCs w:val="14"/>
                <w:b w:val="1"/>
                <w:bCs w:val="1"/>
                <w:color w:val="auto"/>
                <w:w w:val="90"/>
              </w:rPr>
              <w:t>Contract</w:t>
            </w:r>
          </w:p>
        </w:tc>
        <w:tc>
          <w:tcPr>
            <w:tcW w:w="160" w:type="dxa"/>
            <w:vAlign w:val="bottom"/>
          </w:tcPr>
          <w:p>
            <w:pPr>
              <w:spacing w:after="0"/>
              <w:rPr>
                <w:sz w:val="12"/>
                <w:szCs w:val="12"/>
                <w:color w:val="auto"/>
              </w:rPr>
            </w:pPr>
          </w:p>
        </w:tc>
        <w:tc>
          <w:tcPr>
            <w:tcW w:w="6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Contract</w:t>
            </w:r>
          </w:p>
        </w:tc>
        <w:tc>
          <w:tcPr>
            <w:tcW w:w="0" w:type="dxa"/>
            <w:vAlign w:val="bottom"/>
          </w:tcPr>
          <w:p>
            <w:pPr>
              <w:spacing w:after="0"/>
              <w:rPr>
                <w:sz w:val="1"/>
                <w:szCs w:val="1"/>
                <w:color w:val="auto"/>
              </w:rPr>
            </w:pPr>
          </w:p>
        </w:tc>
      </w:tr>
      <w:tr>
        <w:trPr>
          <w:trHeight w:val="149"/>
        </w:trPr>
        <w:tc>
          <w:tcPr>
            <w:tcW w:w="7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Currency</w:t>
            </w:r>
          </w:p>
        </w:tc>
        <w:tc>
          <w:tcPr>
            <w:tcW w:w="1700" w:type="dxa"/>
            <w:vAlign w:val="bottom"/>
          </w:tcPr>
          <w:p>
            <w:pPr>
              <w:jc w:val="center"/>
              <w:ind w:right="600"/>
              <w:spacing w:after="0" w:line="149" w:lineRule="exact"/>
              <w:rPr>
                <w:sz w:val="20"/>
                <w:szCs w:val="20"/>
                <w:color w:val="auto"/>
              </w:rPr>
            </w:pPr>
            <w:r>
              <w:rPr>
                <w:rFonts w:ascii="Arial" w:cs="Arial" w:eastAsia="Arial" w:hAnsi="Arial"/>
                <w:sz w:val="14"/>
                <w:szCs w:val="14"/>
                <w:b w:val="1"/>
                <w:bCs w:val="1"/>
                <w:color w:val="auto"/>
                <w:w w:val="88"/>
              </w:rPr>
              <w:t>Net Amount</w:t>
            </w:r>
          </w:p>
        </w:tc>
        <w:tc>
          <w:tcPr>
            <w:tcW w:w="160" w:type="dxa"/>
            <w:vAlign w:val="bottom"/>
          </w:tcPr>
          <w:p>
            <w:pPr>
              <w:spacing w:after="0"/>
              <w:rPr>
                <w:sz w:val="12"/>
                <w:szCs w:val="12"/>
                <w:color w:val="auto"/>
              </w:rPr>
            </w:pPr>
          </w:p>
        </w:tc>
        <w:tc>
          <w:tcPr>
            <w:tcW w:w="6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55"/>
        </w:trPr>
        <w:tc>
          <w:tcPr>
            <w:tcW w:w="7080" w:type="dxa"/>
            <w:vAlign w:val="bottom"/>
            <w:gridSpan w:val="2"/>
            <w:vMerge w:val="continue"/>
          </w:tcPr>
          <w:p>
            <w:pPr>
              <w:spacing w:after="0"/>
              <w:rPr>
                <w:sz w:val="13"/>
                <w:szCs w:val="13"/>
                <w:color w:val="auto"/>
              </w:rPr>
            </w:pPr>
          </w:p>
        </w:tc>
        <w:tc>
          <w:tcPr>
            <w:tcW w:w="1700" w:type="dxa"/>
            <w:vAlign w:val="bottom"/>
          </w:tcPr>
          <w:p>
            <w:pPr>
              <w:jc w:val="center"/>
              <w:ind w:right="620"/>
              <w:spacing w:after="0" w:line="148" w:lineRule="exact"/>
              <w:rPr>
                <w:sz w:val="20"/>
                <w:szCs w:val="20"/>
                <w:color w:val="auto"/>
              </w:rPr>
            </w:pPr>
            <w:r>
              <w:rPr>
                <w:rFonts w:ascii="Arial" w:cs="Arial" w:eastAsia="Arial" w:hAnsi="Arial"/>
                <w:sz w:val="14"/>
                <w:szCs w:val="14"/>
                <w:b w:val="1"/>
                <w:bCs w:val="1"/>
                <w:color w:val="auto"/>
                <w:w w:val="89"/>
              </w:rPr>
              <w:t>(Local Currency)</w:t>
            </w:r>
          </w:p>
        </w:tc>
        <w:tc>
          <w:tcPr>
            <w:tcW w:w="160" w:type="dxa"/>
            <w:vAlign w:val="bottom"/>
          </w:tcPr>
          <w:p>
            <w:pPr>
              <w:spacing w:after="0"/>
              <w:rPr>
                <w:sz w:val="13"/>
                <w:szCs w:val="13"/>
                <w:color w:val="auto"/>
              </w:rPr>
            </w:pPr>
          </w:p>
        </w:tc>
        <w:tc>
          <w:tcPr>
            <w:tcW w:w="640" w:type="dxa"/>
            <w:vAlign w:val="bottom"/>
            <w:gridSpan w:val="3"/>
          </w:tcPr>
          <w:p>
            <w:pPr>
              <w:ind w:left="100"/>
              <w:spacing w:after="0" w:line="148" w:lineRule="exact"/>
              <w:rPr>
                <w:sz w:val="20"/>
                <w:szCs w:val="20"/>
                <w:color w:val="auto"/>
              </w:rPr>
            </w:pPr>
            <w:r>
              <w:rPr>
                <w:rFonts w:ascii="Arial" w:cs="Arial" w:eastAsia="Arial" w:hAnsi="Arial"/>
                <w:sz w:val="14"/>
                <w:szCs w:val="14"/>
                <w:b w:val="1"/>
                <w:bCs w:val="1"/>
                <w:color w:val="auto"/>
              </w:rPr>
              <w:t>(USD)</w:t>
            </w:r>
          </w:p>
        </w:tc>
        <w:tc>
          <w:tcPr>
            <w:tcW w:w="0" w:type="dxa"/>
            <w:vAlign w:val="bottom"/>
          </w:tcPr>
          <w:p>
            <w:pPr>
              <w:spacing w:after="0"/>
              <w:rPr>
                <w:sz w:val="1"/>
                <w:szCs w:val="1"/>
                <w:color w:val="auto"/>
              </w:rPr>
            </w:pPr>
          </w:p>
        </w:tc>
      </w:tr>
      <w:tr>
        <w:trPr>
          <w:trHeight w:val="149"/>
        </w:trPr>
        <w:tc>
          <w:tcPr>
            <w:tcW w:w="580" w:type="dxa"/>
            <w:vAlign w:val="bottom"/>
            <w:tcBorders>
              <w:top w:val="single" w:sz="8" w:color="auto"/>
            </w:tcBorders>
          </w:tcPr>
          <w:p>
            <w:pPr>
              <w:spacing w:after="0"/>
              <w:rPr>
                <w:sz w:val="12"/>
                <w:szCs w:val="12"/>
                <w:color w:val="auto"/>
              </w:rPr>
            </w:pPr>
          </w:p>
        </w:tc>
        <w:tc>
          <w:tcPr>
            <w:tcW w:w="6500" w:type="dxa"/>
            <w:vAlign w:val="bottom"/>
          </w:tcPr>
          <w:p>
            <w:pPr>
              <w:spacing w:after="0"/>
              <w:rPr>
                <w:sz w:val="12"/>
                <w:szCs w:val="12"/>
                <w:color w:val="auto"/>
              </w:rPr>
            </w:pPr>
          </w:p>
        </w:tc>
        <w:tc>
          <w:tcPr>
            <w:tcW w:w="1700" w:type="dxa"/>
            <w:vAlign w:val="bottom"/>
            <w:tcBorders>
              <w:top w:val="single" w:sz="8" w:color="auto"/>
            </w:tcBorders>
          </w:tcPr>
          <w:p>
            <w:pPr>
              <w:jc w:val="right"/>
              <w:ind w:right="60"/>
              <w:spacing w:after="0" w:line="149" w:lineRule="exact"/>
              <w:rPr>
                <w:sz w:val="20"/>
                <w:szCs w:val="20"/>
                <w:color w:val="auto"/>
              </w:rPr>
            </w:pPr>
            <w:r>
              <w:rPr>
                <w:rFonts w:ascii="Arial" w:cs="Arial" w:eastAsia="Arial" w:hAnsi="Arial"/>
                <w:sz w:val="14"/>
                <w:szCs w:val="14"/>
                <w:b w:val="1"/>
                <w:bCs w:val="1"/>
                <w:color w:val="auto"/>
              </w:rPr>
              <w:t>(In millions)</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Euro</w:t>
            </w:r>
          </w:p>
        </w:tc>
        <w:tc>
          <w:tcPr>
            <w:tcW w:w="1700" w:type="dxa"/>
            <w:vAlign w:val="bottom"/>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8.5</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w w:val="99"/>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11.5</w:t>
            </w:r>
          </w:p>
        </w:tc>
        <w:tc>
          <w:tcPr>
            <w:tcW w:w="0" w:type="dxa"/>
            <w:vAlign w:val="bottom"/>
          </w:tcPr>
          <w:p>
            <w:pPr>
              <w:spacing w:after="0"/>
              <w:rPr>
                <w:sz w:val="1"/>
                <w:szCs w:val="1"/>
                <w:color w:val="auto"/>
              </w:rPr>
            </w:pPr>
          </w:p>
        </w:tc>
      </w:tr>
      <w:tr>
        <w:trPr>
          <w:trHeight w:val="216"/>
        </w:trPr>
        <w:tc>
          <w:tcPr>
            <w:tcW w:w="7080" w:type="dxa"/>
            <w:vAlign w:val="bottom"/>
            <w:gridSpan w:val="2"/>
          </w:tcPr>
          <w:p>
            <w:pPr>
              <w:spacing w:after="0"/>
              <w:rPr>
                <w:sz w:val="20"/>
                <w:szCs w:val="20"/>
                <w:color w:val="auto"/>
              </w:rPr>
            </w:pPr>
            <w:r>
              <w:rPr>
                <w:rFonts w:ascii="Arial" w:cs="Arial" w:eastAsia="Arial" w:hAnsi="Arial"/>
                <w:sz w:val="18"/>
                <w:szCs w:val="18"/>
                <w:color w:val="auto"/>
              </w:rPr>
              <w:t>Philippine peso</w:t>
            </w:r>
          </w:p>
        </w:tc>
        <w:tc>
          <w:tcPr>
            <w:tcW w:w="1700" w:type="dxa"/>
            <w:vAlign w:val="bottom"/>
          </w:tcPr>
          <w:p>
            <w:pPr>
              <w:jc w:val="right"/>
              <w:ind w:right="560"/>
              <w:spacing w:after="0"/>
              <w:rPr>
                <w:sz w:val="20"/>
                <w:szCs w:val="20"/>
                <w:color w:val="auto"/>
              </w:rPr>
            </w:pPr>
            <w:r>
              <w:rPr>
                <w:rFonts w:ascii="Arial" w:cs="Arial" w:eastAsia="Arial" w:hAnsi="Arial"/>
                <w:sz w:val="18"/>
                <w:szCs w:val="18"/>
                <w:b w:val="1"/>
                <w:bCs w:val="1"/>
                <w:color w:val="auto"/>
              </w:rPr>
              <w:t>(191.2)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(4.4)</w:t>
            </w: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Polish zloty</w:t>
            </w:r>
          </w:p>
        </w:tc>
        <w:tc>
          <w:tcPr>
            <w:tcW w:w="1700" w:type="dxa"/>
            <w:vAlign w:val="bottom"/>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35.3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11.2</w:t>
            </w:r>
          </w:p>
        </w:tc>
        <w:tc>
          <w:tcPr>
            <w:tcW w:w="0" w:type="dxa"/>
            <w:vAlign w:val="bottom"/>
          </w:tcPr>
          <w:p>
            <w:pPr>
              <w:spacing w:after="0"/>
              <w:rPr>
                <w:sz w:val="1"/>
                <w:szCs w:val="1"/>
                <w:color w:val="auto"/>
              </w:rPr>
            </w:pPr>
          </w:p>
        </w:tc>
      </w:tr>
      <w:tr>
        <w:trPr>
          <w:trHeight w:val="216"/>
        </w:trPr>
        <w:tc>
          <w:tcPr>
            <w:tcW w:w="7080" w:type="dxa"/>
            <w:vAlign w:val="bottom"/>
            <w:gridSpan w:val="2"/>
          </w:tcPr>
          <w:p>
            <w:pPr>
              <w:spacing w:after="0"/>
              <w:rPr>
                <w:sz w:val="20"/>
                <w:szCs w:val="20"/>
                <w:color w:val="auto"/>
              </w:rPr>
            </w:pPr>
            <w:r>
              <w:rPr>
                <w:rFonts w:ascii="Arial" w:cs="Arial" w:eastAsia="Arial" w:hAnsi="Arial"/>
                <w:sz w:val="18"/>
                <w:szCs w:val="18"/>
                <w:color w:val="auto"/>
              </w:rPr>
              <w:t>Thailand baht</w:t>
            </w:r>
          </w:p>
        </w:tc>
        <w:tc>
          <w:tcPr>
            <w:tcW w:w="1700" w:type="dxa"/>
            <w:vAlign w:val="bottom"/>
          </w:tcPr>
          <w:p>
            <w:pPr>
              <w:jc w:val="right"/>
              <w:ind w:right="620"/>
              <w:spacing w:after="0"/>
              <w:rPr>
                <w:sz w:val="20"/>
                <w:szCs w:val="20"/>
                <w:color w:val="auto"/>
              </w:rPr>
            </w:pPr>
            <w:r>
              <w:rPr>
                <w:rFonts w:ascii="Arial" w:cs="Arial" w:eastAsia="Arial" w:hAnsi="Arial"/>
                <w:sz w:val="18"/>
                <w:szCs w:val="18"/>
                <w:b w:val="1"/>
                <w:bCs w:val="1"/>
                <w:color w:val="auto"/>
              </w:rPr>
              <w:t>58.2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1.9</w:t>
            </w: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Republic of South Africa rand</w:t>
            </w:r>
          </w:p>
        </w:tc>
        <w:tc>
          <w:tcPr>
            <w:tcW w:w="1700" w:type="dxa"/>
            <w:vAlign w:val="bottom"/>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14.8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1.8</w:t>
            </w:r>
          </w:p>
        </w:tc>
        <w:tc>
          <w:tcPr>
            <w:tcW w:w="0" w:type="dxa"/>
            <w:vAlign w:val="bottom"/>
          </w:tcPr>
          <w:p>
            <w:pPr>
              <w:spacing w:after="0"/>
              <w:rPr>
                <w:sz w:val="1"/>
                <w:szCs w:val="1"/>
                <w:color w:val="auto"/>
              </w:rPr>
            </w:pPr>
          </w:p>
        </w:tc>
      </w:tr>
      <w:tr>
        <w:trPr>
          <w:trHeight w:val="223"/>
        </w:trPr>
        <w:tc>
          <w:tcPr>
            <w:tcW w:w="7080" w:type="dxa"/>
            <w:vAlign w:val="bottom"/>
            <w:gridSpan w:val="2"/>
          </w:tcPr>
          <w:p>
            <w:pPr>
              <w:spacing w:after="0"/>
              <w:rPr>
                <w:sz w:val="20"/>
                <w:szCs w:val="20"/>
                <w:color w:val="auto"/>
              </w:rPr>
            </w:pPr>
            <w:r>
              <w:rPr>
                <w:rFonts w:ascii="Arial" w:cs="Arial" w:eastAsia="Arial" w:hAnsi="Arial"/>
                <w:sz w:val="18"/>
                <w:szCs w:val="18"/>
                <w:color w:val="auto"/>
              </w:rPr>
              <w:t>Other currencies</w:t>
            </w:r>
          </w:p>
        </w:tc>
        <w:tc>
          <w:tcPr>
            <w:tcW w:w="1700" w:type="dxa"/>
            <w:vAlign w:val="bottom"/>
          </w:tcPr>
          <w:p>
            <w:pPr>
              <w:jc w:val="right"/>
              <w:ind w:right="620"/>
              <w:spacing w:after="0"/>
              <w:rPr>
                <w:sz w:val="20"/>
                <w:szCs w:val="20"/>
                <w:color w:val="auto"/>
              </w:rPr>
            </w:pPr>
            <w:r>
              <w:rPr>
                <w:rFonts w:ascii="Arial" w:cs="Arial" w:eastAsia="Arial" w:hAnsi="Arial"/>
                <w:sz w:val="18"/>
                <w:szCs w:val="18"/>
                <w:b w:val="1"/>
                <w:bCs w:val="1"/>
                <w:color w:val="auto"/>
              </w:rPr>
              <w:t>N/A</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(0.7)</w:t>
            </w: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of all currency forward contracts</w:t>
            </w: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A 10% adverse change in currency exchange rates for our foreign currency derivatives held as of September 30, 2011 would have an impact of approximately $3.4 million on the fair value of such instruments. This quantification of exposure to the market risk associated with foreign exchange financial instruments does not take into account the offsetting impact of changes in the fair value of our foreign denominated assets, liabilities and firm commitments.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exposure to market risk for changes in interest rates relates primarily to our cash equivalents and short-term debt borrowings.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Exposure on Cash and Cash Equivalents</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had $87.6 million in total cash and cash equivalents as of September 30, 2011. Cash equivalents totaled $42.6 million as of September 30, 2011. Cash equivalents have been recorded at fair value on our balance sheet.</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do not use derivative financial instruments in our short-term investment portfolio. We invest in high-credit quality issues and, by policy, limit the amount of credit exposure to any one issuer and country. The portfolio includes only marketable securities with active secondary or resale markets to ensure portfolio liquidity. The portfolio is also diversified by maturity to ensure that funds are readily available as needed to meet our liquidity needs. This policy reduces the potential need to sell securities in order to meet liquidity needs and therefore the potential effect of changing market rates on the value of securities sold.</w:t>
      </w:r>
    </w:p>
    <w:p>
      <w:pPr>
        <w:spacing w:after="0" w:line="113"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The primary objective of our short-term investment activities is to preserve principal while maximizing yields, without significantly increasing risk. Our cash equivalents earn interest at fixed rates; therefore, changes in interest rates will not generate a gain or loss on these investments unless they are sold prior to maturity. Actual gains and losses due to the sale of our investments prior to maturity have been immaterial. The weighted average days to maturity for cash equivalents held as of September 30, 2011 was one day, and these investments had an average yield of 0.10% per annum. A 10% change in interest rates on our cash and cash equivalents is not expected to have a material impact on our financial position, results of operations or cash flows.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Exposure on Borrowings</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During the first quarter of fiscal 2012, we had $6.0 million of short-term borrowings outstanding under our $40.0 million revolving credit facility that incurred interest at the prime rate. During the first quarter of fiscal 2012, our weighted average interest rate was 3.25% and we recorded total interest expense of $0.1 million on these borrowings.</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 10% change in interest rates on the current borrowings or on future borrowings is not expected to have a material impact on our financial position, results of operations or cash flows since interest on our short-term debt is not material to our overall financial position.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reports filed or submitted under the Exchange Act is recorded, processed, summarized and reported within the time periods specified in SEC rules and forms. Our disclosure controls and procedures include, without limitation, controls and procedures designed to</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ensure that information required to be disclosed in our reports filed under the Exchange Act is accumulated and communicated to management, including our Chief Executive Officer and Chief Financial Officer, as appropriate to allow timely decisions regarding required disclosures.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11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Management has conducted an evaluation, under the supervision and with the participation of the Chief Executive Officer and Chief Financial Officer, of the effectiveness of the design and operation of our disclosure controls and procedures (as defined in Rules 13a-15(e) and 15d-15(e) under the Securities Exchange Act of 1934, as amended). Based on this evaluation, the Chief Executive Officer and Chief Financial Officer concluded that our disclosure controls and procedures were effective as of September 30, 2011.</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There has been no change in our internal controls over financial reporting during our most recently completed fiscal quarter that has materially affected, or is reasonably likely to materially affect, our internal controls over financial reporting.</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6"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Descriptions of our legal proceedings are incorporated by reference from Part I, Item 1, Financial Statements — Notes to Condensed Consolidated Financial Statements — “Note 16 – Legal Proceedings” in response to this item.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Investors should carefully review and consider the information regarding certain factors which could materially affect our business, operating results, cash flows and financial condition set forth under Item 1A, Risk Factors, in our Fiscal 2011 Form 10-K and below.</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Recently, in October 2011, one of our contract manufacturers experienced severe flooding of its manufacturing facilities in Thailand and suspended manufacturing activities at this facility. To date, the loss of this contract manufacturer facility has not affected our supply chain adversely, and we and this contract manufacturer are working to establish alternative supply sources. The flooding has not abated, however, and continued interruption of manufacturing activities at this facility may result in our loss of supply of critical components in the second quarter and potentially the third quarter of fiscal 2012. If this occurs we believe that we may be unable to meet all scheduled shipments to customers in the second quarter and potentially the third quarter of fiscal 2012, which could result in delays in the recognition of revenue and, in some cases, the loss of the revenue from the associated customer purchase orders, in addition to a potential loss of customer goodwill. Should this occur it could adversely affect our financial results and cash flows.</w:t>
      </w:r>
    </w:p>
    <w:p>
      <w:pPr>
        <w:spacing w:after="0" w:line="118" w:lineRule="exact"/>
        <w:rPr>
          <w:sz w:val="20"/>
          <w:szCs w:val="20"/>
          <w:color w:val="auto"/>
        </w:rPr>
      </w:pPr>
    </w:p>
    <w:p>
      <w:pPr>
        <w:ind w:right="500" w:firstLine="456"/>
        <w:spacing w:after="0" w:line="306" w:lineRule="auto"/>
        <w:rPr>
          <w:sz w:val="20"/>
          <w:szCs w:val="20"/>
          <w:color w:val="auto"/>
        </w:rPr>
      </w:pPr>
      <w:r>
        <w:rPr>
          <w:rFonts w:ascii="Arial" w:cs="Arial" w:eastAsia="Arial" w:hAnsi="Arial"/>
          <w:sz w:val="16"/>
          <w:szCs w:val="16"/>
          <w:color w:val="auto"/>
        </w:rPr>
        <w:t>We do not believe that there have been any other material additions or changes to the risk factors previously disclosed in our Fiscal 2011 Form 10-K, although we may disclose changes to such factors or disclose additional factors from time to time in our future filings with the SEC. Additional risks and uncertainties not presently known to us or that we currently deem immaterial also may impair our business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exhibits are filed herewith or incorporated by reference to exhibits previously filed with the SEC:</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4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500" w:type="dxa"/>
            <w:vAlign w:val="bottom"/>
          </w:tcPr>
          <w:p>
            <w:pPr>
              <w:spacing w:after="0"/>
              <w:rPr>
                <w:sz w:val="14"/>
                <w:szCs w:val="14"/>
                <w:color w:val="auto"/>
              </w:rPr>
            </w:pPr>
          </w:p>
        </w:tc>
      </w:tr>
      <w:tr>
        <w:trPr>
          <w:trHeight w:val="168"/>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48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500" w:type="dxa"/>
            <w:vAlign w:val="bottom"/>
          </w:tcPr>
          <w:p>
            <w:pPr>
              <w:spacing w:after="0"/>
              <w:rPr>
                <w:sz w:val="14"/>
                <w:szCs w:val="14"/>
                <w:color w:val="auto"/>
              </w:rPr>
            </w:pPr>
          </w:p>
        </w:tc>
      </w:tr>
      <w:tr>
        <w:trPr>
          <w:trHeight w:val="322"/>
        </w:trPr>
        <w:tc>
          <w:tcPr>
            <w:tcW w:w="500" w:type="dxa"/>
            <w:vAlign w:val="bottom"/>
          </w:tcPr>
          <w:p>
            <w:pPr>
              <w:spacing w:after="0"/>
              <w:rPr>
                <w:sz w:val="20"/>
                <w:szCs w:val="20"/>
                <w:color w:val="auto"/>
              </w:rPr>
            </w:pPr>
            <w:r>
              <w:rPr>
                <w:rFonts w:ascii="Arial" w:cs="Arial" w:eastAsia="Arial" w:hAnsi="Arial"/>
                <w:sz w:val="18"/>
                <w:szCs w:val="18"/>
                <w:color w:val="auto"/>
              </w:rPr>
              <w:t>(10.1)</w:t>
            </w:r>
          </w:p>
        </w:tc>
        <w:tc>
          <w:tcPr>
            <w:tcW w:w="480" w:type="dxa"/>
            <w:vAlign w:val="bottom"/>
          </w:tcPr>
          <w:p>
            <w:pPr>
              <w:spacing w:after="0"/>
              <w:rPr>
                <w:sz w:val="24"/>
                <w:szCs w:val="24"/>
                <w:color w:val="auto"/>
              </w:rPr>
            </w:pPr>
          </w:p>
        </w:tc>
        <w:tc>
          <w:tcPr>
            <w:tcW w:w="10180" w:type="dxa"/>
            <w:vAlign w:val="bottom"/>
            <w:gridSpan w:val="3"/>
          </w:tcPr>
          <w:p>
            <w:pPr>
              <w:ind w:left="220"/>
              <w:spacing w:after="0"/>
              <w:rPr>
                <w:sz w:val="20"/>
                <w:szCs w:val="20"/>
                <w:color w:val="auto"/>
              </w:rPr>
            </w:pPr>
            <w:r>
              <w:rPr>
                <w:rFonts w:ascii="Arial" w:cs="Arial" w:eastAsia="Arial" w:hAnsi="Arial"/>
                <w:sz w:val="18"/>
                <w:szCs w:val="18"/>
                <w:color w:val="auto"/>
              </w:rPr>
              <w:t>Amended Employment Agreement, dated September 30, 2011 between Aviat Networks, Inc. and Michael A. Pangia</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(10.2)</w:t>
            </w:r>
          </w:p>
        </w:tc>
        <w:tc>
          <w:tcPr>
            <w:tcW w:w="480" w:type="dxa"/>
            <w:vAlign w:val="bottom"/>
          </w:tcPr>
          <w:p>
            <w:pPr>
              <w:spacing w:after="0"/>
              <w:rPr>
                <w:sz w:val="24"/>
                <w:szCs w:val="24"/>
                <w:color w:val="auto"/>
              </w:rPr>
            </w:pPr>
          </w:p>
        </w:tc>
        <w:tc>
          <w:tcPr>
            <w:tcW w:w="10180" w:type="dxa"/>
            <w:vAlign w:val="bottom"/>
            <w:gridSpan w:val="3"/>
          </w:tcPr>
          <w:p>
            <w:pPr>
              <w:ind w:left="220"/>
              <w:spacing w:after="0"/>
              <w:rPr>
                <w:sz w:val="20"/>
                <w:szCs w:val="20"/>
                <w:color w:val="auto"/>
              </w:rPr>
            </w:pPr>
            <w:r>
              <w:rPr>
                <w:rFonts w:ascii="Arial" w:cs="Arial" w:eastAsia="Arial" w:hAnsi="Arial"/>
                <w:sz w:val="18"/>
                <w:szCs w:val="18"/>
                <w:color w:val="auto"/>
              </w:rPr>
              <w:t>Employment Agreement, dated October 31, 2011 between Aviat Networks, Inc. and Edward J. Hayes, Jr.</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(10.3)</w:t>
            </w:r>
          </w:p>
        </w:tc>
        <w:tc>
          <w:tcPr>
            <w:tcW w:w="480" w:type="dxa"/>
            <w:vAlign w:val="bottom"/>
          </w:tcPr>
          <w:p>
            <w:pPr>
              <w:spacing w:after="0"/>
              <w:rPr>
                <w:sz w:val="24"/>
                <w:szCs w:val="24"/>
                <w:color w:val="auto"/>
              </w:rPr>
            </w:pPr>
          </w:p>
        </w:tc>
        <w:tc>
          <w:tcPr>
            <w:tcW w:w="10180" w:type="dxa"/>
            <w:vAlign w:val="bottom"/>
            <w:gridSpan w:val="3"/>
          </w:tcPr>
          <w:p>
            <w:pPr>
              <w:ind w:left="220"/>
              <w:spacing w:after="0"/>
              <w:rPr>
                <w:sz w:val="20"/>
                <w:szCs w:val="20"/>
                <w:color w:val="auto"/>
              </w:rPr>
            </w:pPr>
            <w:r>
              <w:rPr>
                <w:rFonts w:ascii="Arial" w:cs="Arial" w:eastAsia="Arial" w:hAnsi="Arial"/>
                <w:sz w:val="18"/>
                <w:szCs w:val="18"/>
                <w:color w:val="auto"/>
                <w:w w:val="93"/>
              </w:rPr>
              <w:t>Amendment No. 4 to Loan and Security Agreement, dated as of November 2, 2011, among Aviat Networks, Inc., Aviat U.S., Inc., Aviat</w:t>
            </w:r>
          </w:p>
        </w:tc>
      </w:tr>
      <w:tr>
        <w:trPr>
          <w:trHeight w:val="216"/>
        </w:trPr>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180" w:type="dxa"/>
            <w:vAlign w:val="bottom"/>
            <w:gridSpan w:val="3"/>
          </w:tcPr>
          <w:p>
            <w:pPr>
              <w:ind w:left="220"/>
              <w:spacing w:after="0"/>
              <w:rPr>
                <w:sz w:val="20"/>
                <w:szCs w:val="20"/>
                <w:color w:val="auto"/>
              </w:rPr>
            </w:pPr>
            <w:r>
              <w:rPr>
                <w:rFonts w:ascii="Arial" w:cs="Arial" w:eastAsia="Arial" w:hAnsi="Arial"/>
                <w:sz w:val="18"/>
                <w:szCs w:val="18"/>
                <w:color w:val="auto"/>
                <w:w w:val="89"/>
              </w:rPr>
              <w:t>Networks (S) Pte. Ltd. and Silicon Valley Bank (incorporated by reference to Exhibit 10.1 to the Report on Form 8-K filed with the Securities</w:t>
            </w:r>
          </w:p>
        </w:tc>
      </w:tr>
      <w:tr>
        <w:trPr>
          <w:trHeight w:val="222"/>
        </w:trPr>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180" w:type="dxa"/>
            <w:vAlign w:val="bottom"/>
            <w:gridSpan w:val="3"/>
          </w:tcPr>
          <w:p>
            <w:pPr>
              <w:ind w:left="220"/>
              <w:spacing w:after="0"/>
              <w:rPr>
                <w:sz w:val="20"/>
                <w:szCs w:val="20"/>
                <w:color w:val="auto"/>
              </w:rPr>
            </w:pPr>
            <w:r>
              <w:rPr>
                <w:rFonts w:ascii="Arial" w:cs="Arial" w:eastAsia="Arial" w:hAnsi="Arial"/>
                <w:sz w:val="18"/>
                <w:szCs w:val="18"/>
                <w:color w:val="auto"/>
              </w:rPr>
              <w:t>and Exchange Commission on November 4, 2011, File No. 001-33278)</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480" w:type="dxa"/>
            <w:vAlign w:val="bottom"/>
          </w:tcPr>
          <w:p>
            <w:pPr>
              <w:spacing w:after="0"/>
              <w:rPr>
                <w:sz w:val="24"/>
                <w:szCs w:val="24"/>
                <w:color w:val="auto"/>
              </w:rPr>
            </w:pPr>
          </w:p>
        </w:tc>
        <w:tc>
          <w:tcPr>
            <w:tcW w:w="10180" w:type="dxa"/>
            <w:vAlign w:val="bottom"/>
            <w:gridSpan w:val="3"/>
          </w:tcPr>
          <w:p>
            <w:pPr>
              <w:ind w:left="220"/>
              <w:spacing w:after="0"/>
              <w:rPr>
                <w:sz w:val="20"/>
                <w:szCs w:val="20"/>
                <w:color w:val="auto"/>
              </w:rPr>
            </w:pPr>
            <w:r>
              <w:rPr>
                <w:rFonts w:ascii="Arial" w:cs="Arial" w:eastAsia="Arial" w:hAnsi="Arial"/>
                <w:sz w:val="18"/>
                <w:szCs w:val="18"/>
                <w:color w:val="auto"/>
              </w:rPr>
              <w:t>Rule 13a-14(a)/15d-14(a) Certification of Chief Executive Officer.</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480" w:type="dxa"/>
            <w:vAlign w:val="bottom"/>
          </w:tcPr>
          <w:p>
            <w:pPr>
              <w:spacing w:after="0"/>
              <w:rPr>
                <w:sz w:val="24"/>
                <w:szCs w:val="24"/>
                <w:color w:val="auto"/>
              </w:rPr>
            </w:pPr>
          </w:p>
        </w:tc>
        <w:tc>
          <w:tcPr>
            <w:tcW w:w="10180" w:type="dxa"/>
            <w:vAlign w:val="bottom"/>
            <w:gridSpan w:val="3"/>
          </w:tcPr>
          <w:p>
            <w:pPr>
              <w:ind w:left="220"/>
              <w:spacing w:after="0"/>
              <w:rPr>
                <w:sz w:val="20"/>
                <w:szCs w:val="20"/>
                <w:color w:val="auto"/>
              </w:rPr>
            </w:pPr>
            <w:r>
              <w:rPr>
                <w:rFonts w:ascii="Arial" w:cs="Arial" w:eastAsia="Arial" w:hAnsi="Arial"/>
                <w:sz w:val="18"/>
                <w:szCs w:val="18"/>
                <w:color w:val="auto"/>
              </w:rPr>
              <w:t>Rule 13a-14(a)/15d-14(a) Certification of Chief Financial Officer.</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(32.1)</w:t>
            </w:r>
          </w:p>
        </w:tc>
        <w:tc>
          <w:tcPr>
            <w:tcW w:w="480" w:type="dxa"/>
            <w:vAlign w:val="bottom"/>
          </w:tcPr>
          <w:p>
            <w:pPr>
              <w:spacing w:after="0"/>
              <w:rPr>
                <w:sz w:val="24"/>
                <w:szCs w:val="24"/>
                <w:color w:val="auto"/>
              </w:rPr>
            </w:pPr>
          </w:p>
        </w:tc>
        <w:tc>
          <w:tcPr>
            <w:tcW w:w="10180" w:type="dxa"/>
            <w:vAlign w:val="bottom"/>
            <w:gridSpan w:val="3"/>
          </w:tcPr>
          <w:p>
            <w:pPr>
              <w:ind w:left="220"/>
              <w:spacing w:after="0"/>
              <w:rPr>
                <w:sz w:val="20"/>
                <w:szCs w:val="20"/>
                <w:color w:val="auto"/>
              </w:rPr>
            </w:pPr>
            <w:r>
              <w:rPr>
                <w:rFonts w:ascii="Arial" w:cs="Arial" w:eastAsia="Arial" w:hAnsi="Arial"/>
                <w:sz w:val="18"/>
                <w:szCs w:val="18"/>
                <w:color w:val="auto"/>
              </w:rPr>
              <w:t>Section 1350 Certification of Chief Executive Officer and Chief Financial Officer.</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101*</w:t>
            </w:r>
          </w:p>
        </w:tc>
        <w:tc>
          <w:tcPr>
            <w:tcW w:w="480" w:type="dxa"/>
            <w:vAlign w:val="bottom"/>
          </w:tcPr>
          <w:p>
            <w:pPr>
              <w:spacing w:after="0"/>
              <w:rPr>
                <w:sz w:val="24"/>
                <w:szCs w:val="24"/>
                <w:color w:val="auto"/>
              </w:rPr>
            </w:pPr>
          </w:p>
        </w:tc>
        <w:tc>
          <w:tcPr>
            <w:tcW w:w="10180" w:type="dxa"/>
            <w:vAlign w:val="bottom"/>
            <w:gridSpan w:val="3"/>
          </w:tcPr>
          <w:p>
            <w:pPr>
              <w:ind w:left="220"/>
              <w:spacing w:after="0"/>
              <w:rPr>
                <w:sz w:val="20"/>
                <w:szCs w:val="20"/>
                <w:color w:val="auto"/>
              </w:rPr>
            </w:pPr>
            <w:r>
              <w:rPr>
                <w:rFonts w:ascii="Arial" w:cs="Arial" w:eastAsia="Arial" w:hAnsi="Arial"/>
                <w:sz w:val="18"/>
                <w:szCs w:val="18"/>
                <w:color w:val="auto"/>
              </w:rPr>
              <w:t>The following materials from Aviat Network Inc.’s Quarterly Report on Form 10-Q for the quarter ended</w:t>
            </w:r>
          </w:p>
        </w:tc>
      </w:tr>
      <w:tr>
        <w:trPr>
          <w:trHeight w:val="216"/>
        </w:trPr>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180" w:type="dxa"/>
            <w:vAlign w:val="bottom"/>
            <w:gridSpan w:val="3"/>
          </w:tcPr>
          <w:p>
            <w:pPr>
              <w:ind w:left="220"/>
              <w:spacing w:after="0"/>
              <w:rPr>
                <w:sz w:val="20"/>
                <w:szCs w:val="20"/>
                <w:color w:val="auto"/>
              </w:rPr>
            </w:pPr>
            <w:r>
              <w:rPr>
                <w:rFonts w:ascii="Arial" w:cs="Arial" w:eastAsia="Arial" w:hAnsi="Arial"/>
                <w:sz w:val="18"/>
                <w:szCs w:val="18"/>
                <w:color w:val="auto"/>
              </w:rPr>
              <w:t>September 30, 2011, formatted in XBRL (Extensible Business Reporting Language): (i) the Condensed Consolidated</w:t>
            </w:r>
          </w:p>
        </w:tc>
      </w:tr>
      <w:tr>
        <w:trPr>
          <w:trHeight w:val="216"/>
        </w:trPr>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180" w:type="dxa"/>
            <w:vAlign w:val="bottom"/>
            <w:gridSpan w:val="3"/>
          </w:tcPr>
          <w:p>
            <w:pPr>
              <w:ind w:left="220"/>
              <w:spacing w:after="0"/>
              <w:rPr>
                <w:sz w:val="20"/>
                <w:szCs w:val="20"/>
                <w:color w:val="auto"/>
              </w:rPr>
            </w:pPr>
            <w:r>
              <w:rPr>
                <w:rFonts w:ascii="Arial" w:cs="Arial" w:eastAsia="Arial" w:hAnsi="Arial"/>
                <w:sz w:val="18"/>
                <w:szCs w:val="18"/>
                <w:color w:val="auto"/>
              </w:rPr>
              <w:t>Statements of Operations, (ii) the Condensed Consolidated Balance Sheets, and (iii) the Condensed Consolidated</w:t>
            </w:r>
          </w:p>
        </w:tc>
      </w:tr>
      <w:tr>
        <w:trPr>
          <w:trHeight w:val="222"/>
        </w:trPr>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180" w:type="dxa"/>
            <w:vAlign w:val="bottom"/>
            <w:gridSpan w:val="3"/>
          </w:tcPr>
          <w:p>
            <w:pPr>
              <w:ind w:left="220"/>
              <w:spacing w:after="0"/>
              <w:rPr>
                <w:sz w:val="20"/>
                <w:szCs w:val="20"/>
                <w:color w:val="auto"/>
              </w:rPr>
            </w:pPr>
            <w:r>
              <w:rPr>
                <w:rFonts w:ascii="Arial" w:cs="Arial" w:eastAsia="Arial" w:hAnsi="Arial"/>
                <w:sz w:val="18"/>
                <w:szCs w:val="18"/>
                <w:color w:val="auto"/>
              </w:rPr>
              <w:t>Statements of Cash Flows, and (iv) Notes to Condensed Consolidated Financial Statements</w:t>
            </w:r>
          </w:p>
        </w:tc>
      </w:tr>
      <w:tr>
        <w:trPr>
          <w:trHeight w:val="338"/>
        </w:trPr>
        <w:tc>
          <w:tcPr>
            <w:tcW w:w="9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180" w:type="dxa"/>
            <w:vAlign w:val="bottom"/>
            <w:gridSpan w:val="3"/>
          </w:tcPr>
          <w:p>
            <w:pPr>
              <w:ind w:left="220"/>
              <w:spacing w:after="0"/>
              <w:rPr>
                <w:sz w:val="20"/>
                <w:szCs w:val="20"/>
                <w:color w:val="auto"/>
              </w:rPr>
            </w:pPr>
            <w:r>
              <w:rPr>
                <w:rFonts w:ascii="Arial" w:cs="Arial" w:eastAsia="Arial" w:hAnsi="Arial"/>
                <w:sz w:val="18"/>
                <w:szCs w:val="18"/>
                <w:color w:val="auto"/>
              </w:rPr>
              <w:t>XBRL Instance Document</w:t>
            </w:r>
          </w:p>
        </w:tc>
      </w:tr>
      <w:tr>
        <w:trPr>
          <w:trHeight w:val="324"/>
        </w:trPr>
        <w:tc>
          <w:tcPr>
            <w:tcW w:w="9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180" w:type="dxa"/>
            <w:vAlign w:val="bottom"/>
            <w:gridSpan w:val="3"/>
          </w:tcPr>
          <w:p>
            <w:pPr>
              <w:ind w:left="220"/>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9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180" w:type="dxa"/>
            <w:vAlign w:val="bottom"/>
            <w:gridSpan w:val="3"/>
          </w:tcPr>
          <w:p>
            <w:pPr>
              <w:ind w:left="2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9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180" w:type="dxa"/>
            <w:vAlign w:val="bottom"/>
            <w:gridSpan w:val="3"/>
          </w:tcPr>
          <w:p>
            <w:pPr>
              <w:ind w:left="220"/>
              <w:spacing w:after="0"/>
              <w:rPr>
                <w:sz w:val="20"/>
                <w:szCs w:val="20"/>
                <w:color w:val="auto"/>
              </w:rPr>
            </w:pPr>
            <w:r>
              <w:rPr>
                <w:rFonts w:ascii="Arial" w:cs="Arial" w:eastAsia="Arial" w:hAnsi="Arial"/>
                <w:sz w:val="18"/>
                <w:szCs w:val="18"/>
                <w:color w:val="auto"/>
              </w:rPr>
              <w:t>XBRL Taxonomy Extension Label Linkbase Document</w:t>
            </w:r>
          </w:p>
        </w:tc>
      </w:tr>
      <w:tr>
        <w:trPr>
          <w:trHeight w:val="324"/>
        </w:trPr>
        <w:tc>
          <w:tcPr>
            <w:tcW w:w="9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180" w:type="dxa"/>
            <w:vAlign w:val="bottom"/>
            <w:gridSpan w:val="3"/>
          </w:tcPr>
          <w:p>
            <w:pPr>
              <w:ind w:left="22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220" w:right="100" w:hanging="212"/>
        <w:spacing w:after="0" w:line="259" w:lineRule="auto"/>
        <w:tabs>
          <w:tab w:leader="none" w:pos="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XBRL information is furnished and not filed herewith, is not a part of a registration statement or Prospectus for purposes of sections 11 or 12 of the Securities Act of 1933, is deemed not filed for purposes of section 18 of the Securities Exchange Act of 1934, and otherwise is not subject to liability under these sections.</w:t>
      </w:r>
    </w:p>
    <w:p>
      <w:pPr>
        <w:sectPr>
          <w:pgSz w:w="11900" w:h="16838" w:orient="portrait"/>
          <w:cols w:equalWidth="0" w:num="1">
            <w:col w:w="11420"/>
          </w:cols>
          <w:pgMar w:left="240" w:top="459" w:right="239" w:bottom="144" w:gutter="0" w:footer="0" w:header="0"/>
        </w:sectPr>
      </w:pP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459" w:right="239" w:bottom="144"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AVIAT NETWORKS, INC.</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(Registrant)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2011</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John J. Madigan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John J. Madigan</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Vice President, Corporate Controller and</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Accounting Officer</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accounting officer and</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duly authorized officer)</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180" w:type="dxa"/>
            <w:vAlign w:val="bottom"/>
            <w:gridSpan w:val="3"/>
          </w:tcPr>
          <w:p>
            <w:pPr>
              <w:ind w:left="4060"/>
              <w:spacing w:after="0"/>
              <w:rPr>
                <w:sz w:val="20"/>
                <w:szCs w:val="20"/>
                <w:color w:val="auto"/>
              </w:rPr>
            </w:pPr>
            <w:r>
              <w:rPr>
                <w:rFonts w:ascii="Arial" w:cs="Arial" w:eastAsia="Arial" w:hAnsi="Arial"/>
                <w:sz w:val="18"/>
                <w:szCs w:val="18"/>
                <w:b w:val="1"/>
                <w:bCs w:val="1"/>
                <w:color w:val="auto"/>
              </w:rPr>
              <w:t>EXHIBIT INDEX</w:t>
            </w:r>
          </w:p>
        </w:tc>
      </w:tr>
      <w:tr>
        <w:trPr>
          <w:trHeight w:val="340"/>
        </w:trPr>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4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500" w:type="dxa"/>
            <w:vAlign w:val="bottom"/>
          </w:tcPr>
          <w:p>
            <w:pPr>
              <w:spacing w:after="0"/>
              <w:rPr>
                <w:sz w:val="24"/>
                <w:szCs w:val="24"/>
                <w:color w:val="auto"/>
              </w:rPr>
            </w:pPr>
          </w:p>
        </w:tc>
      </w:tr>
      <w:tr>
        <w:trPr>
          <w:trHeight w:val="168"/>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48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500" w:type="dxa"/>
            <w:vAlign w:val="bottom"/>
          </w:tcPr>
          <w:p>
            <w:pPr>
              <w:spacing w:after="0"/>
              <w:rPr>
                <w:sz w:val="14"/>
                <w:szCs w:val="14"/>
                <w:color w:val="auto"/>
              </w:rPr>
            </w:pPr>
          </w:p>
        </w:tc>
      </w:tr>
      <w:tr>
        <w:trPr>
          <w:trHeight w:val="322"/>
        </w:trPr>
        <w:tc>
          <w:tcPr>
            <w:tcW w:w="500" w:type="dxa"/>
            <w:vAlign w:val="bottom"/>
          </w:tcPr>
          <w:p>
            <w:pPr>
              <w:spacing w:after="0"/>
              <w:rPr>
                <w:sz w:val="20"/>
                <w:szCs w:val="20"/>
                <w:color w:val="auto"/>
              </w:rPr>
            </w:pPr>
            <w:r>
              <w:rPr>
                <w:rFonts w:ascii="Arial" w:cs="Arial" w:eastAsia="Arial" w:hAnsi="Arial"/>
                <w:sz w:val="18"/>
                <w:szCs w:val="18"/>
                <w:color w:val="auto"/>
              </w:rPr>
              <w:t>(10.1)</w:t>
            </w:r>
          </w:p>
        </w:tc>
        <w:tc>
          <w:tcPr>
            <w:tcW w:w="480" w:type="dxa"/>
            <w:vAlign w:val="bottom"/>
          </w:tcPr>
          <w:p>
            <w:pPr>
              <w:spacing w:after="0"/>
              <w:rPr>
                <w:sz w:val="24"/>
                <w:szCs w:val="24"/>
                <w:color w:val="auto"/>
              </w:rPr>
            </w:pPr>
          </w:p>
        </w:tc>
        <w:tc>
          <w:tcPr>
            <w:tcW w:w="10180" w:type="dxa"/>
            <w:vAlign w:val="bottom"/>
            <w:gridSpan w:val="3"/>
          </w:tcPr>
          <w:p>
            <w:pPr>
              <w:ind w:left="220"/>
              <w:spacing w:after="0"/>
              <w:rPr>
                <w:sz w:val="20"/>
                <w:szCs w:val="20"/>
                <w:color w:val="auto"/>
              </w:rPr>
            </w:pPr>
            <w:r>
              <w:rPr>
                <w:rFonts w:ascii="Arial" w:cs="Arial" w:eastAsia="Arial" w:hAnsi="Arial"/>
                <w:sz w:val="18"/>
                <w:szCs w:val="18"/>
                <w:color w:val="auto"/>
              </w:rPr>
              <w:t>Amended Employment Agreement, dated September 30, 2011 between Aviat Networks, Inc. and Michael A. Pangia</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(10.2)</w:t>
            </w:r>
          </w:p>
        </w:tc>
        <w:tc>
          <w:tcPr>
            <w:tcW w:w="480" w:type="dxa"/>
            <w:vAlign w:val="bottom"/>
          </w:tcPr>
          <w:p>
            <w:pPr>
              <w:spacing w:after="0"/>
              <w:rPr>
                <w:sz w:val="24"/>
                <w:szCs w:val="24"/>
                <w:color w:val="auto"/>
              </w:rPr>
            </w:pPr>
          </w:p>
        </w:tc>
        <w:tc>
          <w:tcPr>
            <w:tcW w:w="10180" w:type="dxa"/>
            <w:vAlign w:val="bottom"/>
            <w:gridSpan w:val="3"/>
          </w:tcPr>
          <w:p>
            <w:pPr>
              <w:ind w:left="220"/>
              <w:spacing w:after="0"/>
              <w:rPr>
                <w:sz w:val="20"/>
                <w:szCs w:val="20"/>
                <w:color w:val="auto"/>
              </w:rPr>
            </w:pPr>
            <w:r>
              <w:rPr>
                <w:rFonts w:ascii="Arial" w:cs="Arial" w:eastAsia="Arial" w:hAnsi="Arial"/>
                <w:sz w:val="18"/>
                <w:szCs w:val="18"/>
                <w:color w:val="auto"/>
              </w:rPr>
              <w:t>Employment Agreement, dated October 31, 2011 between Aviat Networks, Inc. and Edward J. Hayes, Jr.</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(10.3)</w:t>
            </w:r>
          </w:p>
        </w:tc>
        <w:tc>
          <w:tcPr>
            <w:tcW w:w="480" w:type="dxa"/>
            <w:vAlign w:val="bottom"/>
          </w:tcPr>
          <w:p>
            <w:pPr>
              <w:spacing w:after="0"/>
              <w:rPr>
                <w:sz w:val="24"/>
                <w:szCs w:val="24"/>
                <w:color w:val="auto"/>
              </w:rPr>
            </w:pPr>
          </w:p>
        </w:tc>
        <w:tc>
          <w:tcPr>
            <w:tcW w:w="10180" w:type="dxa"/>
            <w:vAlign w:val="bottom"/>
            <w:gridSpan w:val="3"/>
          </w:tcPr>
          <w:p>
            <w:pPr>
              <w:ind w:left="220"/>
              <w:spacing w:after="0"/>
              <w:rPr>
                <w:sz w:val="20"/>
                <w:szCs w:val="20"/>
                <w:color w:val="auto"/>
              </w:rPr>
            </w:pPr>
            <w:r>
              <w:rPr>
                <w:rFonts w:ascii="Arial" w:cs="Arial" w:eastAsia="Arial" w:hAnsi="Arial"/>
                <w:sz w:val="18"/>
                <w:szCs w:val="18"/>
                <w:color w:val="auto"/>
                <w:w w:val="93"/>
              </w:rPr>
              <w:t>Amendment No. 4 to Loan and Security Agreement, dated as of November 2, 2011, among Aviat Networks, Inc., Aviat U.S., Inc., Aviat</w:t>
            </w:r>
          </w:p>
        </w:tc>
      </w:tr>
      <w:tr>
        <w:trPr>
          <w:trHeight w:val="216"/>
        </w:trPr>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180" w:type="dxa"/>
            <w:vAlign w:val="bottom"/>
            <w:gridSpan w:val="3"/>
          </w:tcPr>
          <w:p>
            <w:pPr>
              <w:ind w:left="220"/>
              <w:spacing w:after="0"/>
              <w:rPr>
                <w:sz w:val="20"/>
                <w:szCs w:val="20"/>
                <w:color w:val="auto"/>
              </w:rPr>
            </w:pPr>
            <w:r>
              <w:rPr>
                <w:rFonts w:ascii="Arial" w:cs="Arial" w:eastAsia="Arial" w:hAnsi="Arial"/>
                <w:sz w:val="18"/>
                <w:szCs w:val="18"/>
                <w:color w:val="auto"/>
                <w:w w:val="89"/>
              </w:rPr>
              <w:t>Networks (S) Pte. Ltd. and Silicon Valley Bank (incorporated by reference to Exhibit 10.1 to the Report on Form 8-K filed with the Securities</w:t>
            </w:r>
          </w:p>
        </w:tc>
      </w:tr>
      <w:tr>
        <w:trPr>
          <w:trHeight w:val="222"/>
        </w:trPr>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180" w:type="dxa"/>
            <w:vAlign w:val="bottom"/>
            <w:gridSpan w:val="3"/>
          </w:tcPr>
          <w:p>
            <w:pPr>
              <w:ind w:left="220"/>
              <w:spacing w:after="0"/>
              <w:rPr>
                <w:sz w:val="20"/>
                <w:szCs w:val="20"/>
                <w:color w:val="auto"/>
              </w:rPr>
            </w:pPr>
            <w:r>
              <w:rPr>
                <w:rFonts w:ascii="Arial" w:cs="Arial" w:eastAsia="Arial" w:hAnsi="Arial"/>
                <w:sz w:val="18"/>
                <w:szCs w:val="18"/>
                <w:color w:val="auto"/>
              </w:rPr>
              <w:t>and Exchange Commission on November 4, 2011, File No. 001-33278)</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480" w:type="dxa"/>
            <w:vAlign w:val="bottom"/>
          </w:tcPr>
          <w:p>
            <w:pPr>
              <w:spacing w:after="0"/>
              <w:rPr>
                <w:sz w:val="24"/>
                <w:szCs w:val="24"/>
                <w:color w:val="auto"/>
              </w:rPr>
            </w:pPr>
          </w:p>
        </w:tc>
        <w:tc>
          <w:tcPr>
            <w:tcW w:w="10180" w:type="dxa"/>
            <w:vAlign w:val="bottom"/>
            <w:gridSpan w:val="3"/>
          </w:tcPr>
          <w:p>
            <w:pPr>
              <w:ind w:left="220"/>
              <w:spacing w:after="0"/>
              <w:rPr>
                <w:sz w:val="20"/>
                <w:szCs w:val="20"/>
                <w:color w:val="auto"/>
              </w:rPr>
            </w:pPr>
            <w:r>
              <w:rPr>
                <w:rFonts w:ascii="Arial" w:cs="Arial" w:eastAsia="Arial" w:hAnsi="Arial"/>
                <w:sz w:val="18"/>
                <w:szCs w:val="18"/>
                <w:color w:val="auto"/>
              </w:rPr>
              <w:t>Rule 13a-14(a)/15d-14(a) Certification of Chief Executive Officer.</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480" w:type="dxa"/>
            <w:vAlign w:val="bottom"/>
          </w:tcPr>
          <w:p>
            <w:pPr>
              <w:spacing w:after="0"/>
              <w:rPr>
                <w:sz w:val="24"/>
                <w:szCs w:val="24"/>
                <w:color w:val="auto"/>
              </w:rPr>
            </w:pPr>
          </w:p>
        </w:tc>
        <w:tc>
          <w:tcPr>
            <w:tcW w:w="10180" w:type="dxa"/>
            <w:vAlign w:val="bottom"/>
            <w:gridSpan w:val="3"/>
          </w:tcPr>
          <w:p>
            <w:pPr>
              <w:ind w:left="220"/>
              <w:spacing w:after="0"/>
              <w:rPr>
                <w:sz w:val="20"/>
                <w:szCs w:val="20"/>
                <w:color w:val="auto"/>
              </w:rPr>
            </w:pPr>
            <w:r>
              <w:rPr>
                <w:rFonts w:ascii="Arial" w:cs="Arial" w:eastAsia="Arial" w:hAnsi="Arial"/>
                <w:sz w:val="18"/>
                <w:szCs w:val="18"/>
                <w:color w:val="auto"/>
              </w:rPr>
              <w:t>Rule 13a-14(a)/15d-14(a) Certification of Chief Financial Officer.</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(32.1)</w:t>
            </w:r>
          </w:p>
        </w:tc>
        <w:tc>
          <w:tcPr>
            <w:tcW w:w="480" w:type="dxa"/>
            <w:vAlign w:val="bottom"/>
          </w:tcPr>
          <w:p>
            <w:pPr>
              <w:spacing w:after="0"/>
              <w:rPr>
                <w:sz w:val="24"/>
                <w:szCs w:val="24"/>
                <w:color w:val="auto"/>
              </w:rPr>
            </w:pPr>
          </w:p>
        </w:tc>
        <w:tc>
          <w:tcPr>
            <w:tcW w:w="10180" w:type="dxa"/>
            <w:vAlign w:val="bottom"/>
            <w:gridSpan w:val="3"/>
          </w:tcPr>
          <w:p>
            <w:pPr>
              <w:ind w:left="220"/>
              <w:spacing w:after="0"/>
              <w:rPr>
                <w:sz w:val="20"/>
                <w:szCs w:val="20"/>
                <w:color w:val="auto"/>
              </w:rPr>
            </w:pPr>
            <w:r>
              <w:rPr>
                <w:rFonts w:ascii="Arial" w:cs="Arial" w:eastAsia="Arial" w:hAnsi="Arial"/>
                <w:sz w:val="18"/>
                <w:szCs w:val="18"/>
                <w:color w:val="auto"/>
              </w:rPr>
              <w:t>Section 1350 Certification of Chief Executive Officer and Chief Financial Officer.</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101*</w:t>
            </w:r>
          </w:p>
        </w:tc>
        <w:tc>
          <w:tcPr>
            <w:tcW w:w="480" w:type="dxa"/>
            <w:vAlign w:val="bottom"/>
          </w:tcPr>
          <w:p>
            <w:pPr>
              <w:spacing w:after="0"/>
              <w:rPr>
                <w:sz w:val="24"/>
                <w:szCs w:val="24"/>
                <w:color w:val="auto"/>
              </w:rPr>
            </w:pPr>
          </w:p>
        </w:tc>
        <w:tc>
          <w:tcPr>
            <w:tcW w:w="10180" w:type="dxa"/>
            <w:vAlign w:val="bottom"/>
            <w:gridSpan w:val="3"/>
          </w:tcPr>
          <w:p>
            <w:pPr>
              <w:ind w:left="220"/>
              <w:spacing w:after="0"/>
              <w:rPr>
                <w:sz w:val="20"/>
                <w:szCs w:val="20"/>
                <w:color w:val="auto"/>
              </w:rPr>
            </w:pPr>
            <w:r>
              <w:rPr>
                <w:rFonts w:ascii="Arial" w:cs="Arial" w:eastAsia="Arial" w:hAnsi="Arial"/>
                <w:sz w:val="18"/>
                <w:szCs w:val="18"/>
                <w:color w:val="auto"/>
              </w:rPr>
              <w:t>The following materials from Aviat Network Inc.’s Quarterly Report on Form 10-Q for the quarter ended</w:t>
            </w:r>
          </w:p>
        </w:tc>
      </w:tr>
      <w:tr>
        <w:trPr>
          <w:trHeight w:val="216"/>
        </w:trPr>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180" w:type="dxa"/>
            <w:vAlign w:val="bottom"/>
            <w:gridSpan w:val="3"/>
          </w:tcPr>
          <w:p>
            <w:pPr>
              <w:ind w:left="220"/>
              <w:spacing w:after="0"/>
              <w:rPr>
                <w:sz w:val="20"/>
                <w:szCs w:val="20"/>
                <w:color w:val="auto"/>
              </w:rPr>
            </w:pPr>
            <w:r>
              <w:rPr>
                <w:rFonts w:ascii="Arial" w:cs="Arial" w:eastAsia="Arial" w:hAnsi="Arial"/>
                <w:sz w:val="18"/>
                <w:szCs w:val="18"/>
                <w:color w:val="auto"/>
              </w:rPr>
              <w:t>September 30, 2011, formatted in XBRL (Extensible Business Reporting Language): (i) the Condensed Consolidated</w:t>
            </w:r>
          </w:p>
        </w:tc>
      </w:tr>
      <w:tr>
        <w:trPr>
          <w:trHeight w:val="216"/>
        </w:trPr>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180" w:type="dxa"/>
            <w:vAlign w:val="bottom"/>
            <w:gridSpan w:val="3"/>
          </w:tcPr>
          <w:p>
            <w:pPr>
              <w:ind w:left="220"/>
              <w:spacing w:after="0"/>
              <w:rPr>
                <w:sz w:val="20"/>
                <w:szCs w:val="20"/>
                <w:color w:val="auto"/>
              </w:rPr>
            </w:pPr>
            <w:r>
              <w:rPr>
                <w:rFonts w:ascii="Arial" w:cs="Arial" w:eastAsia="Arial" w:hAnsi="Arial"/>
                <w:sz w:val="18"/>
                <w:szCs w:val="18"/>
                <w:color w:val="auto"/>
              </w:rPr>
              <w:t>Statements of Operations, (ii) the Condensed Consolidated Balance Sheets, and (iii) the Condensed Consolidated</w:t>
            </w:r>
          </w:p>
        </w:tc>
      </w:tr>
      <w:tr>
        <w:trPr>
          <w:trHeight w:val="222"/>
        </w:trPr>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180" w:type="dxa"/>
            <w:vAlign w:val="bottom"/>
            <w:gridSpan w:val="3"/>
          </w:tcPr>
          <w:p>
            <w:pPr>
              <w:ind w:left="220"/>
              <w:spacing w:after="0"/>
              <w:rPr>
                <w:sz w:val="20"/>
                <w:szCs w:val="20"/>
                <w:color w:val="auto"/>
              </w:rPr>
            </w:pPr>
            <w:r>
              <w:rPr>
                <w:rFonts w:ascii="Arial" w:cs="Arial" w:eastAsia="Arial" w:hAnsi="Arial"/>
                <w:sz w:val="18"/>
                <w:szCs w:val="18"/>
                <w:color w:val="auto"/>
              </w:rPr>
              <w:t>Statements of Cash Flows, and (iv) Notes to Condensed Consolidated Financial Statements</w:t>
            </w:r>
          </w:p>
        </w:tc>
      </w:tr>
      <w:tr>
        <w:trPr>
          <w:trHeight w:val="338"/>
        </w:trPr>
        <w:tc>
          <w:tcPr>
            <w:tcW w:w="9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180" w:type="dxa"/>
            <w:vAlign w:val="bottom"/>
            <w:gridSpan w:val="3"/>
          </w:tcPr>
          <w:p>
            <w:pPr>
              <w:ind w:left="220"/>
              <w:spacing w:after="0"/>
              <w:rPr>
                <w:sz w:val="20"/>
                <w:szCs w:val="20"/>
                <w:color w:val="auto"/>
              </w:rPr>
            </w:pPr>
            <w:r>
              <w:rPr>
                <w:rFonts w:ascii="Arial" w:cs="Arial" w:eastAsia="Arial" w:hAnsi="Arial"/>
                <w:sz w:val="18"/>
                <w:szCs w:val="18"/>
                <w:color w:val="auto"/>
              </w:rPr>
              <w:t>XBRL Instance Document</w:t>
            </w:r>
          </w:p>
        </w:tc>
      </w:tr>
      <w:tr>
        <w:trPr>
          <w:trHeight w:val="324"/>
        </w:trPr>
        <w:tc>
          <w:tcPr>
            <w:tcW w:w="9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180" w:type="dxa"/>
            <w:vAlign w:val="bottom"/>
            <w:gridSpan w:val="3"/>
          </w:tcPr>
          <w:p>
            <w:pPr>
              <w:ind w:left="220"/>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9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180" w:type="dxa"/>
            <w:vAlign w:val="bottom"/>
            <w:gridSpan w:val="3"/>
          </w:tcPr>
          <w:p>
            <w:pPr>
              <w:ind w:left="2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9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180" w:type="dxa"/>
            <w:vAlign w:val="bottom"/>
            <w:gridSpan w:val="3"/>
          </w:tcPr>
          <w:p>
            <w:pPr>
              <w:ind w:left="220"/>
              <w:spacing w:after="0"/>
              <w:rPr>
                <w:sz w:val="20"/>
                <w:szCs w:val="20"/>
                <w:color w:val="auto"/>
              </w:rPr>
            </w:pPr>
            <w:r>
              <w:rPr>
                <w:rFonts w:ascii="Arial" w:cs="Arial" w:eastAsia="Arial" w:hAnsi="Arial"/>
                <w:sz w:val="18"/>
                <w:szCs w:val="18"/>
                <w:color w:val="auto"/>
              </w:rPr>
              <w:t>XBRL Taxonomy Extension Label Linkbase Document</w:t>
            </w:r>
          </w:p>
        </w:tc>
      </w:tr>
      <w:tr>
        <w:trPr>
          <w:trHeight w:val="324"/>
        </w:trPr>
        <w:tc>
          <w:tcPr>
            <w:tcW w:w="9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180" w:type="dxa"/>
            <w:vAlign w:val="bottom"/>
            <w:gridSpan w:val="3"/>
          </w:tcPr>
          <w:p>
            <w:pPr>
              <w:ind w:left="22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220" w:hanging="212"/>
        <w:spacing w:after="0" w:line="259" w:lineRule="auto"/>
        <w:tabs>
          <w:tab w:leader="none" w:pos="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XBRL information is furnished and not filed herewith, is not a part of a registration statement or Prospectus for purposes of sections 11 or 12 of the Securities Act of 1933, is deemed not filed for purposes of section 18 of the Securities Exchange Act of 1934, and otherwise is not subject to liability under these sections.</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20"/>
          </w:cols>
          <w:pgMar w:left="240" w:top="459"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986155" cy="5575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8615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Michael Pangia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 Aviat Networks,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5200 Great America Parkway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Santa Clara, CA 95054</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 Employment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Dear Mike:</w:t>
      </w:r>
    </w:p>
    <w:p>
      <w:pPr>
        <w:spacing w:after="0" w:line="17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This amendment relates to the letter agreement dated July 18, 2011 (the “Agreement”) setting forth the terms of your continued employment with Aviat Networks, Inc. (the “Company”).</w:t>
      </w:r>
    </w:p>
    <w:p>
      <w:pPr>
        <w:spacing w:after="0" w:line="132"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Section 3(b) of the Agreement provides that, subject to yearly approval, you will receive an annual incentive with a target value equal to 100% of your base salary. Section 3(c) of the Agreement provides that, subject to Board authorization, you will receive a long-term incentive whose initial value will be $733,333.</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the design of the fiscal 2012 annual incentive plan and fiscal 2012 long-term incentive plan for the Company’s executives, you, together with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Company’s Human Resources department and with the approval of the Compensation Committee of the Company’s Board of Directors, have applied a floor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value of $3.75 per share of the Company’s common stock for purposes of awards consisting of restricted stock. This means that, in translating dollar values,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those referred to above, into awards of restricted stock, the value attributed to each restricted share is the higher of fair market value on the award date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$3.75. If the fair market value on the award date is below $3.75, applying the floor value will result in the award of fewer restricted shares than would be awarded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based solely on fair market value.</w:t>
      </w:r>
    </w:p>
    <w:p>
      <w:pPr>
        <w:spacing w:after="0" w:line="165"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understand that it has been your intent to apply the $3.75 floor to your own fiscal 2012 equity awards on the same basis as it applies to other Company executives.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Therefore, the Agreement is hereby amended by adding the following sentence at the end of Section 3(b) and at the end of Section 3(c):</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purposes of calculating the value of any restricted shares included in your award for fiscal 2012, a minimum value of $3.75 per share shall be applied.</w:t>
      </w:r>
    </w:p>
    <w:p>
      <w:pPr>
        <w:sectPr>
          <w:pgSz w:w="11900" w:h="16838" w:orient="portrait"/>
          <w:cols w:equalWidth="0" w:num="1">
            <w:col w:w="11420"/>
          </w:cols>
          <w:pgMar w:left="240" w:top="125"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Michael Pangia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Amendment to Employment Agreement</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sign this letter on the space provided below to acknowledge your agreement to this amendment.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Aviat Networks,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Charles D. Kissner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Charles D. Kissner</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Chairman</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agree to the foregoing amendment.</w:t>
      </w:r>
    </w:p>
    <w:p>
      <w:pPr>
        <w:spacing w:after="0" w:line="212" w:lineRule="exact"/>
        <w:rPr>
          <w:sz w:val="20"/>
          <w:szCs w:val="20"/>
          <w:color w:val="auto"/>
        </w:rPr>
      </w:pPr>
    </w:p>
    <w:p>
      <w:pPr>
        <w:ind w:left="8360"/>
        <w:spacing w:after="0"/>
        <w:rPr>
          <w:sz w:val="20"/>
          <w:szCs w:val="20"/>
          <w:color w:val="auto"/>
        </w:rPr>
      </w:pPr>
      <w:r>
        <w:rPr>
          <w:rFonts w:ascii="Arial" w:cs="Arial" w:eastAsia="Arial" w:hAnsi="Arial"/>
          <w:sz w:val="16"/>
          <w:szCs w:val="16"/>
          <w:color w:val="auto"/>
        </w:rPr>
        <w:t>/s/ Michael Pangia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25400</wp:posOffset>
            </wp:positionV>
            <wp:extent cx="289877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9"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Michael Pangia</w:t>
      </w:r>
    </w:p>
    <w:p>
      <w:pPr>
        <w:spacing w:after="0" w:line="15" w:lineRule="exact"/>
        <w:rPr>
          <w:sz w:val="20"/>
          <w:szCs w:val="20"/>
          <w:color w:val="auto"/>
        </w:rPr>
      </w:pPr>
    </w:p>
    <w:p>
      <w:pPr>
        <w:jc w:val="right"/>
        <w:ind w:right="399"/>
        <w:spacing w:after="0"/>
        <w:rPr>
          <w:sz w:val="20"/>
          <w:szCs w:val="20"/>
          <w:color w:val="auto"/>
        </w:rPr>
      </w:pPr>
      <w:r>
        <w:rPr>
          <w:rFonts w:ascii="Arial" w:cs="Arial" w:eastAsia="Arial" w:hAnsi="Arial"/>
          <w:sz w:val="18"/>
          <w:szCs w:val="18"/>
          <w:color w:val="auto"/>
        </w:rPr>
        <w:t>President and CEO</w:t>
      </w:r>
    </w:p>
    <w:p>
      <w:pPr>
        <w:spacing w:after="0" w:line="15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219"/>
          </w:cols>
          <w:pgMar w:left="240" w:top="280" w:right="1440"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986155" cy="5575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8615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Edward J. Hayes, Jr.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5668 Country Club Parkway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Silver Creek Valley Country Club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Jose, CA 95138</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Dear Ned:</w:t>
      </w:r>
    </w:p>
    <w:p>
      <w:pPr>
        <w:spacing w:after="0" w:line="171" w:lineRule="exact"/>
        <w:rPr>
          <w:sz w:val="20"/>
          <w:szCs w:val="20"/>
          <w:color w:val="auto"/>
        </w:rPr>
      </w:pPr>
    </w:p>
    <w:p>
      <w:pPr>
        <w:jc w:val="both"/>
        <w:ind w:right="20" w:firstLine="456"/>
        <w:spacing w:after="0" w:line="332" w:lineRule="auto"/>
        <w:rPr>
          <w:sz w:val="20"/>
          <w:szCs w:val="20"/>
          <w:color w:val="auto"/>
        </w:rPr>
      </w:pPr>
      <w:r>
        <w:rPr>
          <w:rFonts w:ascii="Arial" w:cs="Arial" w:eastAsia="Arial" w:hAnsi="Arial"/>
          <w:sz w:val="16"/>
          <w:szCs w:val="16"/>
          <w:color w:val="auto"/>
        </w:rPr>
        <w:t>This letter agreement sets forth the terms of your employment with Aviat Networks, Inc. (the “Company”), as well as our understanding with respect to any termination of that employment relationship. This Agreement will become effective on your first day of employment, which is anticipated to be October 31, 2011.</w:t>
      </w:r>
    </w:p>
    <w:p>
      <w:pPr>
        <w:spacing w:after="0" w:line="85" w:lineRule="exact"/>
        <w:rPr>
          <w:sz w:val="20"/>
          <w:szCs w:val="20"/>
          <w:color w:val="auto"/>
        </w:rPr>
      </w:pPr>
    </w:p>
    <w:p>
      <w:pPr>
        <w:ind w:right="40" w:firstLine="464"/>
        <w:spacing w:after="0" w:line="308" w:lineRule="auto"/>
        <w:tabs>
          <w:tab w:leader="none" w:pos="632" w:val="left"/>
        </w:tabs>
        <w:numPr>
          <w:ilvl w:val="0"/>
          <w:numId w:val="10"/>
        </w:numPr>
        <w:rPr>
          <w:rFonts w:ascii="Arial" w:cs="Arial" w:eastAsia="Arial" w:hAnsi="Arial"/>
          <w:sz w:val="15"/>
          <w:szCs w:val="15"/>
          <w:color w:val="auto"/>
        </w:rPr>
      </w:pPr>
      <w:r>
        <w:rPr>
          <w:rFonts w:ascii="Arial" w:cs="Arial" w:eastAsia="Arial" w:hAnsi="Arial"/>
          <w:sz w:val="15"/>
          <w:szCs w:val="15"/>
          <w:u w:val="single" w:color="auto"/>
          <w:color w:val="auto"/>
        </w:rPr>
        <w:t>Position and Duties</w:t>
      </w:r>
      <w:r>
        <w:rPr>
          <w:rFonts w:ascii="Arial" w:cs="Arial" w:eastAsia="Arial" w:hAnsi="Arial"/>
          <w:sz w:val="15"/>
          <w:szCs w:val="15"/>
          <w:color w:val="auto"/>
        </w:rPr>
        <w:t>. You will be employed by the Company as a Senior Vice President and Chief Financial Officer reporting to the Chief Executive Officer. This position will be based at our location in Santa Clara, California. You accept employment with the Company on the terms and conditions set forth in this Agreement, and you agree during your employment not to engage in any business, other employment or other activities which would conflict with your obligations to the Company or create an actual or the appearance of a conflict of interest with the Company’s interests or your employment relationship with the Company. The Company understands that you currently serve on the Board of Directors of Alaska Communications Systems Group, Inc. and Super Micro Computer, Inc. and desire to continue serving on such boards. The Company is willing to allow you to continue your service on such boards, provided, that: (a) in the event of an actual or potential conflict of interest (or the appearance of a conflict of interest) with the Company’s interests arising from your service on either of such boards, you shall immediately inform the Company of such conflict in order to discuss and resolve such conflict and the Company may, in its sole discretion, require you to resign from such boards, (b) you acknowledge and agree that your primary duties and obligations are to the Company and (c) any time you spend in connection with your service on such boards that would otherwise be dedicated to Company business shall be treated as vacation time taken by you.</w:t>
      </w:r>
    </w:p>
    <w:p>
      <w:pPr>
        <w:spacing w:after="0" w:line="109" w:lineRule="exact"/>
        <w:rPr>
          <w:rFonts w:ascii="Arial" w:cs="Arial" w:eastAsia="Arial" w:hAnsi="Arial"/>
          <w:sz w:val="15"/>
          <w:szCs w:val="15"/>
          <w:color w:val="auto"/>
        </w:rPr>
      </w:pPr>
    </w:p>
    <w:p>
      <w:pPr>
        <w:ind w:right="760" w:firstLine="464"/>
        <w:spacing w:after="0" w:line="332" w:lineRule="auto"/>
        <w:tabs>
          <w:tab w:leader="none" w:pos="632"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Term of Employment</w:t>
      </w:r>
      <w:r>
        <w:rPr>
          <w:rFonts w:ascii="Arial" w:cs="Arial" w:eastAsia="Arial" w:hAnsi="Arial"/>
          <w:sz w:val="16"/>
          <w:szCs w:val="16"/>
          <w:color w:val="auto"/>
        </w:rPr>
        <w:t>. Your employment with the Company is at will, which means that your employment is for no specified term, and may be terminated by you or the Company at any time, with or without cause or notice, subject to the provisions of Paragraphs 4 and 5 below.</w:t>
      </w:r>
    </w:p>
    <w:p>
      <w:pPr>
        <w:sectPr>
          <w:pgSz w:w="11900" w:h="16838" w:orient="portrait"/>
          <w:cols w:equalWidth="0" w:num="1">
            <w:col w:w="11420"/>
          </w:cols>
          <w:pgMar w:left="240" w:top="125"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Edward J. Hayes, Jr.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Employment Agreement</w:t>
      </w:r>
    </w:p>
    <w:p>
      <w:pPr>
        <w:spacing w:after="0" w:line="151" w:lineRule="exact"/>
        <w:rPr>
          <w:sz w:val="20"/>
          <w:szCs w:val="20"/>
          <w:color w:val="auto"/>
        </w:rPr>
      </w:pPr>
    </w:p>
    <w:p>
      <w:pPr>
        <w:ind w:left="640" w:hanging="176"/>
        <w:spacing w:after="0"/>
        <w:tabs>
          <w:tab w:leader="none" w:pos="640" w:val="left"/>
        </w:tabs>
        <w:numPr>
          <w:ilvl w:val="1"/>
          <w:numId w:val="11"/>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 You will be compensated by the Company for your services as follows:</w:t>
      </w:r>
    </w:p>
    <w:p>
      <w:pPr>
        <w:spacing w:after="0" w:line="171" w:lineRule="exact"/>
        <w:rPr>
          <w:rFonts w:ascii="Arial" w:cs="Arial" w:eastAsia="Arial" w:hAnsi="Arial"/>
          <w:sz w:val="18"/>
          <w:szCs w:val="18"/>
          <w:color w:val="auto"/>
        </w:rPr>
      </w:pPr>
    </w:p>
    <w:p>
      <w:pPr>
        <w:ind w:right="260" w:firstLine="921"/>
        <w:spacing w:after="0" w:line="294" w:lineRule="auto"/>
        <w:tabs>
          <w:tab w:leader="none" w:pos="1152" w:val="left"/>
        </w:tabs>
        <w:numPr>
          <w:ilvl w:val="2"/>
          <w:numId w:val="11"/>
        </w:numPr>
        <w:rPr>
          <w:rFonts w:ascii="Arial" w:cs="Arial" w:eastAsia="Arial" w:hAnsi="Arial"/>
          <w:sz w:val="16"/>
          <w:szCs w:val="16"/>
          <w:color w:val="auto"/>
        </w:rPr>
      </w:pPr>
      <w:r>
        <w:rPr>
          <w:rFonts w:ascii="Arial" w:cs="Arial" w:eastAsia="Arial" w:hAnsi="Arial"/>
          <w:sz w:val="16"/>
          <w:szCs w:val="16"/>
          <w:u w:val="single" w:color="auto"/>
          <w:color w:val="auto"/>
        </w:rPr>
        <w:t>Salary</w:t>
      </w:r>
      <w:r>
        <w:rPr>
          <w:rFonts w:ascii="Arial" w:cs="Arial" w:eastAsia="Arial" w:hAnsi="Arial"/>
          <w:sz w:val="16"/>
          <w:szCs w:val="16"/>
          <w:color w:val="auto"/>
        </w:rPr>
        <w:t>: You will be paid a monthly base salary of $30,000.00 ($360,000.00 per year), less applicable withholding, in accordance with the Company’s normal payroll procedures and applicable law. In conjunction with your annual performance review, which will occur at or about the start of each fiscal year (currently July 1st), your base salary will be reviewed by the Board, and may be subject to adjustment based upon various factors including, but not limited to, your performance and the Company’s profitability. Your base salary will not be reduced except as part of a salary reduction program that similarly affects all members of the executive staff reporting to the Chief Executive Officer of the Company.</w:t>
      </w:r>
    </w:p>
    <w:p>
      <w:pPr>
        <w:spacing w:after="0" w:line="115" w:lineRule="exact"/>
        <w:rPr>
          <w:rFonts w:ascii="Arial" w:cs="Arial" w:eastAsia="Arial" w:hAnsi="Arial"/>
          <w:sz w:val="16"/>
          <w:szCs w:val="16"/>
          <w:color w:val="auto"/>
        </w:rPr>
      </w:pPr>
    </w:p>
    <w:p>
      <w:pPr>
        <w:ind w:right="60" w:firstLine="921"/>
        <w:spacing w:after="0" w:line="254" w:lineRule="auto"/>
        <w:tabs>
          <w:tab w:leader="none" w:pos="1161" w:val="left"/>
        </w:tabs>
        <w:numPr>
          <w:ilvl w:val="2"/>
          <w:numId w:val="11"/>
        </w:numPr>
        <w:rPr>
          <w:rFonts w:ascii="Arial" w:cs="Arial" w:eastAsia="Arial" w:hAnsi="Arial"/>
          <w:sz w:val="18"/>
          <w:szCs w:val="18"/>
          <w:color w:val="auto"/>
        </w:rPr>
      </w:pPr>
      <w:r>
        <w:rPr>
          <w:rFonts w:ascii="Arial" w:cs="Arial" w:eastAsia="Arial" w:hAnsi="Arial"/>
          <w:sz w:val="18"/>
          <w:szCs w:val="18"/>
          <w:u w:val="single" w:color="auto"/>
          <w:color w:val="auto"/>
        </w:rPr>
        <w:t>Annual Short-Term Incentive Plan</w:t>
      </w:r>
      <w:r>
        <w:rPr>
          <w:rFonts w:ascii="Arial" w:cs="Arial" w:eastAsia="Arial" w:hAnsi="Arial"/>
          <w:sz w:val="18"/>
          <w:szCs w:val="18"/>
          <w:color w:val="auto"/>
        </w:rPr>
        <w:t>: Subject to the Board’s approval of such a plan for Company employees each year, starting in FY2013, you will be eligible to participate in the Company’s Annual Incentive Plan with a target annual bonus of 75% of your annual base salary, based upon achievement of the same performance objectives, floors and caps determined by the Board for the Annual Incentive Plan for executives generally. You will also be entitled to participate in the Company’s FY2012 Annual Incentive Plan with a target of $288,750, prorated for the portion of FY2012 falling between your start date and the end of FY2012. Any vesting of performance shares and/or payment under the Annual Incentive Plan will be made (if minimum targets are met) in the calendar year in which the relevant fiscal year ends.</w:t>
      </w:r>
    </w:p>
    <w:p>
      <w:pPr>
        <w:spacing w:after="0" w:line="144" w:lineRule="exact"/>
        <w:rPr>
          <w:rFonts w:ascii="Arial" w:cs="Arial" w:eastAsia="Arial" w:hAnsi="Arial"/>
          <w:sz w:val="18"/>
          <w:szCs w:val="18"/>
          <w:color w:val="auto"/>
        </w:rPr>
      </w:pPr>
    </w:p>
    <w:p>
      <w:pPr>
        <w:ind w:right="400" w:firstLine="921"/>
        <w:spacing w:after="0" w:line="286" w:lineRule="auto"/>
        <w:tabs>
          <w:tab w:leader="none" w:pos="1152" w:val="left"/>
        </w:tabs>
        <w:numPr>
          <w:ilvl w:val="2"/>
          <w:numId w:val="11"/>
        </w:numPr>
        <w:rPr>
          <w:rFonts w:ascii="Arial" w:cs="Arial" w:eastAsia="Arial" w:hAnsi="Arial"/>
          <w:sz w:val="16"/>
          <w:szCs w:val="16"/>
          <w:color w:val="auto"/>
        </w:rPr>
      </w:pPr>
      <w:r>
        <w:rPr>
          <w:rFonts w:ascii="Arial" w:cs="Arial" w:eastAsia="Arial" w:hAnsi="Arial"/>
          <w:sz w:val="16"/>
          <w:szCs w:val="16"/>
          <w:u w:val="single" w:color="auto"/>
          <w:color w:val="auto"/>
        </w:rPr>
        <w:t>Long-Term Incentive Program</w:t>
      </w:r>
      <w:r>
        <w:rPr>
          <w:rFonts w:ascii="Arial" w:cs="Arial" w:eastAsia="Arial" w:hAnsi="Arial"/>
          <w:sz w:val="16"/>
          <w:szCs w:val="16"/>
          <w:color w:val="auto"/>
        </w:rPr>
        <w:t>: Subject to Board approval each year, you will be eligible to participate in a Long-Term Incentive Plan with a target value as determined by the Board. You will be eligible to participate in the Company’s fiscal year 2012-14 Long-Term Incentive Plan with awards of</w:t>
      </w:r>
    </w:p>
    <w:p>
      <w:pPr>
        <w:ind w:firstLine="8"/>
        <w:spacing w:after="0" w:line="302" w:lineRule="auto"/>
        <w:tabs>
          <w:tab w:leader="none" w:pos="21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options with a GAAP value of $144,375 with a 3-year vesting period (50%/25%/25%) and (ii) shares of restricted stock with a GAAP value of $72,188 with a 3-year vesting period (33.3%/33.3%/33.3%), with the first applicable vesting date for such awards on the first anniversary of your start date and additional vesting on each anniversary of such date thereafter. The structure for future periods is subject to determination by the Board.</w:t>
      </w:r>
    </w:p>
    <w:p>
      <w:pPr>
        <w:spacing w:after="0" w:line="109" w:lineRule="exact"/>
        <w:rPr>
          <w:rFonts w:ascii="Arial" w:cs="Arial" w:eastAsia="Arial" w:hAnsi="Arial"/>
          <w:sz w:val="16"/>
          <w:szCs w:val="16"/>
          <w:color w:val="auto"/>
        </w:rPr>
      </w:pPr>
    </w:p>
    <w:p>
      <w:pPr>
        <w:ind w:right="200" w:firstLine="921"/>
        <w:spacing w:after="0" w:line="256" w:lineRule="auto"/>
        <w:tabs>
          <w:tab w:leader="none" w:pos="1161" w:val="left"/>
        </w:tabs>
        <w:numPr>
          <w:ilvl w:val="2"/>
          <w:numId w:val="12"/>
        </w:numPr>
        <w:rPr>
          <w:rFonts w:ascii="Arial" w:cs="Arial" w:eastAsia="Arial" w:hAnsi="Arial"/>
          <w:sz w:val="18"/>
          <w:szCs w:val="18"/>
          <w:color w:val="auto"/>
        </w:rPr>
      </w:pPr>
      <w:r>
        <w:rPr>
          <w:rFonts w:ascii="Arial" w:cs="Arial" w:eastAsia="Arial" w:hAnsi="Arial"/>
          <w:sz w:val="18"/>
          <w:szCs w:val="18"/>
          <w:u w:val="single" w:color="auto"/>
          <w:color w:val="auto"/>
        </w:rPr>
        <w:t>New Hire One-Time Equity Awards</w:t>
      </w:r>
      <w:r>
        <w:rPr>
          <w:rFonts w:ascii="Arial" w:cs="Arial" w:eastAsia="Arial" w:hAnsi="Arial"/>
          <w:sz w:val="18"/>
          <w:szCs w:val="18"/>
          <w:color w:val="auto"/>
        </w:rPr>
        <w:t>. You will also receive awards of (i) options with a GAAP value of $314,600 with a 3-year vesting period (50%/25%/25%) and (ii) shares of restricted stock with a GAAP value of $187,500 with a 3-year vesting period (33.3%/33.3%/33.3%), with the first applicable vesting date for such awards on the first anniversary of your start date and additional vesting on each anniversary of such date thereafter. Such awards shall be made within thirty (30) days of your start date.</w:t>
      </w:r>
    </w:p>
    <w:p>
      <w:pPr>
        <w:spacing w:after="0" w:line="143" w:lineRule="exact"/>
        <w:rPr>
          <w:rFonts w:ascii="Arial" w:cs="Arial" w:eastAsia="Arial" w:hAnsi="Arial"/>
          <w:sz w:val="18"/>
          <w:szCs w:val="18"/>
          <w:color w:val="auto"/>
        </w:rPr>
      </w:pPr>
    </w:p>
    <w:p>
      <w:pPr>
        <w:jc w:val="both"/>
        <w:ind w:firstLine="921"/>
        <w:spacing w:after="0" w:line="256" w:lineRule="auto"/>
        <w:tabs>
          <w:tab w:leader="none" w:pos="1152" w:val="left"/>
        </w:tabs>
        <w:numPr>
          <w:ilvl w:val="2"/>
          <w:numId w:val="12"/>
        </w:numPr>
        <w:rPr>
          <w:rFonts w:ascii="Arial" w:cs="Arial" w:eastAsia="Arial" w:hAnsi="Arial"/>
          <w:sz w:val="18"/>
          <w:szCs w:val="18"/>
          <w:color w:val="auto"/>
        </w:rPr>
      </w:pPr>
      <w:r>
        <w:rPr>
          <w:rFonts w:ascii="Arial" w:cs="Arial" w:eastAsia="Arial" w:hAnsi="Arial"/>
          <w:sz w:val="18"/>
          <w:szCs w:val="18"/>
          <w:u w:val="single" w:color="auto"/>
          <w:color w:val="auto"/>
        </w:rPr>
        <w:t>One-Time Cash Bonus Opportunity</w:t>
      </w:r>
      <w:r>
        <w:rPr>
          <w:rFonts w:ascii="Arial" w:cs="Arial" w:eastAsia="Arial" w:hAnsi="Arial"/>
          <w:sz w:val="18"/>
          <w:szCs w:val="18"/>
          <w:color w:val="auto"/>
        </w:rPr>
        <w:t>. You will receive a one-time cash bonus of $75,000, less applicable withholding, if the Company achieves, by the end of the Company’s fourth quarter of FY2012, certain operational goals specified by the Chief Executive Officer. The achievement of such operational goals shall be determined by the Company’s Audit Committee. If achieved, the one-time cash bonus shall be payable in the Company’s FY2013 following the announcement of the Company’s operating results for the fourth quarter of FY2012.</w:t>
      </w:r>
    </w:p>
    <w:p>
      <w:pPr>
        <w:spacing w:after="0" w:line="143" w:lineRule="exact"/>
        <w:rPr>
          <w:rFonts w:ascii="Arial" w:cs="Arial" w:eastAsia="Arial" w:hAnsi="Arial"/>
          <w:sz w:val="18"/>
          <w:szCs w:val="18"/>
          <w:color w:val="auto"/>
        </w:rPr>
      </w:pPr>
    </w:p>
    <w:p>
      <w:pPr>
        <w:ind w:right="200" w:firstLine="921"/>
        <w:spacing w:after="0" w:line="268" w:lineRule="auto"/>
        <w:tabs>
          <w:tab w:leader="none" w:pos="1132" w:val="left"/>
        </w:tabs>
        <w:numPr>
          <w:ilvl w:val="2"/>
          <w:numId w:val="12"/>
        </w:numPr>
        <w:rPr>
          <w:rFonts w:ascii="Arial" w:cs="Arial" w:eastAsia="Arial" w:hAnsi="Arial"/>
          <w:sz w:val="18"/>
          <w:szCs w:val="18"/>
          <w:color w:val="auto"/>
        </w:rPr>
      </w:pPr>
      <w:r>
        <w:rPr>
          <w:rFonts w:ascii="Arial" w:cs="Arial" w:eastAsia="Arial" w:hAnsi="Arial"/>
          <w:sz w:val="18"/>
          <w:szCs w:val="18"/>
          <w:u w:val="single" w:color="auto"/>
          <w:color w:val="auto"/>
        </w:rPr>
        <w:t>One-Time “Sign On” Bonus Opportunity</w:t>
      </w:r>
      <w:r>
        <w:rPr>
          <w:rFonts w:ascii="Arial" w:cs="Arial" w:eastAsia="Arial" w:hAnsi="Arial"/>
          <w:sz w:val="18"/>
          <w:szCs w:val="18"/>
          <w:color w:val="auto"/>
        </w:rPr>
        <w:t>: You will receive a one-time cash sign on bonus of $50,000, less applicable withholding, to be paid to you on the first payroll period following 30 days of employment.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Edward J. Hayes, Jr.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Employment Agreement</w:t>
      </w:r>
    </w:p>
    <w:p>
      <w:pPr>
        <w:spacing w:after="0" w:line="151" w:lineRule="exact"/>
        <w:rPr>
          <w:sz w:val="20"/>
          <w:szCs w:val="20"/>
          <w:color w:val="auto"/>
        </w:rPr>
      </w:pPr>
    </w:p>
    <w:p>
      <w:pPr>
        <w:ind w:right="360" w:firstLine="921"/>
        <w:spacing w:after="0" w:line="306" w:lineRule="auto"/>
        <w:tabs>
          <w:tab w:leader="none" w:pos="1161" w:val="left"/>
        </w:tabs>
        <w:numPr>
          <w:ilvl w:val="1"/>
          <w:numId w:val="13"/>
        </w:numPr>
        <w:rPr>
          <w:rFonts w:ascii="Arial" w:cs="Arial" w:eastAsia="Arial" w:hAnsi="Arial"/>
          <w:sz w:val="16"/>
          <w:szCs w:val="16"/>
          <w:color w:val="auto"/>
        </w:rPr>
      </w:pPr>
      <w:r>
        <w:rPr>
          <w:rFonts w:ascii="Arial" w:cs="Arial" w:eastAsia="Arial" w:hAnsi="Arial"/>
          <w:sz w:val="16"/>
          <w:szCs w:val="16"/>
          <w:u w:val="single" w:color="auto"/>
          <w:color w:val="auto"/>
        </w:rPr>
        <w:t>Benefits</w:t>
      </w:r>
      <w:r>
        <w:rPr>
          <w:rFonts w:ascii="Arial" w:cs="Arial" w:eastAsia="Arial" w:hAnsi="Arial"/>
          <w:sz w:val="16"/>
          <w:szCs w:val="16"/>
          <w:color w:val="auto"/>
        </w:rPr>
        <w:t>: You will have the right, on the same basis as other employees of the Company, to participate in and to receive benefits under any Company group medical, dental, life, disability or other group insurance plans, as well as under the Company’s business expense reimbursement, educational assistance, holiday, and other benefit plans and policies. You will also be eligible to participate in the Company’s 401(k) plan.</w:t>
      </w:r>
    </w:p>
    <w:p>
      <w:pPr>
        <w:spacing w:after="0" w:line="106" w:lineRule="exact"/>
        <w:rPr>
          <w:rFonts w:ascii="Arial" w:cs="Arial" w:eastAsia="Arial" w:hAnsi="Arial"/>
          <w:sz w:val="16"/>
          <w:szCs w:val="16"/>
          <w:color w:val="auto"/>
        </w:rPr>
      </w:pPr>
    </w:p>
    <w:p>
      <w:pPr>
        <w:ind w:firstLine="921"/>
        <w:spacing w:after="0" w:line="259" w:lineRule="auto"/>
        <w:tabs>
          <w:tab w:leader="none" w:pos="1161" w:val="left"/>
        </w:tabs>
        <w:numPr>
          <w:ilvl w:val="1"/>
          <w:numId w:val="13"/>
        </w:numPr>
        <w:rPr>
          <w:rFonts w:ascii="Arial" w:cs="Arial" w:eastAsia="Arial" w:hAnsi="Arial"/>
          <w:sz w:val="18"/>
          <w:szCs w:val="18"/>
          <w:color w:val="auto"/>
        </w:rPr>
      </w:pPr>
      <w:r>
        <w:rPr>
          <w:rFonts w:ascii="Arial" w:cs="Arial" w:eastAsia="Arial" w:hAnsi="Arial"/>
          <w:sz w:val="18"/>
          <w:szCs w:val="18"/>
          <w:u w:val="single" w:color="auto"/>
          <w:color w:val="auto"/>
        </w:rPr>
        <w:t>Vacation</w:t>
      </w:r>
      <w:r>
        <w:rPr>
          <w:rFonts w:ascii="Arial" w:cs="Arial" w:eastAsia="Arial" w:hAnsi="Arial"/>
          <w:sz w:val="18"/>
          <w:szCs w:val="18"/>
          <w:color w:val="auto"/>
        </w:rPr>
        <w:t>: Once your employment begins, you will accrue paid vacation at the rate of 5 weeks per year. Maximum accrued vacation will be in accordance with the Company’s vacation policy. As stated in Paragraph 1 above, any time you spend in connection with your service on outside boards that would otherwise be dedicated to Company business shall be treated as vacation time taken by you.</w:t>
      </w:r>
    </w:p>
    <w:p>
      <w:pPr>
        <w:spacing w:after="0" w:line="140" w:lineRule="exact"/>
        <w:rPr>
          <w:rFonts w:ascii="Arial" w:cs="Arial" w:eastAsia="Arial" w:hAnsi="Arial"/>
          <w:sz w:val="18"/>
          <w:szCs w:val="18"/>
          <w:color w:val="auto"/>
        </w:rPr>
      </w:pPr>
    </w:p>
    <w:p>
      <w:pPr>
        <w:ind w:right="20" w:firstLine="921"/>
        <w:spacing w:after="0" w:line="256" w:lineRule="auto"/>
        <w:tabs>
          <w:tab w:leader="none" w:pos="1122" w:val="left"/>
        </w:tabs>
        <w:numPr>
          <w:ilvl w:val="1"/>
          <w:numId w:val="13"/>
        </w:numPr>
        <w:rPr>
          <w:rFonts w:ascii="Arial" w:cs="Arial" w:eastAsia="Arial" w:hAnsi="Arial"/>
          <w:sz w:val="18"/>
          <w:szCs w:val="18"/>
          <w:color w:val="auto"/>
        </w:rPr>
      </w:pPr>
      <w:r>
        <w:rPr>
          <w:rFonts w:ascii="Arial" w:cs="Arial" w:eastAsia="Arial" w:hAnsi="Arial"/>
          <w:sz w:val="18"/>
          <w:szCs w:val="18"/>
          <w:u w:val="single" w:color="auto"/>
          <w:color w:val="auto"/>
        </w:rPr>
        <w:t>Earned Compensation</w:t>
      </w:r>
      <w:r>
        <w:rPr>
          <w:rFonts w:ascii="Arial" w:cs="Arial" w:eastAsia="Arial" w:hAnsi="Arial"/>
          <w:sz w:val="18"/>
          <w:szCs w:val="18"/>
          <w:color w:val="auto"/>
        </w:rPr>
        <w:t>: For purposes of those Paragraphs of this Agreement pertaining to termination of the employment relationship, whether involuntary or voluntary, unless otherwise expressly provided herein, no part of (i) the Annual Incentive Plan for the year in which the termination occurs, (ii) any performance-vesting equity or other awards for any period in which the termination occurs and (iii) any time-vesting equity or other awards that are not vested as of the termination date will be deemed earned as of the date of termination.</w:t>
      </w:r>
    </w:p>
    <w:p>
      <w:pPr>
        <w:spacing w:after="0" w:line="143" w:lineRule="exact"/>
        <w:rPr>
          <w:rFonts w:ascii="Arial" w:cs="Arial" w:eastAsia="Arial" w:hAnsi="Arial"/>
          <w:sz w:val="18"/>
          <w:szCs w:val="18"/>
          <w:color w:val="auto"/>
        </w:rPr>
      </w:pPr>
    </w:p>
    <w:p>
      <w:pPr>
        <w:ind w:firstLine="464"/>
        <w:spacing w:after="0" w:line="288" w:lineRule="auto"/>
        <w:tabs>
          <w:tab w:leader="none" w:pos="632"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Voluntary Termination or Death</w:t>
      </w:r>
      <w:r>
        <w:rPr>
          <w:rFonts w:ascii="Arial" w:cs="Arial" w:eastAsia="Arial" w:hAnsi="Arial"/>
          <w:sz w:val="16"/>
          <w:szCs w:val="16"/>
          <w:color w:val="auto"/>
        </w:rPr>
        <w:t>. In the event that you voluntarily resign from your employment with the Company (other than for Good Reason or Good Reason Following a Change of Control as defined in Paragraphs 5(d) and 6(b)), or in the event that your employment terminates as a result of your death, you will be entitled to no compensation or benefits from the Company other than those earned under Paragraph 3 through the date of termination. However, if your employment terminates as a result of your death, the Company will pay your estate the prorated portion of any short-term incentive bonus that you would have earned during the incentive bonus period in which your employment terminates (the pro-ration shall be equal to the percentage of that bonus period that you are actually employed by the Company); such prorated bonus will be paid at the time that such incentive bonuses are paid to other Company employees. You agree that if you voluntarily terminate your employment with the Company for any reason, you will provide the Company with at least 10 business days’ written notice of your resignation. The Company shall have the option, in its sole discretion, to make your resignation effective at any time prior to the end of such notice period, provided the Company pays you an amount equal to the base salary and benefits you would have earned through the end of the notice period.</w:t>
      </w:r>
    </w:p>
    <w:p>
      <w:pPr>
        <w:spacing w:after="0" w:line="119" w:lineRule="exact"/>
        <w:rPr>
          <w:rFonts w:ascii="Arial" w:cs="Arial" w:eastAsia="Arial" w:hAnsi="Arial"/>
          <w:sz w:val="16"/>
          <w:szCs w:val="16"/>
          <w:color w:val="auto"/>
        </w:rPr>
      </w:pPr>
    </w:p>
    <w:p>
      <w:pPr>
        <w:ind w:left="640" w:hanging="17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Other Termination</w:t>
      </w:r>
      <w:r>
        <w:rPr>
          <w:rFonts w:ascii="Arial" w:cs="Arial" w:eastAsia="Arial" w:hAnsi="Arial"/>
          <w:sz w:val="18"/>
          <w:szCs w:val="18"/>
          <w:color w:val="auto"/>
        </w:rPr>
        <w:t>. Your employment may be terminated under the circumstances set forth below.</w:t>
      </w:r>
    </w:p>
    <w:p>
      <w:pPr>
        <w:spacing w:after="0" w:line="171" w:lineRule="exact"/>
        <w:rPr>
          <w:rFonts w:ascii="Arial" w:cs="Arial" w:eastAsia="Arial" w:hAnsi="Arial"/>
          <w:sz w:val="18"/>
          <w:szCs w:val="18"/>
          <w:color w:val="auto"/>
        </w:rPr>
      </w:pPr>
    </w:p>
    <w:p>
      <w:pPr>
        <w:ind w:right="60" w:firstLine="921"/>
        <w:spacing w:after="0" w:line="294" w:lineRule="auto"/>
        <w:tabs>
          <w:tab w:leader="none" w:pos="1152" w:val="left"/>
        </w:tabs>
        <w:numPr>
          <w:ilvl w:val="1"/>
          <w:numId w:val="14"/>
        </w:numPr>
        <w:rPr>
          <w:rFonts w:ascii="Arial" w:cs="Arial" w:eastAsia="Arial" w:hAnsi="Arial"/>
          <w:sz w:val="16"/>
          <w:szCs w:val="16"/>
          <w:color w:val="auto"/>
        </w:rPr>
      </w:pPr>
      <w:r>
        <w:rPr>
          <w:rFonts w:ascii="Arial" w:cs="Arial" w:eastAsia="Arial" w:hAnsi="Arial"/>
          <w:sz w:val="16"/>
          <w:szCs w:val="16"/>
          <w:u w:val="single" w:color="auto"/>
          <w:color w:val="auto"/>
        </w:rPr>
        <w:t>Termination by Disability</w:t>
      </w:r>
      <w:r>
        <w:rPr>
          <w:rFonts w:ascii="Arial" w:cs="Arial" w:eastAsia="Arial" w:hAnsi="Arial"/>
          <w:sz w:val="16"/>
          <w:szCs w:val="16"/>
          <w:color w:val="auto"/>
        </w:rPr>
        <w:t>: If, by reason of any physical or mental incapacity, you have been or will be prevented from performing your then-current duties under this Agreement with reasonable accommodation, then, to the extent permitted by law, the Company may terminate your employment without any advance notice. Upon such termination, if you sign a general release of known and unknown claims in a form satisfactory to the Company which becomes valid and irrevocable within 60 days of your termination, and you fully comply with your obligations under Paragraphs 7, 8, and 10, the Company will provide you with the severance payments and benefits described in Paragraph 5(c). Nothing in this paragraph shall</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Edward J. Hayes, Jr.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Employment Agreement</w:t>
      </w:r>
    </w:p>
    <w:p>
      <w:pPr>
        <w:spacing w:after="0" w:line="15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affect your rights under any applicable Company disability plan; provided, however, that your severance payments will be offset by any disability income payments received by you so that the total monthly severance and disability income payments during your severance period shall not exceed your then-current base salary.</w:t>
      </w:r>
    </w:p>
    <w:p>
      <w:pPr>
        <w:spacing w:after="0" w:line="140" w:lineRule="exact"/>
        <w:rPr>
          <w:sz w:val="20"/>
          <w:szCs w:val="20"/>
          <w:color w:val="auto"/>
        </w:rPr>
      </w:pPr>
    </w:p>
    <w:p>
      <w:pPr>
        <w:ind w:firstLine="921"/>
        <w:spacing w:after="0" w:line="287" w:lineRule="auto"/>
        <w:tabs>
          <w:tab w:leader="none" w:pos="1161"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Termination for Cause</w:t>
      </w:r>
      <w:r>
        <w:rPr>
          <w:rFonts w:ascii="Arial" w:cs="Arial" w:eastAsia="Arial" w:hAnsi="Arial"/>
          <w:sz w:val="16"/>
          <w:szCs w:val="16"/>
          <w:color w:val="auto"/>
        </w:rPr>
        <w:t>: The Company may terminate your employment at any time for cause (as described below) without providing any notice (except to the extent expressly provided below). If your employment is terminated by the Company for cause, you shall be entitled to no compensation or benefits from the Company other than those earned under Paragraph 3 through the date of termination. For purposes of this Agreement, a termination for “cause” occurs if you are terminated for any of the following reasons: (i) theft, dishonesty, misconduct or falsification of any employment or Company records; (ii) improper disclosure of the Company’s confidential or proprietary information; (iii) any action by you which has a material detrimental effect on the Company’s reputation or business; (iv) your refusal or inability to perform any assigned duties (other than as a result of a disability), after written notice from the Company to you of, and a 30-day opportunity to cure, such refusal or inability; (v) your material breach of this Agreement or of the employee proprietary information/confidentiality/assignment of inventions agreement not otherwise described in this paragraph, after written notice from the Company to you of, and a 30-day opportunity to cure, such breach; or (vi) your conviction (including any plea of guilty or no contest) for any criminal act that impairs your ability to perform your duties under this Agreement.</w:t>
      </w:r>
    </w:p>
    <w:p>
      <w:pPr>
        <w:spacing w:after="0" w:line="122" w:lineRule="exact"/>
        <w:rPr>
          <w:rFonts w:ascii="Arial" w:cs="Arial" w:eastAsia="Arial" w:hAnsi="Arial"/>
          <w:sz w:val="16"/>
          <w:szCs w:val="16"/>
          <w:color w:val="auto"/>
        </w:rPr>
      </w:pPr>
    </w:p>
    <w:p>
      <w:pPr>
        <w:ind w:right="220" w:firstLine="921"/>
        <w:spacing w:after="0" w:line="255" w:lineRule="auto"/>
        <w:tabs>
          <w:tab w:leader="none" w:pos="1152"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Termination Without Cause</w:t>
      </w:r>
      <w:r>
        <w:rPr>
          <w:rFonts w:ascii="Arial" w:cs="Arial" w:eastAsia="Arial" w:hAnsi="Arial"/>
          <w:sz w:val="18"/>
          <w:szCs w:val="18"/>
          <w:color w:val="auto"/>
        </w:rPr>
        <w:t>: The Company may terminate your employment without cause at any time with or without advance notice. If your employment is terminated by the Company without cause, and you sign a general release of known and unknown claims in a form satisfactory to the Company within the applicable review period which thereupon is (or, if any revocation period is required by law, following expiration of such period becomes) valid and irrevocable within 60 days of your termination, and you fully comply with your obligations under Paragraphs 7, 8, and 10, you will receive the following severance benefits:</w:t>
      </w:r>
    </w:p>
    <w:p>
      <w:pPr>
        <w:spacing w:after="0" w:line="142" w:lineRule="exact"/>
        <w:rPr>
          <w:rFonts w:ascii="Arial" w:cs="Arial" w:eastAsia="Arial" w:hAnsi="Arial"/>
          <w:sz w:val="18"/>
          <w:szCs w:val="18"/>
          <w:color w:val="auto"/>
        </w:rPr>
      </w:pPr>
    </w:p>
    <w:p>
      <w:pPr>
        <w:jc w:val="both"/>
        <w:ind w:right="60" w:firstLine="1492"/>
        <w:spacing w:after="0" w:line="298" w:lineRule="auto"/>
        <w:tabs>
          <w:tab w:leader="none" w:pos="1693" w:val="left"/>
        </w:tabs>
        <w:numPr>
          <w:ilvl w:val="1"/>
          <w:numId w:val="15"/>
        </w:numPr>
        <w:rPr>
          <w:rFonts w:ascii="Arial" w:cs="Arial" w:eastAsia="Arial" w:hAnsi="Arial"/>
          <w:sz w:val="16"/>
          <w:szCs w:val="16"/>
          <w:color w:val="auto"/>
        </w:rPr>
      </w:pPr>
      <w:r>
        <w:rPr>
          <w:rFonts w:ascii="Arial" w:cs="Arial" w:eastAsia="Arial" w:hAnsi="Arial"/>
          <w:sz w:val="16"/>
          <w:szCs w:val="16"/>
          <w:color w:val="auto"/>
        </w:rPr>
        <w:t>payments at your final base salary rate for a period of twelve (12) months following your termination; such payments will be subject to applicable withholding and made in accordance with the Company’s normal payroll practices; provided, however, that any such payments that would have been paid in accordance with the Company’s normal payroll practices before your release becomes valid and irrevocable will accumulate and be paid only if and when both (x) your release becomes valid and irrevocable and (y) such validity and irrevocability in no event occurs more than 60 days after your termination;</w:t>
      </w:r>
    </w:p>
    <w:p>
      <w:pPr>
        <w:spacing w:after="0" w:line="112" w:lineRule="exact"/>
        <w:rPr>
          <w:rFonts w:ascii="Arial" w:cs="Arial" w:eastAsia="Arial" w:hAnsi="Arial"/>
          <w:sz w:val="16"/>
          <w:szCs w:val="16"/>
          <w:color w:val="auto"/>
        </w:rPr>
      </w:pPr>
    </w:p>
    <w:p>
      <w:pPr>
        <w:ind w:firstLine="1492"/>
        <w:spacing w:after="0" w:line="306" w:lineRule="auto"/>
        <w:tabs>
          <w:tab w:leader="none" w:pos="1742" w:val="left"/>
        </w:tabs>
        <w:numPr>
          <w:ilvl w:val="1"/>
          <w:numId w:val="15"/>
        </w:numPr>
        <w:rPr>
          <w:rFonts w:ascii="Arial" w:cs="Arial" w:eastAsia="Arial" w:hAnsi="Arial"/>
          <w:sz w:val="16"/>
          <w:szCs w:val="16"/>
          <w:color w:val="auto"/>
        </w:rPr>
      </w:pPr>
      <w:r>
        <w:rPr>
          <w:rFonts w:ascii="Arial" w:cs="Arial" w:eastAsia="Arial" w:hAnsi="Arial"/>
          <w:sz w:val="16"/>
          <w:szCs w:val="16"/>
          <w:color w:val="auto"/>
        </w:rPr>
        <w:t>payment of the premiums necessary to continue your group health insurance under the Consolidated Omnibus Budget Reconciliation Act (“COBRA”) provided you have timely elected COBRA coverage until the earlier of (x) twelve (12) months following your termination date; or (y) the date you first became eligible to participate in another employer’s group health insurance plan; or (z) the date on which you are no longer eligible for COBRA coverage;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Edward J. Hayes, Jr.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Employment Agreement</w:t>
      </w:r>
    </w:p>
    <w:p>
      <w:pPr>
        <w:spacing w:after="0" w:line="151" w:lineRule="exact"/>
        <w:rPr>
          <w:sz w:val="20"/>
          <w:szCs w:val="20"/>
          <w:color w:val="auto"/>
        </w:rPr>
      </w:pPr>
    </w:p>
    <w:p>
      <w:pPr>
        <w:ind w:right="240" w:firstLine="1492"/>
        <w:spacing w:after="0" w:line="256" w:lineRule="auto"/>
        <w:tabs>
          <w:tab w:leader="none" w:pos="1791"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Company will pay you the prorated portion of any incentive bonus that you would have earned, if any, during the incentive bonus period in which your employment terminates (the pro-ration shall be equal to the percentage of that bonus period that you are actually employed by the Company), and such prorated bonus will be paid to you at the time that such incentive bonuses are paid to other Company employees, or at any earlier time required by applicable law;</w:t>
      </w:r>
    </w:p>
    <w:p>
      <w:pPr>
        <w:spacing w:after="0" w:line="143" w:lineRule="exact"/>
        <w:rPr>
          <w:rFonts w:ascii="Arial" w:cs="Arial" w:eastAsia="Arial" w:hAnsi="Arial"/>
          <w:sz w:val="18"/>
          <w:szCs w:val="18"/>
          <w:color w:val="auto"/>
        </w:rPr>
      </w:pPr>
    </w:p>
    <w:p>
      <w:pPr>
        <w:ind w:right="60" w:firstLine="1492"/>
        <w:spacing w:after="0" w:line="255" w:lineRule="auto"/>
        <w:tabs>
          <w:tab w:leader="none" w:pos="1781" w:val="left"/>
        </w:tabs>
        <w:numPr>
          <w:ilvl w:val="1"/>
          <w:numId w:val="16"/>
        </w:numPr>
        <w:rPr>
          <w:rFonts w:ascii="Arial" w:cs="Arial" w:eastAsia="Arial" w:hAnsi="Arial"/>
          <w:sz w:val="18"/>
          <w:szCs w:val="18"/>
          <w:color w:val="auto"/>
        </w:rPr>
      </w:pPr>
      <w:r>
        <w:rPr>
          <w:rFonts w:ascii="Arial" w:cs="Arial" w:eastAsia="Arial" w:hAnsi="Arial"/>
          <w:sz w:val="18"/>
          <w:szCs w:val="18"/>
          <w:color w:val="auto"/>
        </w:rPr>
        <w:t>with respect to any stock options or other equity-related awards granted to you by the Company, you will cease vesting upon your termination date; however, you will be entitled to purchase any vested shares of stock that are subject to those options until the earlier of (x) twelve (12) months following your termination date, or (y) the date on which the applicable option(s) expire(s); except as set forth in this subparagraph, your Company stock options and other equity-related awards will continue to be subject to and governed by the Company’s Stock Equity Plan (as amended from time to time, the “Plan”) and the applicable agreements between you and the Company; and</w:t>
      </w:r>
    </w:p>
    <w:p>
      <w:pPr>
        <w:spacing w:after="0" w:line="142" w:lineRule="exact"/>
        <w:rPr>
          <w:rFonts w:ascii="Arial" w:cs="Arial" w:eastAsia="Arial" w:hAnsi="Arial"/>
          <w:sz w:val="18"/>
          <w:szCs w:val="18"/>
          <w:color w:val="auto"/>
        </w:rPr>
      </w:pPr>
    </w:p>
    <w:p>
      <w:pPr>
        <w:ind w:left="1740" w:hanging="248"/>
        <w:spacing w:after="0"/>
        <w:tabs>
          <w:tab w:leader="none" w:pos="17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reasonable outplacement assistance selected and paid for by the Company.</w:t>
      </w:r>
    </w:p>
    <w:p>
      <w:pPr>
        <w:spacing w:after="0" w:line="171" w:lineRule="exact"/>
        <w:rPr>
          <w:rFonts w:ascii="Arial" w:cs="Arial" w:eastAsia="Arial" w:hAnsi="Arial"/>
          <w:sz w:val="18"/>
          <w:szCs w:val="18"/>
          <w:color w:val="auto"/>
        </w:rPr>
      </w:pPr>
    </w:p>
    <w:p>
      <w:pPr>
        <w:ind w:firstLine="921"/>
        <w:spacing w:after="0" w:line="291" w:lineRule="auto"/>
        <w:tabs>
          <w:tab w:leader="none" w:pos="1161"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Resignation for Good Reason</w:t>
      </w:r>
      <w:r>
        <w:rPr>
          <w:rFonts w:ascii="Arial" w:cs="Arial" w:eastAsia="Arial" w:hAnsi="Arial"/>
          <w:sz w:val="16"/>
          <w:szCs w:val="16"/>
          <w:color w:val="auto"/>
        </w:rPr>
        <w:t>: If you resign from your employment with the Company for Good Reason (as defined in this paragraph), and such resignation does not qualify as a resignation for Good Reason Following a Change of Control (as defined in Paragraph 6(b), and you sign a general release of known and unknown claims in a form satisfactory to the Company within the applicable review period which thereupon is (or, if any revocation period is required by law, following expiration of such period becomes) valid and irrevocable within 60 days of your termination, and you fully comply with your obligations under Paragraphs 7, 8, and 10, you shall receive the severance benefits described in Paragraph 5(c). For purposes of this Paragraph, “Good Reason” means any of the following conditions, which condition(s) remain in effect 60 days after written notice from you to the Chief Executive Officer of said condition(s):</w:t>
      </w:r>
    </w:p>
    <w:p>
      <w:pPr>
        <w:spacing w:after="0" w:line="120" w:lineRule="exact"/>
        <w:rPr>
          <w:rFonts w:ascii="Arial" w:cs="Arial" w:eastAsia="Arial" w:hAnsi="Arial"/>
          <w:sz w:val="16"/>
          <w:szCs w:val="16"/>
          <w:color w:val="auto"/>
        </w:rPr>
      </w:pPr>
    </w:p>
    <w:p>
      <w:pPr>
        <w:ind w:left="1700" w:hanging="208"/>
        <w:spacing w:after="0"/>
        <w:tabs>
          <w:tab w:leader="none" w:pos="17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 reduction in your base salary of 20% or more, other than a reduction that is similarly applicable to all members of the Company’s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executive staff; or</w:t>
      </w:r>
    </w:p>
    <w:p>
      <w:pPr>
        <w:spacing w:after="0" w:line="164" w:lineRule="exact"/>
        <w:rPr>
          <w:rFonts w:ascii="Arial" w:cs="Arial" w:eastAsia="Arial" w:hAnsi="Arial"/>
          <w:sz w:val="16"/>
          <w:szCs w:val="16"/>
          <w:color w:val="auto"/>
        </w:rPr>
      </w:pPr>
    </w:p>
    <w:p>
      <w:pPr>
        <w:ind w:left="1760" w:hanging="268"/>
        <w:spacing w:after="0"/>
        <w:tabs>
          <w:tab w:leader="none" w:pos="176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 material reduction in your employee benefits, other than a reduction that is similarly applicable to all of the members of the Company’s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executive staff; or</w:t>
      </w:r>
    </w:p>
    <w:p>
      <w:pPr>
        <w:spacing w:after="0" w:line="164" w:lineRule="exact"/>
        <w:rPr>
          <w:rFonts w:ascii="Arial" w:cs="Arial" w:eastAsia="Arial" w:hAnsi="Arial"/>
          <w:sz w:val="16"/>
          <w:szCs w:val="16"/>
          <w:color w:val="auto"/>
        </w:rPr>
      </w:pPr>
    </w:p>
    <w:p>
      <w:pPr>
        <w:ind w:left="1800" w:hanging="308"/>
        <w:spacing w:after="0"/>
        <w:tabs>
          <w:tab w:leader="none" w:pos="18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 material breach by the Company of any material provision of this Agreement; or</w:t>
      </w:r>
    </w:p>
    <w:p>
      <w:pPr>
        <w:spacing w:after="0" w:line="171" w:lineRule="exact"/>
        <w:rPr>
          <w:rFonts w:ascii="Arial" w:cs="Arial" w:eastAsia="Arial" w:hAnsi="Arial"/>
          <w:sz w:val="18"/>
          <w:szCs w:val="18"/>
          <w:color w:val="auto"/>
        </w:rPr>
      </w:pPr>
    </w:p>
    <w:p>
      <w:pPr>
        <w:ind w:left="1780" w:hanging="288"/>
        <w:spacing w:after="0"/>
        <w:tabs>
          <w:tab w:leader="none" w:pos="1780" w:val="left"/>
        </w:tabs>
        <w:numPr>
          <w:ilvl w:val="1"/>
          <w:numId w:val="17"/>
        </w:numPr>
        <w:rPr>
          <w:rFonts w:ascii="Arial" w:cs="Arial" w:eastAsia="Arial" w:hAnsi="Arial"/>
          <w:sz w:val="16"/>
          <w:szCs w:val="16"/>
          <w:color w:val="auto"/>
        </w:rPr>
      </w:pPr>
      <w:r>
        <w:rPr>
          <w:rFonts w:ascii="Arial" w:cs="Arial" w:eastAsia="Arial" w:hAnsi="Arial"/>
          <w:sz w:val="16"/>
          <w:szCs w:val="16"/>
          <w:color w:val="auto"/>
        </w:rPr>
        <w:t>the relocation of the Company’s workplace to a location that is more than 75 miles from your current Company workplace in Santa</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Clara, California.</w:t>
      </w:r>
    </w:p>
    <w:p>
      <w:pPr>
        <w:spacing w:after="0" w:line="16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foregoing condition(s) shall not constitute “Good Reason” if you do not provide the Chief Executive Officer with the written notice described above within 45 days after you first become aware of the condition(s).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Edward J. Hayes, Jr.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Employment Agreement</w:t>
      </w:r>
    </w:p>
    <w:p>
      <w:pPr>
        <w:spacing w:after="0" w:line="151" w:lineRule="exact"/>
        <w:rPr>
          <w:sz w:val="20"/>
          <w:szCs w:val="20"/>
          <w:color w:val="auto"/>
        </w:rPr>
      </w:pPr>
    </w:p>
    <w:p>
      <w:pPr>
        <w:ind w:firstLine="921"/>
        <w:spacing w:after="0" w:line="286" w:lineRule="auto"/>
        <w:tabs>
          <w:tab w:leader="none" w:pos="1152" w:val="left"/>
        </w:tabs>
        <w:numPr>
          <w:ilvl w:val="2"/>
          <w:numId w:val="18"/>
        </w:numPr>
        <w:rPr>
          <w:rFonts w:ascii="Arial" w:cs="Arial" w:eastAsia="Arial" w:hAnsi="Arial"/>
          <w:sz w:val="16"/>
          <w:szCs w:val="16"/>
          <w:color w:val="auto"/>
        </w:rPr>
      </w:pPr>
      <w:r>
        <w:rPr>
          <w:rFonts w:ascii="Arial" w:cs="Arial" w:eastAsia="Arial" w:hAnsi="Arial"/>
          <w:sz w:val="16"/>
          <w:szCs w:val="16"/>
          <w:u w:val="single" w:color="auto"/>
          <w:color w:val="auto"/>
        </w:rPr>
        <w:t>Termination or Resignation For Good Reason Following a Change of Control</w:t>
      </w:r>
      <w:r>
        <w:rPr>
          <w:rFonts w:ascii="Arial" w:cs="Arial" w:eastAsia="Arial" w:hAnsi="Arial"/>
          <w:sz w:val="16"/>
          <w:szCs w:val="16"/>
          <w:color w:val="auto"/>
        </w:rPr>
        <w:t>: If, within 18 months following any Change of Control (as defined below), your employment is terminated by the Company without cause, or if you resign from your employment with the Company for Good Reason Following a Change of Control (as defined below), and you sign a general release of known and unknown claims in a form satisfactory to the Company within the applicable review period which thereupon is (or, if any revocation period is required by law, following expiration of such period becomes) valid and irrevocable within 60 days of your termination, and you fully comply with your obligations under Paragraphs 7, 8, and 10, you shall receive the severance benefits described in Paragraph 5(c); provided, that the time periods set forth in subparagraphs 5(c)(i), (ii), and (iv) shall each be increased by an additional twelve (12) months. In addition, if such termination occurs, you shall receive a payment (in lieu of any payment under subparagraph 5(c)(iii)) equal to the greater of (i) the average of the annual incentive bonus payments received by you, if any, for the previous three years, or (ii) your target incentive bonus for the year in which your employment terminates. Such payment will be made to you within 15 days following the date on which the general release of claims described above becomes irrevocable. The Company will also accelerate the vesting of all unvested stock options granted to you by the Company, and all other then-unvested equity-related awards that vest based solely on continued employment by the Company or its affiliates (unless the terms of such other equity-related awards expressly provide that there is not to be any such acceleration).</w:t>
      </w:r>
    </w:p>
    <w:p>
      <w:pPr>
        <w:spacing w:after="0" w:line="124" w:lineRule="exact"/>
        <w:rPr>
          <w:rFonts w:ascii="Arial" w:cs="Arial" w:eastAsia="Arial" w:hAnsi="Arial"/>
          <w:sz w:val="16"/>
          <w:szCs w:val="16"/>
          <w:color w:val="auto"/>
        </w:rPr>
      </w:pPr>
    </w:p>
    <w:p>
      <w:pPr>
        <w:ind w:left="640" w:hanging="176"/>
        <w:spacing w:after="0"/>
        <w:tabs>
          <w:tab w:leader="none" w:pos="640"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Change of Control/Good Reason</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2"/>
          <w:numId w:val="19"/>
        </w:numPr>
        <w:rPr>
          <w:rFonts w:ascii="Arial" w:cs="Arial" w:eastAsia="Arial" w:hAnsi="Arial"/>
          <w:sz w:val="18"/>
          <w:szCs w:val="18"/>
          <w:color w:val="auto"/>
        </w:rPr>
      </w:pPr>
      <w:r>
        <w:rPr>
          <w:rFonts w:ascii="Arial" w:cs="Arial" w:eastAsia="Arial" w:hAnsi="Arial"/>
          <w:sz w:val="18"/>
          <w:szCs w:val="18"/>
          <w:color w:val="auto"/>
        </w:rPr>
        <w:t>For purposes of this Agreement, a “Change of Control” of the Company shall mean the occurrence of any of the following:</w:t>
      </w:r>
    </w:p>
    <w:p>
      <w:pPr>
        <w:spacing w:after="0" w:line="171" w:lineRule="exact"/>
        <w:rPr>
          <w:rFonts w:ascii="Arial" w:cs="Arial" w:eastAsia="Arial" w:hAnsi="Arial"/>
          <w:sz w:val="18"/>
          <w:szCs w:val="18"/>
          <w:color w:val="auto"/>
        </w:rPr>
      </w:pPr>
    </w:p>
    <w:p>
      <w:pPr>
        <w:jc w:val="both"/>
        <w:ind w:right="160" w:firstLine="1492"/>
        <w:spacing w:after="0" w:line="305" w:lineRule="auto"/>
        <w:tabs>
          <w:tab w:leader="none" w:pos="1693" w:val="left"/>
        </w:tabs>
        <w:numPr>
          <w:ilvl w:val="3"/>
          <w:numId w:val="19"/>
        </w:numPr>
        <w:rPr>
          <w:rFonts w:ascii="Arial" w:cs="Arial" w:eastAsia="Arial" w:hAnsi="Arial"/>
          <w:sz w:val="15"/>
          <w:szCs w:val="15"/>
          <w:color w:val="auto"/>
        </w:rPr>
      </w:pPr>
      <w:r>
        <w:rPr>
          <w:rFonts w:ascii="Arial" w:cs="Arial" w:eastAsia="Arial" w:hAnsi="Arial"/>
          <w:sz w:val="15"/>
          <w:szCs w:val="15"/>
          <w:color w:val="auto"/>
        </w:rPr>
        <w:t>any merger, consolidation, share exchange or Acquisition, unless, immediately following such merger, consolidation, share exchange or Acquisition, at least 50% of the total voting power (in respect of the election of directors, or similar officials in the case of an entity other than a corporation) of</w:t>
      </w:r>
    </w:p>
    <w:p>
      <w:pPr>
        <w:ind w:right="20" w:firstLine="8"/>
        <w:spacing w:after="0" w:line="290" w:lineRule="auto"/>
        <w:tabs>
          <w:tab w:leader="none" w:pos="288"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entity resulting from such merger, consolidation or share exchange, or the entity which has acquired all or substantially all of the assets of the Company (in the case of an asset sale that satisfies the criteria of an Acquisition) (in either case, the “Surviving Entity”), or (B) if applicable, the ultimate parent entity that directly or indirectly has beneficial ownership (within the meaning of Rule 13d-3 promulgated under the Exchange Act) of 50% or more of the total voting power (in respect of the election of directors, or similar officials in the case of an entity other than a corporation) of the Surviving Entity is represented by Company securities that were outstanding immediately prior to such merger, consolidation, share exchange or Acquisition (or, if applicable, is represented by shares into which such Company securities were converted pursuant to such merger, consolidation, share exchange or Acquisition); or</w:t>
      </w:r>
    </w:p>
    <w:p>
      <w:pPr>
        <w:spacing w:after="0" w:line="118" w:lineRule="exact"/>
        <w:rPr>
          <w:rFonts w:ascii="Arial" w:cs="Arial" w:eastAsia="Arial" w:hAnsi="Arial"/>
          <w:sz w:val="16"/>
          <w:szCs w:val="16"/>
          <w:color w:val="auto"/>
        </w:rPr>
      </w:pPr>
    </w:p>
    <w:p>
      <w:pPr>
        <w:ind w:firstLine="1492"/>
        <w:spacing w:after="0" w:line="254" w:lineRule="auto"/>
        <w:tabs>
          <w:tab w:leader="none" w:pos="1742" w:val="left"/>
        </w:tabs>
        <w:numPr>
          <w:ilvl w:val="3"/>
          <w:numId w:val="20"/>
        </w:numPr>
        <w:rPr>
          <w:rFonts w:ascii="Arial" w:cs="Arial" w:eastAsia="Arial" w:hAnsi="Arial"/>
          <w:sz w:val="18"/>
          <w:szCs w:val="18"/>
          <w:color w:val="auto"/>
        </w:rPr>
      </w:pPr>
      <w:r>
        <w:rPr>
          <w:rFonts w:ascii="Arial" w:cs="Arial" w:eastAsia="Arial" w:hAnsi="Arial"/>
          <w:sz w:val="18"/>
          <w:szCs w:val="18"/>
          <w:color w:val="auto"/>
        </w:rPr>
        <w:t>any person or group of persons (within the meaning of Section 13(d)(3) of the Securities Exchange Act of 1934, as amended and in effect from time to time) directly or indirectly acquires beneficial ownership (determined pursuant to Securities and Exchange Commission Rule 13d-3 promulgated under the said Exchange Act) other than through a merger, consolidation, share exchange, or Acquisition, of securities possessing more than 30% of the total combined voting power of the Company’s outstanding securities other than (A) an employee benefit plan of the Company or any of its Affiliates, (B) a trustee or other fiduciary holding securities under an employee benefit plan of the Company or any of its Affiliates, or (C) an underwriter temporarily holding securities pursuant to an offering of such securities; or</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Edward J. Hayes, Jr.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Employment Agreement</w:t>
      </w:r>
    </w:p>
    <w:p>
      <w:pPr>
        <w:spacing w:after="0" w:line="151" w:lineRule="exact"/>
        <w:rPr>
          <w:sz w:val="20"/>
          <w:szCs w:val="20"/>
          <w:color w:val="auto"/>
        </w:rPr>
      </w:pPr>
    </w:p>
    <w:p>
      <w:pPr>
        <w:ind w:firstLine="1492"/>
        <w:spacing w:after="0" w:line="294" w:lineRule="auto"/>
        <w:tabs>
          <w:tab w:leader="none" w:pos="1791" w:val="left"/>
        </w:tabs>
        <w:numPr>
          <w:ilvl w:val="0"/>
          <w:numId w:val="21"/>
        </w:numPr>
        <w:rPr>
          <w:rFonts w:ascii="Arial" w:cs="Arial" w:eastAsia="Arial" w:hAnsi="Arial"/>
          <w:sz w:val="16"/>
          <w:szCs w:val="16"/>
          <w:color w:val="auto"/>
        </w:rPr>
      </w:pPr>
      <w:r>
        <w:rPr>
          <w:rFonts w:ascii="Arial" w:cs="Arial" w:eastAsia="Arial" w:hAnsi="Arial"/>
          <w:sz w:val="16"/>
          <w:szCs w:val="16"/>
          <w:color w:val="auto"/>
        </w:rPr>
        <w:t>over a period of 36 consecutive months or less, there is a change in the composition of the Board such that a majority of the Board members (rounded up to the next whole number, if a fraction) ceases, by reason of one or more proxy contests for the election of Board members, to be composed of individuals each of whom meet one of the following criteria: (A) have been a Board member continuously since the date of the adoption of the Plan or the beginning of such 36 month period or (B) have been elected or nominated during such 36 month period by at least a majority of the Board members that satisfied the criteria of this subsection (iii) when they were elected or nominated; or</w:t>
      </w:r>
    </w:p>
    <w:p>
      <w:pPr>
        <w:spacing w:after="0" w:line="115" w:lineRule="exact"/>
        <w:rPr>
          <w:rFonts w:ascii="Arial" w:cs="Arial" w:eastAsia="Arial" w:hAnsi="Arial"/>
          <w:sz w:val="16"/>
          <w:szCs w:val="16"/>
          <w:color w:val="auto"/>
        </w:rPr>
      </w:pPr>
    </w:p>
    <w:p>
      <w:pPr>
        <w:ind w:left="1780" w:hanging="288"/>
        <w:spacing w:after="0"/>
        <w:tabs>
          <w:tab w:leader="none" w:pos="1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majority of the Board determines that a Change of Control has occurred; or</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complete liquidation or dissolution of the Company.</w:t>
      </w:r>
    </w:p>
    <w:p>
      <w:pPr>
        <w:spacing w:after="0" w:line="17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For the purposes of this Agreement, the term “Affiliate” means any corporation, partnership, limited liability company, business trust, or other entity controlling, controlled by or under common control with the Company, and “Acquisition” means a merger or consolidation of the Company into another person (</w:t>
      </w:r>
      <w:r>
        <w:rPr>
          <w:rFonts w:ascii="Arial" w:cs="Arial" w:eastAsia="Arial" w:hAnsi="Arial"/>
          <w:sz w:val="18"/>
          <w:szCs w:val="18"/>
          <w:i w:val="1"/>
          <w:iCs w:val="1"/>
          <w:color w:val="auto"/>
        </w:rPr>
        <w:t>i.e.,</w:t>
      </w:r>
      <w:r>
        <w:rPr>
          <w:rFonts w:ascii="Arial" w:cs="Arial" w:eastAsia="Arial" w:hAnsi="Arial"/>
          <w:sz w:val="18"/>
          <w:szCs w:val="18"/>
          <w:color w:val="auto"/>
        </w:rPr>
        <w:t xml:space="preserve"> which merger or consolidation the Company does not survive) or the sale, transfer, or other disposition of all or substantially all of the Company’s assets to one or more persons in a single transaction or series of related transactions.</w:t>
      </w:r>
    </w:p>
    <w:p>
      <w:pPr>
        <w:spacing w:after="0" w:line="143" w:lineRule="exact"/>
        <w:rPr>
          <w:sz w:val="20"/>
          <w:szCs w:val="20"/>
          <w:color w:val="auto"/>
        </w:rPr>
      </w:pPr>
    </w:p>
    <w:p>
      <w:pPr>
        <w:ind w:right="420" w:firstLine="921"/>
        <w:spacing w:after="0" w:line="268" w:lineRule="auto"/>
        <w:tabs>
          <w:tab w:leader="none" w:pos="1162" w:val="left"/>
        </w:tabs>
        <w:numPr>
          <w:ilvl w:val="1"/>
          <w:numId w:val="22"/>
        </w:numPr>
        <w:rPr>
          <w:rFonts w:ascii="Arial" w:cs="Arial" w:eastAsia="Arial" w:hAnsi="Arial"/>
          <w:sz w:val="18"/>
          <w:szCs w:val="18"/>
          <w:color w:val="auto"/>
        </w:rPr>
      </w:pPr>
      <w:r>
        <w:rPr>
          <w:rFonts w:ascii="Arial" w:cs="Arial" w:eastAsia="Arial" w:hAnsi="Arial"/>
          <w:sz w:val="18"/>
          <w:szCs w:val="18"/>
          <w:color w:val="auto"/>
        </w:rPr>
        <w:t>For purposes of this Agreement, “Good Reason Following a Change of Control” means any of the following conditions, which condition(s) remain in effect 60 days after written notice from you to the Chief Executive Officer of said condition(s):</w:t>
      </w:r>
    </w:p>
    <w:p>
      <w:pPr>
        <w:spacing w:after="0" w:line="131" w:lineRule="exact"/>
        <w:rPr>
          <w:rFonts w:ascii="Arial" w:cs="Arial" w:eastAsia="Arial" w:hAnsi="Arial"/>
          <w:sz w:val="18"/>
          <w:szCs w:val="18"/>
          <w:color w:val="auto"/>
        </w:rPr>
      </w:pPr>
    </w:p>
    <w:p>
      <w:pPr>
        <w:ind w:right="240" w:firstLine="1492"/>
        <w:spacing w:after="0" w:line="268" w:lineRule="auto"/>
        <w:tabs>
          <w:tab w:leader="none" w:pos="1693" w:val="left"/>
        </w:tabs>
        <w:numPr>
          <w:ilvl w:val="2"/>
          <w:numId w:val="22"/>
        </w:numPr>
        <w:rPr>
          <w:rFonts w:ascii="Arial" w:cs="Arial" w:eastAsia="Arial" w:hAnsi="Arial"/>
          <w:sz w:val="18"/>
          <w:szCs w:val="18"/>
          <w:color w:val="auto"/>
        </w:rPr>
      </w:pPr>
      <w:r>
        <w:rPr>
          <w:rFonts w:ascii="Arial" w:cs="Arial" w:eastAsia="Arial" w:hAnsi="Arial"/>
          <w:sz w:val="18"/>
          <w:szCs w:val="18"/>
          <w:color w:val="auto"/>
        </w:rPr>
        <w:t>a material and adverse change in your position, duties or responsibilities for the Company, as measured against your position, duties or responsibilities immediately prior to the Change of Control; or</w:t>
      </w:r>
    </w:p>
    <w:p>
      <w:pPr>
        <w:spacing w:after="0" w:line="131" w:lineRule="exact"/>
        <w:rPr>
          <w:rFonts w:ascii="Arial" w:cs="Arial" w:eastAsia="Arial" w:hAnsi="Arial"/>
          <w:sz w:val="18"/>
          <w:szCs w:val="18"/>
          <w:color w:val="auto"/>
        </w:rPr>
      </w:pPr>
    </w:p>
    <w:p>
      <w:pPr>
        <w:ind w:left="1760" w:hanging="268"/>
        <w:spacing w:after="0"/>
        <w:tabs>
          <w:tab w:leader="none" w:pos="1760" w:val="left"/>
        </w:tabs>
        <w:numPr>
          <w:ilvl w:val="2"/>
          <w:numId w:val="22"/>
        </w:numPr>
        <w:rPr>
          <w:rFonts w:ascii="Arial" w:cs="Arial" w:eastAsia="Arial" w:hAnsi="Arial"/>
          <w:sz w:val="18"/>
          <w:szCs w:val="18"/>
          <w:color w:val="auto"/>
        </w:rPr>
      </w:pPr>
      <w:r>
        <w:rPr>
          <w:rFonts w:ascii="Arial" w:cs="Arial" w:eastAsia="Arial" w:hAnsi="Arial"/>
          <w:sz w:val="18"/>
          <w:szCs w:val="18"/>
          <w:color w:val="auto"/>
        </w:rPr>
        <w:t>a reduction in your base salary as measured against your base salary immediately prior to the Change in Control; or</w:t>
      </w:r>
    </w:p>
    <w:p>
      <w:pPr>
        <w:spacing w:after="0" w:line="171" w:lineRule="exact"/>
        <w:rPr>
          <w:rFonts w:ascii="Arial" w:cs="Arial" w:eastAsia="Arial" w:hAnsi="Arial"/>
          <w:sz w:val="18"/>
          <w:szCs w:val="18"/>
          <w:color w:val="auto"/>
        </w:rPr>
      </w:pPr>
    </w:p>
    <w:p>
      <w:pPr>
        <w:ind w:right="280" w:firstLine="1492"/>
        <w:spacing w:after="0" w:line="268" w:lineRule="auto"/>
        <w:tabs>
          <w:tab w:leader="none" w:pos="1791" w:val="left"/>
        </w:tabs>
        <w:numPr>
          <w:ilvl w:val="2"/>
          <w:numId w:val="22"/>
        </w:numPr>
        <w:rPr>
          <w:rFonts w:ascii="Arial" w:cs="Arial" w:eastAsia="Arial" w:hAnsi="Arial"/>
          <w:sz w:val="18"/>
          <w:szCs w:val="18"/>
          <w:color w:val="auto"/>
        </w:rPr>
      </w:pPr>
      <w:r>
        <w:rPr>
          <w:rFonts w:ascii="Arial" w:cs="Arial" w:eastAsia="Arial" w:hAnsi="Arial"/>
          <w:sz w:val="18"/>
          <w:szCs w:val="18"/>
          <w:color w:val="auto"/>
        </w:rPr>
        <w:t>a material reduction in your employee benefits, other than a reduction that is similarly applicable to a majority of the members of the Company’s executive staff; or</w:t>
      </w:r>
    </w:p>
    <w:p>
      <w:pPr>
        <w:spacing w:after="0" w:line="131" w:lineRule="exact"/>
        <w:rPr>
          <w:rFonts w:ascii="Arial" w:cs="Arial" w:eastAsia="Arial" w:hAnsi="Arial"/>
          <w:sz w:val="18"/>
          <w:szCs w:val="18"/>
          <w:color w:val="auto"/>
        </w:rPr>
      </w:pPr>
    </w:p>
    <w:p>
      <w:pPr>
        <w:ind w:left="1780" w:hanging="288"/>
        <w:spacing w:after="0"/>
        <w:tabs>
          <w:tab w:leader="none" w:pos="1780" w:val="left"/>
        </w:tabs>
        <w:numPr>
          <w:ilvl w:val="2"/>
          <w:numId w:val="22"/>
        </w:numPr>
        <w:rPr>
          <w:rFonts w:ascii="Arial" w:cs="Arial" w:eastAsia="Arial" w:hAnsi="Arial"/>
          <w:sz w:val="18"/>
          <w:szCs w:val="18"/>
          <w:color w:val="auto"/>
        </w:rPr>
      </w:pPr>
      <w:r>
        <w:rPr>
          <w:rFonts w:ascii="Arial" w:cs="Arial" w:eastAsia="Arial" w:hAnsi="Arial"/>
          <w:sz w:val="18"/>
          <w:szCs w:val="18"/>
          <w:color w:val="auto"/>
        </w:rPr>
        <w:t>the relocation by more than 75 miles of your Company workplace of Santa Clara, California.</w:t>
      </w:r>
    </w:p>
    <w:p>
      <w:pPr>
        <w:spacing w:after="0" w:line="171" w:lineRule="exact"/>
        <w:rPr>
          <w:rFonts w:ascii="Arial" w:cs="Arial" w:eastAsia="Arial" w:hAnsi="Arial"/>
          <w:sz w:val="18"/>
          <w:szCs w:val="18"/>
          <w:color w:val="auto"/>
        </w:rPr>
      </w:pPr>
    </w:p>
    <w:p>
      <w:pPr>
        <w:ind w:firstLine="464"/>
        <w:spacing w:after="0" w:line="268" w:lineRule="auto"/>
        <w:tabs>
          <w:tab w:leader="none" w:pos="632"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Confidential and Proprietary Information</w:t>
      </w:r>
      <w:r>
        <w:rPr>
          <w:rFonts w:ascii="Arial" w:cs="Arial" w:eastAsia="Arial" w:hAnsi="Arial"/>
          <w:sz w:val="18"/>
          <w:szCs w:val="18"/>
          <w:color w:val="auto"/>
        </w:rPr>
        <w:t>: As a condition of your employment, you agree to sign and abide by the Company’s standard form of employee proprietary information/confidentiality/assignment of inventions agreement.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Edward J. Hayes, Jr.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Employment Agreement</w:t>
      </w:r>
    </w:p>
    <w:p>
      <w:pPr>
        <w:spacing w:after="0" w:line="151" w:lineRule="exact"/>
        <w:rPr>
          <w:sz w:val="20"/>
          <w:szCs w:val="20"/>
          <w:color w:val="auto"/>
        </w:rPr>
      </w:pPr>
    </w:p>
    <w:p>
      <w:pPr>
        <w:ind w:left="640" w:hanging="17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Termination Obligations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jc w:val="both"/>
        <w:ind w:right="420" w:firstLine="921"/>
        <w:spacing w:after="0" w:line="306" w:lineRule="auto"/>
        <w:tabs>
          <w:tab w:leader="none" w:pos="1152" w:val="left"/>
        </w:tabs>
        <w:numPr>
          <w:ilvl w:val="1"/>
          <w:numId w:val="24"/>
        </w:numPr>
        <w:rPr>
          <w:rFonts w:ascii="Arial" w:cs="Arial" w:eastAsia="Arial" w:hAnsi="Arial"/>
          <w:sz w:val="16"/>
          <w:szCs w:val="16"/>
          <w:color w:val="auto"/>
        </w:rPr>
      </w:pPr>
      <w:r>
        <w:rPr>
          <w:rFonts w:ascii="Arial" w:cs="Arial" w:eastAsia="Arial" w:hAnsi="Arial"/>
          <w:sz w:val="16"/>
          <w:szCs w:val="16"/>
          <w:color w:val="auto"/>
        </w:rPr>
        <w:t>You agree that all property, including, without limitation, all equipment, proprietary information, documents, books, records, reports, notes, contracts, lists and computer files and data, and copies thereof, created on any medium and furnished to, obtained by, or prepared by you in the course of or incident to your employment, belongs to the Company and shall be returned to the Company promptly upon any termination of your employment.</w:t>
      </w:r>
    </w:p>
    <w:p>
      <w:pPr>
        <w:spacing w:after="0" w:line="106" w:lineRule="exact"/>
        <w:rPr>
          <w:rFonts w:ascii="Arial" w:cs="Arial" w:eastAsia="Arial" w:hAnsi="Arial"/>
          <w:sz w:val="16"/>
          <w:szCs w:val="16"/>
          <w:color w:val="auto"/>
        </w:rPr>
      </w:pPr>
    </w:p>
    <w:p>
      <w:pPr>
        <w:ind w:firstLine="921"/>
        <w:spacing w:after="0" w:line="268" w:lineRule="auto"/>
        <w:tabs>
          <w:tab w:leader="none" w:pos="1162" w:val="left"/>
        </w:tabs>
        <w:numPr>
          <w:ilvl w:val="1"/>
          <w:numId w:val="24"/>
        </w:numPr>
        <w:rPr>
          <w:rFonts w:ascii="Arial" w:cs="Arial" w:eastAsia="Arial" w:hAnsi="Arial"/>
          <w:sz w:val="18"/>
          <w:szCs w:val="18"/>
          <w:color w:val="auto"/>
        </w:rPr>
      </w:pPr>
      <w:r>
        <w:rPr>
          <w:rFonts w:ascii="Arial" w:cs="Arial" w:eastAsia="Arial" w:hAnsi="Arial"/>
          <w:sz w:val="18"/>
          <w:szCs w:val="18"/>
          <w:color w:val="auto"/>
        </w:rPr>
        <w:t>Upon your termination for any reason, and as a condition of your receipt of any severance benefits hereunder, you will promptly resign in writing from all offices and directorships then held with the Company or any affiliate of the Company.</w:t>
      </w:r>
    </w:p>
    <w:p>
      <w:pPr>
        <w:spacing w:after="0" w:line="131" w:lineRule="exact"/>
        <w:rPr>
          <w:rFonts w:ascii="Arial" w:cs="Arial" w:eastAsia="Arial" w:hAnsi="Arial"/>
          <w:sz w:val="18"/>
          <w:szCs w:val="18"/>
          <w:color w:val="auto"/>
        </w:rPr>
      </w:pPr>
    </w:p>
    <w:p>
      <w:pPr>
        <w:ind w:right="380" w:firstLine="921"/>
        <w:spacing w:after="0" w:line="259" w:lineRule="auto"/>
        <w:tabs>
          <w:tab w:leader="none" w:pos="1152" w:val="left"/>
        </w:tabs>
        <w:numPr>
          <w:ilvl w:val="1"/>
          <w:numId w:val="24"/>
        </w:numPr>
        <w:rPr>
          <w:rFonts w:ascii="Arial" w:cs="Arial" w:eastAsia="Arial" w:hAnsi="Arial"/>
          <w:sz w:val="18"/>
          <w:szCs w:val="18"/>
          <w:color w:val="auto"/>
        </w:rPr>
      </w:pPr>
      <w:r>
        <w:rPr>
          <w:rFonts w:ascii="Arial" w:cs="Arial" w:eastAsia="Arial" w:hAnsi="Arial"/>
          <w:sz w:val="18"/>
          <w:szCs w:val="18"/>
          <w:color w:val="auto"/>
        </w:rPr>
        <w:t>Following the termination of your employment with the Company for any reason, you shall fully cooperate with the Company in all matters relating to the winding up of pending work on behalf of the Company and the orderly transfer of work to other employees of the Company. You shall also cooperate in the defense of any action brought by any third party against the Company.</w:t>
      </w:r>
    </w:p>
    <w:p>
      <w:pPr>
        <w:spacing w:after="0" w:line="140" w:lineRule="exact"/>
        <w:rPr>
          <w:rFonts w:ascii="Arial" w:cs="Arial" w:eastAsia="Arial" w:hAnsi="Arial"/>
          <w:sz w:val="18"/>
          <w:szCs w:val="18"/>
          <w:color w:val="auto"/>
        </w:rPr>
      </w:pPr>
    </w:p>
    <w:p>
      <w:pPr>
        <w:ind w:left="640" w:hanging="17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Limitation of Payments and Benefits</w:t>
      </w:r>
      <w:r>
        <w:rPr>
          <w:rFonts w:ascii="Arial" w:cs="Arial" w:eastAsia="Arial" w:hAnsi="Arial"/>
          <w:sz w:val="18"/>
          <w:szCs w:val="18"/>
          <w:color w:val="auto"/>
        </w:rPr>
        <w:t>.</w:t>
      </w:r>
    </w:p>
    <w:p>
      <w:pPr>
        <w:spacing w:after="0" w:line="171"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To the extent that any of the payments and benefits provided for in this Agreement or otherwise payable to you (the “Payments”) constitute “parachute payments” within the meaning of Section 280G of the Internal Revenue Code of 1986, as amended (the “Code”), the amount of such Payments shall be either:</w:t>
      </w:r>
    </w:p>
    <w:p>
      <w:pPr>
        <w:spacing w:after="0" w:line="140" w:lineRule="exact"/>
        <w:rPr>
          <w:sz w:val="20"/>
          <w:szCs w:val="20"/>
          <w:color w:val="auto"/>
        </w:rPr>
      </w:pPr>
    </w:p>
    <w:p>
      <w:pPr>
        <w:ind w:left="1160" w:hanging="239"/>
        <w:spacing w:after="0"/>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full amount of the Payments, or</w:t>
      </w:r>
    </w:p>
    <w:p>
      <w:pPr>
        <w:spacing w:after="0" w:line="171" w:lineRule="exact"/>
        <w:rPr>
          <w:rFonts w:ascii="Arial" w:cs="Arial" w:eastAsia="Arial" w:hAnsi="Arial"/>
          <w:sz w:val="18"/>
          <w:szCs w:val="18"/>
          <w:color w:val="auto"/>
        </w:rPr>
      </w:pPr>
    </w:p>
    <w:p>
      <w:pPr>
        <w:ind w:right="160" w:firstLine="921"/>
        <w:spacing w:after="0" w:line="268" w:lineRule="auto"/>
        <w:tabs>
          <w:tab w:leader="none" w:pos="1162"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reduced amount that would result in no portion of the Payments being subject to the excise tax imposed pursuant to Section 4999 of the Code (the “Excise Tax”),</w:t>
      </w:r>
    </w:p>
    <w:p>
      <w:pPr>
        <w:spacing w:after="0" w:line="132"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whichever of the foregoing amounts, taking into account the applicable federal, state and local income taxes and the Excise Tax, results in the receipt by you, on an after-tax basis, of the greatest amount of benefit. In the event that any Excise Tax is imposed on the Payments, you will be fully responsible for the payment of any and all Excise Tax, and the Company will not be obligated to pay all or any portion of any Excise Tax.</w:t>
      </w:r>
    </w:p>
    <w:p>
      <w:pPr>
        <w:spacing w:after="0" w:line="107" w:lineRule="exact"/>
        <w:rPr>
          <w:sz w:val="20"/>
          <w:szCs w:val="20"/>
          <w:color w:val="auto"/>
        </w:rPr>
      </w:pPr>
    </w:p>
    <w:p>
      <w:pPr>
        <w:ind w:right="40" w:firstLine="464"/>
        <w:spacing w:after="0" w:line="288" w:lineRule="auto"/>
        <w:tabs>
          <w:tab w:leader="none" w:pos="720"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Other Activities</w:t>
      </w:r>
      <w:r>
        <w:rPr>
          <w:rFonts w:ascii="Arial" w:cs="Arial" w:eastAsia="Arial" w:hAnsi="Arial"/>
          <w:sz w:val="16"/>
          <w:szCs w:val="16"/>
          <w:color w:val="auto"/>
        </w:rPr>
        <w:t>. In order to protect the Company’s valuable proprietary information, you agree that during your employment you will not, as a compensated or uncompensated officer, director, consultant, advisor, partner, joint venturer, investor, independent contractor, employee or otherwise, provide any labor, services, advice or assistance to any entity or its successor involved in the design, manufacture, distribution (directly or indirectly), or integration of any digital microwave products and used in terrestrial microwave point-to-point telecommunications networks anywhere in the world. You acknowledge and agree that the restrictions contained in the preceding sentence are reasonable and necessary. You also agree that for a period of twelve (12) months after your employment terminates, you will not solicit any employee of the Company directly or indirectly to leave employment with the Company for any purpose, including but not limited to for purposes of providing labor, services, advice or assistance to any entity or individual. In the event of your breach of this Paragraph, the Company shall not be obligated to provide you with any further severance payments or benefits subsequent to such breach, in addition to other remedies available under applicable laws.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80" w:right="27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Edward J. Hayes, Jr.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Employment Agreement</w:t>
      </w:r>
    </w:p>
    <w:p>
      <w:pPr>
        <w:spacing w:after="0" w:line="151" w:lineRule="exact"/>
        <w:rPr>
          <w:sz w:val="20"/>
          <w:szCs w:val="20"/>
          <w:color w:val="auto"/>
        </w:rPr>
      </w:pPr>
    </w:p>
    <w:p>
      <w:pPr>
        <w:ind w:right="240" w:firstLine="464"/>
        <w:spacing w:after="0" w:line="291" w:lineRule="auto"/>
        <w:tabs>
          <w:tab w:leader="none" w:pos="713"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Dispute Resolution</w:t>
      </w:r>
      <w:r>
        <w:rPr>
          <w:rFonts w:ascii="Arial" w:cs="Arial" w:eastAsia="Arial" w:hAnsi="Arial"/>
          <w:sz w:val="16"/>
          <w:szCs w:val="16"/>
          <w:color w:val="auto"/>
        </w:rPr>
        <w:t>. The parties agree that any suit, action, or proceeding arising out of or relating to this Agreement, the parties’ employment relationship, or the termination of that relationship for any reason, shall be brought in the appropriate state or federal court appropriate for disputes arising in Santa Clara, California, and you agree to submit to the personal jurisdiction of such court. The parties irrevocably waive, to the fullest extent permitted by law, any objection they may have to the laying of venue for any such suit, action or proceeding brought in such court. If any one or more provisions of this Paragraph 11 shall for any reason be held invalid or unenforceable, it is the specific intent of the parties that such provisions shall be modified to the minimum extent necessary to make it or its application valid and enforceable.</w:t>
      </w:r>
    </w:p>
    <w:p>
      <w:pPr>
        <w:spacing w:after="0" w:line="120" w:lineRule="exact"/>
        <w:rPr>
          <w:rFonts w:ascii="Arial" w:cs="Arial" w:eastAsia="Arial" w:hAnsi="Arial"/>
          <w:sz w:val="16"/>
          <w:szCs w:val="16"/>
          <w:color w:val="auto"/>
        </w:rPr>
      </w:pPr>
    </w:p>
    <w:p>
      <w:pPr>
        <w:ind w:right="60" w:firstLine="464"/>
        <w:spacing w:after="0" w:line="256"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Compliance with Section 409A of the Internal Revenue Code</w:t>
      </w:r>
      <w:r>
        <w:rPr>
          <w:rFonts w:ascii="Arial" w:cs="Arial" w:eastAsia="Arial" w:hAnsi="Arial"/>
          <w:sz w:val="18"/>
          <w:szCs w:val="18"/>
          <w:color w:val="auto"/>
        </w:rPr>
        <w:t>. This Agreement is intended to comply with, or otherwise be exempt from, Section 409A of the Code and the rules and regulations promulgated thereunder (collectively, “Section 409A”). However, the Company has not made and is making no representation to you relating to the tax treatment of any payment pursuant to this Agreement under Section 409A and the corresponding provisions of any applicable State income tax laws.</w:t>
      </w:r>
    </w:p>
    <w:p>
      <w:pPr>
        <w:spacing w:after="0" w:line="143" w:lineRule="exact"/>
        <w:rPr>
          <w:sz w:val="20"/>
          <w:szCs w:val="20"/>
          <w:color w:val="auto"/>
        </w:rPr>
      </w:pPr>
    </w:p>
    <w:p>
      <w:pPr>
        <w:ind w:right="140" w:firstLine="456"/>
        <w:spacing w:after="0" w:line="283" w:lineRule="auto"/>
        <w:rPr>
          <w:sz w:val="20"/>
          <w:szCs w:val="20"/>
          <w:color w:val="auto"/>
        </w:rPr>
      </w:pPr>
      <w:r>
        <w:rPr>
          <w:rFonts w:ascii="Arial" w:cs="Arial" w:eastAsia="Arial" w:hAnsi="Arial"/>
          <w:sz w:val="16"/>
          <w:szCs w:val="16"/>
          <w:color w:val="auto"/>
        </w:rPr>
        <w:t>Notwithstanding anything to the contrary in this Agreement, any payments or benefits due hereunder upon a termination of employment which are a “deferral of compensation” within the meaning of Section 409A shall only be payable or provided to you upon a “separation from service” as defined for purposes of Section 409A. In addition, if you are a “specified employee” as determined pursuant to Section 409A as of the date of your separation from service, as so defined, and if any payments or entitlements provided for in this Agreement constitute a “deferral of compensation” within the meaning of Section 409A and cannot be paid or provided in the manner provided herein without subjecting you to additional tax, interest or penalties under Section 409A, then any such payment or entitlement which is otherwise payable during the first six months following your separation from service shall be paid or provided to you in a lump sum on the earlier of (i) the first business day of the seventh calendar month immediately following the month in which your separation from service occurs or</w:t>
      </w:r>
    </w:p>
    <w:p>
      <w:pPr>
        <w:ind w:right="120" w:firstLine="8"/>
        <w:spacing w:after="0" w:line="255" w:lineRule="auto"/>
        <w:tabs>
          <w:tab w:leader="none" w:pos="258"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date of your death. To the extent required to satisfy the provisions of the foregoing sentence with respect to any benefit to be provided in-kind, the Company shall bill you, and you shall promptly pay, the value for tax purposes of any such benefit and the Company shall therefore promptly refund the amount so paid by you as soon as allowed by the foregoing sentence.</w:t>
      </w:r>
    </w:p>
    <w:p>
      <w:pPr>
        <w:spacing w:after="0" w:line="14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For purposes of Section 409A, the right to a series of installment payments under this Agreement shall be treated as a right to a series of separate payments. With respect to any reimbursement of your expenses, or any provision of in-kind benefits to you, as specified under this Agreement, such reimbursement of expenses or provision of in-kind benefits shall be subject to the following conditions: (1) the expenses eligible for reimbursement or the amount of in-kind benefits provided in one taxable year shall not affect the expenses eligible for reimbursement or the amount of in-kind benefits provided in any other taxable year, except for any medical reimbursement arrangement providing for the reimbursement of expenses referred to in Section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Edward J. Hayes, Jr.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Employment Agreement</w:t>
      </w:r>
    </w:p>
    <w:p>
      <w:pPr>
        <w:spacing w:after="0" w:line="151" w:lineRule="exact"/>
        <w:rPr>
          <w:sz w:val="20"/>
          <w:szCs w:val="20"/>
          <w:color w:val="auto"/>
        </w:rPr>
      </w:pPr>
    </w:p>
    <w:p>
      <w:pPr>
        <w:ind w:right="600"/>
        <w:spacing w:after="0" w:line="332" w:lineRule="auto"/>
        <w:rPr>
          <w:sz w:val="20"/>
          <w:szCs w:val="20"/>
          <w:color w:val="auto"/>
        </w:rPr>
      </w:pPr>
      <w:r>
        <w:rPr>
          <w:rFonts w:ascii="Arial" w:cs="Arial" w:eastAsia="Arial" w:hAnsi="Arial"/>
          <w:sz w:val="16"/>
          <w:szCs w:val="16"/>
          <w:color w:val="auto"/>
        </w:rPr>
        <w:t>105(b) of the Code; (2) the reimbursement of an eligible expense shall be made no later than the end of the year after the year in which such expense was incurred; and (3) the right to reimbursement or in-kind benefits shall not be subject to liquidation or exchange for another benefit.</w:t>
      </w:r>
    </w:p>
    <w:p>
      <w:pPr>
        <w:spacing w:after="0" w:line="85" w:lineRule="exact"/>
        <w:rPr>
          <w:sz w:val="20"/>
          <w:szCs w:val="20"/>
          <w:color w:val="auto"/>
        </w:rPr>
      </w:pPr>
    </w:p>
    <w:p>
      <w:pPr>
        <w:ind w:right="280" w:firstLine="464"/>
        <w:spacing w:after="0" w:line="332" w:lineRule="auto"/>
        <w:tabs>
          <w:tab w:leader="none" w:pos="720"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of this Agreement is deemed invalid, illegal or unenforceable, such provision shall be modified so as to make it valid, legal and enforceable, and the validity, legality and enforceability of the remaining provisions of this Agreement shall not in any way be affected.</w:t>
      </w:r>
    </w:p>
    <w:p>
      <w:pPr>
        <w:spacing w:after="0" w:line="85" w:lineRule="exact"/>
        <w:rPr>
          <w:rFonts w:ascii="Arial" w:cs="Arial" w:eastAsia="Arial" w:hAnsi="Arial"/>
          <w:sz w:val="16"/>
          <w:szCs w:val="16"/>
          <w:color w:val="auto"/>
        </w:rPr>
      </w:pPr>
    </w:p>
    <w:p>
      <w:pPr>
        <w:ind w:right="140" w:firstLine="464"/>
        <w:spacing w:after="0" w:line="255" w:lineRule="auto"/>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Confirmation of Rights which Are not Dependent Upon Signing a Release</w:t>
      </w:r>
      <w:r>
        <w:rPr>
          <w:rFonts w:ascii="Arial" w:cs="Arial" w:eastAsia="Arial" w:hAnsi="Arial"/>
          <w:sz w:val="18"/>
          <w:szCs w:val="18"/>
          <w:color w:val="auto"/>
        </w:rPr>
        <w:t>. Whether or not you sign a release as provided in certain provisions of this Agreement, (a) you will be paid all wages due, including any unused accrued vacation, as of your last day of work, (b) your health care coverage as a primary insured under the Company’s health plan will continue through the end of the month in which your last day of work falls, (c) thereafter, you will be eligible for continuation of health insurance at your own expense if you timely elect coverage under COBRA, and (d) you will receive information regarding your right to continue health insurance under COBRA.</w:t>
      </w:r>
    </w:p>
    <w:p>
      <w:pPr>
        <w:spacing w:after="0" w:line="142" w:lineRule="exact"/>
        <w:rPr>
          <w:rFonts w:ascii="Arial" w:cs="Arial" w:eastAsia="Arial" w:hAnsi="Arial"/>
          <w:sz w:val="18"/>
          <w:szCs w:val="18"/>
          <w:color w:val="auto"/>
        </w:rPr>
      </w:pPr>
    </w:p>
    <w:p>
      <w:pPr>
        <w:ind w:left="720" w:hanging="256"/>
        <w:spacing w:after="0"/>
        <w:tabs>
          <w:tab w:leader="none" w:pos="720"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Applicable Withholding.</w:t>
      </w:r>
      <w:r>
        <w:rPr>
          <w:rFonts w:ascii="Arial" w:cs="Arial" w:eastAsia="Arial" w:hAnsi="Arial"/>
          <w:sz w:val="16"/>
          <w:szCs w:val="16"/>
          <w:color w:val="auto"/>
        </w:rPr>
        <w:t xml:space="preserve"> All salary, bonus, severance and other payments identified in this Agreement are subject to applicable withholding by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164" w:lineRule="exact"/>
        <w:rPr>
          <w:rFonts w:ascii="Arial" w:cs="Arial" w:eastAsia="Arial" w:hAnsi="Arial"/>
          <w:sz w:val="16"/>
          <w:szCs w:val="16"/>
          <w:color w:val="auto"/>
        </w:rPr>
      </w:pPr>
    </w:p>
    <w:p>
      <w:pPr>
        <w:ind w:right="320" w:firstLine="464"/>
        <w:spacing w:after="0" w:line="268" w:lineRule="auto"/>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Assignment</w:t>
      </w:r>
      <w:r>
        <w:rPr>
          <w:rFonts w:ascii="Arial" w:cs="Arial" w:eastAsia="Arial" w:hAnsi="Arial"/>
          <w:sz w:val="18"/>
          <w:szCs w:val="18"/>
          <w:color w:val="auto"/>
        </w:rPr>
        <w:t>. In view of the personal nature of the services to be performed under this Agreement by you, you cannot assign or transfer any of your obligations under this Agreement.</w:t>
      </w:r>
    </w:p>
    <w:p>
      <w:pPr>
        <w:spacing w:after="0" w:line="131" w:lineRule="exact"/>
        <w:rPr>
          <w:rFonts w:ascii="Arial" w:cs="Arial" w:eastAsia="Arial" w:hAnsi="Arial"/>
          <w:sz w:val="18"/>
          <w:szCs w:val="18"/>
          <w:color w:val="auto"/>
        </w:rPr>
      </w:pPr>
    </w:p>
    <w:p>
      <w:pPr>
        <w:ind w:firstLine="464"/>
        <w:spacing w:after="0" w:line="255" w:lineRule="auto"/>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and the agreements referred to above constitute the entire agreement between you and the Company regarding the terms and conditions of your employment, and they supersede all prior negotiations, representations or agreements between you and the Company regarding your employment, whether written or oral. This Agreement sets forth our entire agreement regarding the Company’s obligation to provide you with severance benefits upon any termination of your employment, and you shall not be entitled to receive any other severance benefits from the Company pursuant to any Company severance plan, policy or practice.</w:t>
      </w:r>
    </w:p>
    <w:p>
      <w:pPr>
        <w:spacing w:after="0" w:line="142" w:lineRule="exact"/>
        <w:rPr>
          <w:rFonts w:ascii="Arial" w:cs="Arial" w:eastAsia="Arial" w:hAnsi="Arial"/>
          <w:sz w:val="18"/>
          <w:szCs w:val="18"/>
          <w:color w:val="auto"/>
        </w:rPr>
      </w:pPr>
    </w:p>
    <w:p>
      <w:pPr>
        <w:ind w:left="720" w:hanging="256"/>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xml:space="preserve"> This Agreement shall be governed by and construed in accordance with the law of the State of California.</w:t>
      </w:r>
    </w:p>
    <w:p>
      <w:pPr>
        <w:spacing w:after="0" w:line="171" w:lineRule="exact"/>
        <w:rPr>
          <w:rFonts w:ascii="Arial" w:cs="Arial" w:eastAsia="Arial" w:hAnsi="Arial"/>
          <w:sz w:val="18"/>
          <w:szCs w:val="18"/>
          <w:color w:val="auto"/>
        </w:rPr>
      </w:pPr>
    </w:p>
    <w:p>
      <w:pPr>
        <w:ind w:right="40" w:firstLine="464"/>
        <w:spacing w:after="0" w:line="268" w:lineRule="auto"/>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Modification</w:t>
      </w:r>
      <w:r>
        <w:rPr>
          <w:rFonts w:ascii="Arial" w:cs="Arial" w:eastAsia="Arial" w:hAnsi="Arial"/>
          <w:sz w:val="18"/>
          <w:szCs w:val="18"/>
          <w:color w:val="auto"/>
        </w:rPr>
        <w:t>. This Agreement may only be modified or amended by a supplemental written agreement signed by you and an authorized representative of the Board.</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280" w:right="29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Edward J. Hayes, Jr.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Employment Agreement</w:t>
      </w:r>
    </w:p>
    <w:p>
      <w:pPr>
        <w:spacing w:after="0" w:line="1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Ned, we look forward to having you join us at Aviat Networks, Inc. Please sign and date this letter on the spaces provided below to acknowledge your acceptance of the terms of this Agreement.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Aviat Networks,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Michael Pangia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Michael Pangia</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President &amp; CEO</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agree to and accept employment with Aviat Networks, Inc. on the terms and conditions set forth in this Agreement.</w:t>
      </w:r>
    </w:p>
    <w:p>
      <w:pPr>
        <w:spacing w:after="0" w:line="212" w:lineRule="exact"/>
        <w:rPr>
          <w:sz w:val="20"/>
          <w:szCs w:val="20"/>
          <w:color w:val="auto"/>
        </w:rPr>
      </w:pPr>
    </w:p>
    <w:p>
      <w:pPr>
        <w:spacing w:after="0"/>
        <w:tabs>
          <w:tab w:leader="none" w:pos="7780" w:val="left"/>
        </w:tabs>
        <w:rPr>
          <w:sz w:val="20"/>
          <w:szCs w:val="20"/>
          <w:color w:val="auto"/>
        </w:rPr>
      </w:pPr>
      <w:r>
        <w:rPr>
          <w:rFonts w:ascii="Arial" w:cs="Arial" w:eastAsia="Arial" w:hAnsi="Arial"/>
          <w:sz w:val="18"/>
          <w:szCs w:val="18"/>
          <w:color w:val="auto"/>
        </w:rPr>
        <w:t>Date: October 31, 2011</w:t>
      </w:r>
      <w:r>
        <w:rPr>
          <w:sz w:val="20"/>
          <w:szCs w:val="20"/>
          <w:color w:val="auto"/>
        </w:rPr>
        <w:tab/>
      </w:r>
      <w:r>
        <w:rPr>
          <w:rFonts w:ascii="Arial" w:cs="Arial" w:eastAsia="Arial" w:hAnsi="Arial"/>
          <w:sz w:val="15"/>
          <w:szCs w:val="15"/>
          <w:color w:val="auto"/>
        </w:rPr>
        <w:t>/s/ Edward J. Hayes,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8020"/>
        <w:spacing w:after="0"/>
        <w:rPr>
          <w:sz w:val="20"/>
          <w:szCs w:val="20"/>
          <w:color w:val="auto"/>
        </w:rPr>
      </w:pPr>
      <w:r>
        <w:rPr>
          <w:rFonts w:ascii="Arial" w:cs="Arial" w:eastAsia="Arial" w:hAnsi="Arial"/>
          <w:sz w:val="18"/>
          <w:szCs w:val="18"/>
          <w:color w:val="auto"/>
        </w:rPr>
        <w:t>Edward J. Hayes, Jr.</w:t>
      </w:r>
    </w:p>
    <w:p>
      <w:pPr>
        <w:spacing w:after="0" w:line="158"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240" w:top="280" w:right="65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Michael A. Pangia, President and Chief Executive Officer of the Board of Aviat Networks, Inc., certify that:</w:t>
      </w:r>
    </w:p>
    <w:p>
      <w:pPr>
        <w:spacing w:after="0" w:line="90"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fiscal quarter ended September 30, 2011, of Aviat Networks,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November 9, 2011</w:t>
      </w:r>
      <w:r>
        <w:rPr>
          <w:sz w:val="20"/>
          <w:szCs w:val="20"/>
          <w:color w:val="auto"/>
        </w:rPr>
        <w:tab/>
      </w:r>
      <w:r>
        <w:rPr>
          <w:rFonts w:ascii="Arial" w:cs="Arial" w:eastAsia="Arial" w:hAnsi="Arial"/>
          <w:sz w:val="16"/>
          <w:szCs w:val="16"/>
          <w:color w:val="auto"/>
        </w:rPr>
        <w:t>/s/ Michael A. Pangia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Name:  Michael A. Pangia</w:t>
      </w:r>
    </w:p>
    <w:p>
      <w:pPr>
        <w:spacing w:after="0" w:line="15" w:lineRule="exact"/>
        <w:rPr>
          <w:sz w:val="20"/>
          <w:szCs w:val="20"/>
          <w:color w:val="auto"/>
        </w:rPr>
      </w:pPr>
    </w:p>
    <w:p>
      <w:pPr>
        <w:ind w:left="5820"/>
        <w:spacing w:after="0"/>
        <w:tabs>
          <w:tab w:leader="none" w:pos="6380" w:val="left"/>
        </w:tabs>
        <w:rPr>
          <w:sz w:val="20"/>
          <w:szCs w:val="20"/>
          <w:color w:val="auto"/>
        </w:rPr>
      </w:pPr>
      <w:r>
        <w:rPr>
          <w:rFonts w:ascii="Arial" w:cs="Arial" w:eastAsia="Arial" w:hAnsi="Arial"/>
          <w:sz w:val="18"/>
          <w:szCs w:val="18"/>
          <w:color w:val="auto"/>
        </w:rPr>
        <w:t>Title:</w:t>
        <w:tab/>
        <w:t>President and Chief Executive Officer</w:t>
      </w:r>
    </w:p>
    <w:p>
      <w:pPr>
        <w:sectPr>
          <w:pgSz w:w="11900" w:h="16838" w:orient="portrait"/>
          <w:cols w:equalWidth="0" w:num="1">
            <w:col w:w="11420"/>
          </w:cols>
          <w:pgMar w:left="240" w:top="125"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Edward J Hayes, Jr., Senior Vice President and Chief Financial Officer of Aviat Networks, Inc., certify that:</w:t>
      </w:r>
    </w:p>
    <w:p>
      <w:pPr>
        <w:spacing w:after="0" w:line="90"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fiscal quarter ended September 30, 2011, of Aviat Networks,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3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November 9, 2011</w:t>
      </w:r>
      <w:r>
        <w:rPr>
          <w:sz w:val="20"/>
          <w:szCs w:val="20"/>
          <w:color w:val="auto"/>
        </w:rPr>
        <w:tab/>
      </w:r>
      <w:r>
        <w:rPr>
          <w:rFonts w:ascii="Arial" w:cs="Arial" w:eastAsia="Arial" w:hAnsi="Arial"/>
          <w:sz w:val="15"/>
          <w:szCs w:val="15"/>
          <w:color w:val="auto"/>
        </w:rPr>
        <w:t>/s/ Edward J Hayes,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Name:  Edward J Hayes, Jr.</w:t>
      </w:r>
    </w:p>
    <w:p>
      <w:pPr>
        <w:spacing w:after="0" w:line="15" w:lineRule="exact"/>
        <w:rPr>
          <w:sz w:val="20"/>
          <w:szCs w:val="20"/>
          <w:color w:val="auto"/>
        </w:rPr>
      </w:pPr>
    </w:p>
    <w:p>
      <w:pPr>
        <w:ind w:left="5820"/>
        <w:spacing w:after="0"/>
        <w:tabs>
          <w:tab w:leader="none" w:pos="6380" w:val="left"/>
        </w:tabs>
        <w:rPr>
          <w:sz w:val="20"/>
          <w:szCs w:val="20"/>
          <w:color w:val="auto"/>
        </w:rPr>
      </w:pPr>
      <w:r>
        <w:rPr>
          <w:rFonts w:ascii="Arial" w:cs="Arial" w:eastAsia="Arial" w:hAnsi="Arial"/>
          <w:sz w:val="18"/>
          <w:szCs w:val="18"/>
          <w:color w:val="auto"/>
        </w:rPr>
        <w:t>Title:</w:t>
        <w:tab/>
        <w:t>Senior Vice President and Chief Financial Officer</w:t>
      </w:r>
    </w:p>
    <w:p>
      <w:pPr>
        <w:sectPr>
          <w:pgSz w:w="11900" w:h="16838" w:orient="portrait"/>
          <w:cols w:equalWidth="0" w:num="1">
            <w:col w:w="11420"/>
          </w:cols>
          <w:pgMar w:left="240" w:top="125"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 and Chief Financial Officer of Aviat Networks,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1350 of Chapter 63 of Title 18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States Code 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65"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In connection with the filing of the Quarterly Report on Form 10-Q of Aviat Networks, Inc. (“Aviat Networks”) for the fiscal quarter ended September 30, 2011, as filed with the Securities and Exchange Commission on the date hereof (the “Report”), we, Michael A. Pangia, President and Chief Executive Officer of Aviat Networks, and Edward J Hayes, Jr., Senior Vice President and Chief Financial Officer of Aviat Networks, hereby certify, pursuant to Section 906 of the Sarbanes-Oxley Act of 2002, 18 U.S.C. §1350, that:</w:t>
      </w:r>
    </w:p>
    <w:p>
      <w:pPr>
        <w:spacing w:after="0" w:line="62"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113"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Aviat Networks as of the dates and for the periods expressed in the Report.</w:t>
      </w:r>
    </w:p>
    <w:p>
      <w:pPr>
        <w:spacing w:after="0" w:line="172"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November 9, 2011</w:t>
      </w:r>
      <w:r>
        <w:rPr>
          <w:sz w:val="20"/>
          <w:szCs w:val="20"/>
          <w:color w:val="auto"/>
        </w:rPr>
        <w:tab/>
      </w:r>
      <w:r>
        <w:rPr>
          <w:rFonts w:ascii="Arial" w:cs="Arial" w:eastAsia="Arial" w:hAnsi="Arial"/>
          <w:sz w:val="16"/>
          <w:szCs w:val="16"/>
          <w:color w:val="auto"/>
        </w:rPr>
        <w:t>/s/ Michael A. Pangia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Michael A. Pangia</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President and Chief Executive Officer</w:t>
      </w:r>
    </w:p>
    <w:p>
      <w:pPr>
        <w:spacing w:after="0" w:line="219"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November 9, 2011</w:t>
      </w:r>
      <w:r>
        <w:rPr>
          <w:sz w:val="20"/>
          <w:szCs w:val="20"/>
          <w:color w:val="auto"/>
        </w:rPr>
        <w:tab/>
      </w:r>
      <w:r>
        <w:rPr>
          <w:rFonts w:ascii="Arial" w:cs="Arial" w:eastAsia="Arial" w:hAnsi="Arial"/>
          <w:sz w:val="15"/>
          <w:szCs w:val="15"/>
          <w:color w:val="auto"/>
        </w:rPr>
        <w:t>/s/ Edward J Hayes,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Edward J Hayes, Jr.</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Senior Vice President and Chief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1)"/>
      <w:numFmt w:val="decimal"/>
      <w:start w:val="1"/>
    </w:lvl>
  </w:abstractNum>
  <w:abstractNum w:abstractNumId="4">
    <w:nsid w:val="3F2DBA31"/>
    <w:multiLevelType w:val="hybridMultilevel"/>
    <w:lvl w:ilvl="0">
      <w:lvlJc w:val="left"/>
      <w:lvlText w:val="(%1)"/>
      <w:numFmt w:val="decimal"/>
      <w:start w:val="2"/>
    </w:lvl>
  </w:abstractNum>
  <w:abstractNum w:abstractNumId="5">
    <w:nsid w:val="7C83E458"/>
    <w:multiLevelType w:val="hybridMultilevel"/>
    <w:lvl w:ilvl="0">
      <w:lvlJc w:val="left"/>
      <w:lvlText w:val="(%1)"/>
      <w:numFmt w:val="lowerRoman"/>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1."/>
      <w:numFmt w:val="decimal"/>
      <w:start w:val="1"/>
    </w:lvl>
  </w:abstractNum>
  <w:abstractNum w:abstractNumId="10">
    <w:nsid w:val="333AB105"/>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11">
    <w:nsid w:val="721DA317"/>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4"/>
    </w:lvl>
  </w:abstractNum>
  <w:abstractNum w:abstractNumId="12">
    <w:nsid w:val="2443A858"/>
    <w:multiLevelType w:val="hybridMultilevel"/>
    <w:lvl w:ilvl="0">
      <w:lvlJc w:val="left"/>
      <w:lvlText w:val="%1"/>
      <w:numFmt w:val="decimal"/>
      <w:start w:val="1"/>
    </w:lvl>
    <w:lvl w:ilvl="1">
      <w:lvlJc w:val="left"/>
      <w:lvlText w:val="(%2)"/>
      <w:numFmt w:val="lowerLetter"/>
      <w:start w:val="7"/>
    </w:lvl>
  </w:abstractNum>
  <w:abstractNum w:abstractNumId="13">
    <w:nsid w:val="2D1D5AE9"/>
    <w:multiLevelType w:val="hybridMultilevel"/>
    <w:lvl w:ilvl="0">
      <w:lvlJc w:val="left"/>
      <w:lvlText w:val="%1."/>
      <w:numFmt w:val="decimal"/>
      <w:start w:val="4"/>
    </w:lvl>
    <w:lvl w:ilvl="1">
      <w:lvlJc w:val="left"/>
      <w:lvlText w:val="(%2)"/>
      <w:numFmt w:val="lowerLetter"/>
      <w:start w:val="1"/>
    </w:lvl>
  </w:abstractNum>
  <w:abstractNum w:abstractNumId="14">
    <w:nsid w:val="6763845E"/>
    <w:multiLevelType w:val="hybridMultilevel"/>
    <w:lvl w:ilvl="0">
      <w:lvlJc w:val="left"/>
      <w:lvlText w:val="(%1)"/>
      <w:numFmt w:val="lowerLetter"/>
      <w:start w:val="2"/>
    </w:lvl>
    <w:lvl w:ilvl="1">
      <w:lvlJc w:val="left"/>
      <w:lvlText w:val="(%2)"/>
      <w:numFmt w:val="lowerRoman"/>
      <w:start w:val="1"/>
    </w:lvl>
  </w:abstractNum>
  <w:abstractNum w:abstractNumId="15">
    <w:nsid w:val="75A2A8D4"/>
    <w:multiLevelType w:val="hybridMultilevel"/>
    <w:lvl w:ilvl="0">
      <w:lvlJc w:val="left"/>
      <w:lvlText w:val="%1"/>
      <w:numFmt w:val="lowerLetter"/>
      <w:start w:val="1"/>
    </w:lvl>
    <w:lvl w:ilvl="1">
      <w:lvlJc w:val="left"/>
      <w:lvlText w:val="(%2)"/>
      <w:numFmt w:val="lowerRoman"/>
      <w:start w:val="3"/>
    </w:lvl>
  </w:abstractNum>
  <w:abstractNum w:abstractNumId="16">
    <w:nsid w:val="8EDBDAB"/>
    <w:multiLevelType w:val="hybridMultilevel"/>
    <w:lvl w:ilvl="0">
      <w:lvlJc w:val="left"/>
      <w:lvlText w:val="(%1)"/>
      <w:numFmt w:val="lowerLetter"/>
      <w:start w:val="4"/>
    </w:lvl>
    <w:lvl w:ilvl="1">
      <w:lvlJc w:val="left"/>
      <w:lvlText w:val="(%2)"/>
      <w:numFmt w:val="lowerRoman"/>
      <w:start w:val="1"/>
    </w:lvl>
  </w:abstractNum>
  <w:abstractNum w:abstractNumId="17">
    <w:nsid w:val="79838CB2"/>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5"/>
    </w:lvl>
    <w:lvl w:ilvl="3">
      <w:lvlJc w:val="left"/>
      <w:lvlText w:val="%4"/>
      <w:numFmt w:val="lowerLetter"/>
      <w:start w:val="1"/>
    </w:lvl>
  </w:abstractNum>
  <w:abstractNum w:abstractNumId="18">
    <w:nsid w:val="4353D0CD"/>
    <w:multiLevelType w:val="hybridMultilevel"/>
    <w:lvl w:ilvl="0">
      <w:lvlJc w:val="left"/>
      <w:lvlText w:val="%1"/>
      <w:numFmt w:val="upperLetter"/>
      <w:start w:val="1"/>
    </w:lvl>
    <w:lvl w:ilvl="1">
      <w:lvlJc w:val="left"/>
      <w:lvlText w:val="%2."/>
      <w:numFmt w:val="decimal"/>
      <w:start w:val="6"/>
    </w:lvl>
    <w:lvl w:ilvl="2">
      <w:lvlJc w:val="left"/>
      <w:lvlText w:val="(%3)"/>
      <w:numFmt w:val="lowerLetter"/>
      <w:start w:val="1"/>
    </w:lvl>
    <w:lvl w:ilvl="3">
      <w:lvlJc w:val="left"/>
      <w:lvlText w:val="(%4)"/>
      <w:numFmt w:val="lowerLetter"/>
      <w:start w:val="9"/>
    </w:lvl>
  </w:abstractNum>
  <w:abstractNum w:abstractNumId="19">
    <w:nsid w:val="B03E0C6"/>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lvl w:ilvl="3">
      <w:lvlJc w:val="left"/>
      <w:lvlText w:val="(%4)"/>
      <w:numFmt w:val="lowerLetter"/>
      <w:start w:val="35"/>
    </w:lvl>
  </w:abstractNum>
  <w:abstractNum w:abstractNumId="20">
    <w:nsid w:val="189A769B"/>
    <w:multiLevelType w:val="hybridMultilevel"/>
    <w:lvl w:ilvl="0">
      <w:lvlJc w:val="left"/>
      <w:lvlText w:val="(%1)"/>
      <w:numFmt w:val="lowerRoman"/>
      <w:start w:val="3"/>
    </w:lvl>
  </w:abstractNum>
  <w:abstractNum w:abstractNumId="21">
    <w:nsid w:val="54E49EB4"/>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2">
    <w:nsid w:val="71F32454"/>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23">
    <w:nsid w:val="2CA88611"/>
    <w:multiLevelType w:val="hybridMultilevel"/>
    <w:lvl w:ilvl="0">
      <w:lvlJc w:val="left"/>
      <w:lvlText w:val="%1."/>
      <w:numFmt w:val="decimal"/>
      <w:start w:val="8"/>
    </w:lvl>
    <w:lvl w:ilvl="1">
      <w:lvlJc w:val="left"/>
      <w:lvlText w:val="(%2)"/>
      <w:numFmt w:val="lowerLetter"/>
      <w:start w:val="1"/>
    </w:lvl>
  </w:abstractNum>
  <w:abstractNum w:abstractNumId="24">
    <w:nsid w:val="836C40E"/>
    <w:multiLevelType w:val="hybridMultilevel"/>
    <w:lvl w:ilvl="0">
      <w:lvlJc w:val="left"/>
      <w:lvlText w:val="(%1)"/>
      <w:numFmt w:val="lowerLetter"/>
      <w:start w:val="1"/>
    </w:lvl>
  </w:abstractNum>
  <w:abstractNum w:abstractNumId="25">
    <w:nsid w:val="2901D82"/>
    <w:multiLevelType w:val="hybridMultilevel"/>
    <w:lvl w:ilvl="0">
      <w:lvlJc w:val="left"/>
      <w:lvlText w:val="%1."/>
      <w:numFmt w:val="decimal"/>
      <w:start w:val="10"/>
    </w:lvl>
  </w:abstractNum>
  <w:abstractNum w:abstractNumId="26">
    <w:nsid w:val="3A95F874"/>
    <w:multiLevelType w:val="hybridMultilevel"/>
    <w:lvl w:ilvl="0">
      <w:lvlJc w:val="left"/>
      <w:lvlText w:val="%1."/>
      <w:numFmt w:val="decimal"/>
      <w:start w:val="11"/>
    </w:lvl>
  </w:abstractNum>
  <w:abstractNum w:abstractNumId="27">
    <w:nsid w:val="8138641"/>
    <w:multiLevelType w:val="hybridMultilevel"/>
    <w:lvl w:ilvl="0">
      <w:lvlJc w:val="left"/>
      <w:lvlText w:val="(%1)"/>
      <w:numFmt w:val="lowerRoman"/>
      <w:start w:val="2"/>
    </w:lvl>
  </w:abstractNum>
  <w:abstractNum w:abstractNumId="28">
    <w:nsid w:val="1E7FF521"/>
    <w:multiLevelType w:val="hybridMultilevel"/>
    <w:lvl w:ilvl="0">
      <w:lvlJc w:val="left"/>
      <w:lvlText w:val="%1."/>
      <w:numFmt w:val="decimal"/>
      <w:start w:val="13"/>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lvl w:ilvl="1">
      <w:lvlJc w:val="left"/>
      <w:lvlText w:val="(%2)"/>
      <w:numFmt w:val="lowerLetter"/>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2019-12-11T03:46:44Z</dcterms:created>
  <dcterms:modified xsi:type="dcterms:W3CDTF">2019-12-11T03:46:44Z</dcterms:modified>
</cp:coreProperties>
</file>