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98" w:lineRule="exact"/>
        <w:rPr>
          <w:sz w:val="24"/>
          <w:szCs w:val="24"/>
          <w:color w:val="auto"/>
        </w:rPr>
      </w:pPr>
    </w:p>
    <w:p>
      <w:pPr>
        <w:ind w:left="460" w:right="280" w:hanging="434"/>
        <w:spacing w:after="0" w:line="238"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October 2, 2020</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79" w:lineRule="exact"/>
        <w:rPr>
          <w:sz w:val="24"/>
          <w:szCs w:val="24"/>
          <w:color w:val="auto"/>
        </w:rPr>
      </w:pPr>
    </w:p>
    <w:p>
      <w:pPr>
        <w:ind w:left="480" w:right="260" w:hanging="441"/>
        <w:spacing w:after="0" w:line="238"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 to _______</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001-33278</w:t>
      </w:r>
    </w:p>
    <w:p>
      <w:pPr>
        <w:spacing w:after="0" w:line="36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AVIAT NETWORKS, INC.</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033" w:right="339" w:bottom="1440" w:gutter="0" w:footer="0" w:header="0"/>
        </w:sectPr>
      </w:pPr>
    </w:p>
    <w:p>
      <w:pPr>
        <w:spacing w:after="0" w:line="200" w:lineRule="exact"/>
        <w:rPr>
          <w:sz w:val="24"/>
          <w:szCs w:val="24"/>
          <w:color w:val="auto"/>
        </w:rPr>
      </w:pPr>
    </w:p>
    <w:p>
      <w:pPr>
        <w:spacing w:after="0" w:line="251"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20-5961564</w:t>
      </w:r>
    </w:p>
    <w:p>
      <w:pPr>
        <w:spacing w:after="0" w:line="43" w:lineRule="exact"/>
        <w:rPr>
          <w:sz w:val="24"/>
          <w:szCs w:val="24"/>
          <w:color w:val="auto"/>
        </w:rPr>
      </w:pPr>
    </w:p>
    <w:p>
      <w:pPr>
        <w:sectPr>
          <w:pgSz w:w="11900" w:h="16838" w:orient="portrait"/>
          <w:cols w:equalWidth="0" w:num="2">
            <w:col w:w="8080" w:space="720"/>
            <w:col w:w="2440"/>
          </w:cols>
          <w:pgMar w:left="320" w:top="1033"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p>
      <w:pPr>
        <w:spacing w:after="0" w:line="77" w:lineRule="exact"/>
        <w:rPr>
          <w:sz w:val="24"/>
          <w:szCs w:val="24"/>
          <w:color w:val="auto"/>
        </w:rPr>
      </w:pPr>
    </w:p>
    <w:p>
      <w:pPr>
        <w:sectPr>
          <w:pgSz w:w="11900" w:h="16838" w:orient="portrait"/>
          <w:cols w:equalWidth="0" w:num="2">
            <w:col w:w="7260" w:space="720"/>
            <w:col w:w="3260"/>
          </w:cols>
          <w:pgMar w:left="320" w:top="1033" w:right="339"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200 Parker Drive, Suite C100A,</w:t>
      </w:r>
    </w:p>
    <w:p>
      <w:pPr>
        <w:spacing w:after="0" w:line="20" w:lineRule="exact"/>
        <w:rPr>
          <w:sz w:val="24"/>
          <w:szCs w:val="24"/>
          <w:color w:val="auto"/>
        </w:rPr>
      </w:pPr>
      <w:r>
        <w:rPr>
          <w:sz w:val="24"/>
          <w:szCs w:val="24"/>
          <w:color w:val="auto"/>
        </w:rPr>
        <w:br w:type="column"/>
      </w: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Austin,</w:t>
      </w:r>
      <w:r>
        <w:rPr>
          <w:sz w:val="20"/>
          <w:szCs w:val="20"/>
          <w:color w:val="auto"/>
        </w:rPr>
        <w:tab/>
      </w:r>
      <w:r>
        <w:rPr>
          <w:rFonts w:ascii="Times New Roman" w:cs="Times New Roman" w:eastAsia="Times New Roman" w:hAnsi="Times New Roman"/>
          <w:sz w:val="17"/>
          <w:szCs w:val="17"/>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78728</w:t>
      </w:r>
    </w:p>
    <w:p>
      <w:pPr>
        <w:spacing w:after="0" w:line="31" w:lineRule="exact"/>
        <w:rPr>
          <w:sz w:val="24"/>
          <w:szCs w:val="24"/>
          <w:color w:val="auto"/>
        </w:rPr>
      </w:pPr>
    </w:p>
    <w:p>
      <w:pPr>
        <w:sectPr>
          <w:pgSz w:w="11900" w:h="16838" w:orient="portrait"/>
          <w:cols w:equalWidth="0" w:num="3">
            <w:col w:w="3140" w:space="700"/>
            <w:col w:w="4440" w:space="720"/>
            <w:col w:w="2240"/>
          </w:cols>
          <w:pgMar w:left="320" w:top="1033" w:right="33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29" w:lineRule="exact"/>
        <w:rPr>
          <w:sz w:val="24"/>
          <w:szCs w:val="24"/>
          <w:color w:val="auto"/>
        </w:rPr>
      </w:pPr>
    </w:p>
    <w:p>
      <w:pPr>
        <w:sectPr>
          <w:pgSz w:w="11900" w:h="16838" w:orient="portrait"/>
          <w:cols w:equalWidth="0" w:num="2">
            <w:col w:w="8140" w:space="720"/>
            <w:col w:w="2380"/>
          </w:cols>
          <w:pgMar w:left="320" w:top="103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(408) 941-7100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2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033" w:right="339" w:bottom="1440" w:gutter="0" w:footer="0" w:header="0"/>
          <w:type w:val="continuous"/>
        </w:sectPr>
      </w:pPr>
    </w:p>
    <w:p>
      <w:pPr>
        <w:spacing w:after="0" w:line="24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4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AVNW</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3660" w:space="720"/>
            <w:col w:w="2160" w:space="720"/>
            <w:col w:w="3980"/>
          </w:cols>
          <w:pgMar w:left="320" w:top="1033" w:right="339" w:bottom="1440" w:gutter="0" w:footer="0" w:header="0"/>
          <w:type w:val="continuous"/>
        </w:sectPr>
      </w:pPr>
    </w:p>
    <w:p>
      <w:pPr>
        <w:spacing w:after="0" w:line="2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29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29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9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90"/>
        </w:trPr>
        <w:tc>
          <w:tcPr>
            <w:tcW w:w="23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1"/>
        </w:trPr>
        <w:tc>
          <w:tcPr>
            <w:tcW w:w="23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08"/>
        </w:trPr>
        <w:tc>
          <w:tcPr>
            <w:tcW w:w="238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49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1" w:name="page2"/>
    <w:bookmarkEnd w:id="1"/>
    <w:p>
      <w:pPr>
        <w:spacing w:after="0" w:line="235" w:lineRule="exact"/>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42" w:lineRule="exact"/>
        <w:rPr>
          <w:sz w:val="20"/>
          <w:szCs w:val="20"/>
          <w:color w:val="auto"/>
        </w:rPr>
      </w:pPr>
    </w:p>
    <w:p>
      <w:pPr>
        <w:ind w:right="172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October 30, 2020 was 5,461,438.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2, 2020</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8"/>
        </w:trPr>
        <w:tc>
          <w:tcPr>
            <w:tcW w:w="10220" w:type="dxa"/>
            <w:vAlign w:val="bottom"/>
            <w:shd w:val="clear" w:color="auto" w:fill="CCEEFF"/>
          </w:tcPr>
          <w:p>
            <w:pPr>
              <w:spacing w:after="0"/>
              <w:rPr>
                <w:rFonts w:ascii="Times New Roman" w:cs="Times New Roman" w:eastAsia="Times New Roman" w:hAnsi="Times New Roman"/>
                <w:sz w:val="18"/>
                <w:szCs w:val="18"/>
                <w:b w:val="1"/>
                <w:bCs w:val="1"/>
                <w:color w:val="0000FF"/>
              </w:rPr>
            </w:pPr>
            <w:hyperlink w:anchor="page3">
              <w:r>
                <w:rPr>
                  <w:rFonts w:ascii="Times New Roman" w:cs="Times New Roman" w:eastAsia="Times New Roman" w:hAnsi="Times New Roman"/>
                  <w:sz w:val="18"/>
                  <w:szCs w:val="18"/>
                  <w:b w:val="1"/>
                  <w:bCs w:val="1"/>
                  <w:color w:val="0000FF"/>
                </w:rPr>
                <w:t>Part I. Financial Information</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4</w:t>
              </w:r>
            </w:hyperlink>
          </w:p>
        </w:tc>
      </w:tr>
      <w:tr>
        <w:trPr>
          <w:trHeight w:val="230"/>
        </w:trPr>
        <w:tc>
          <w:tcPr>
            <w:tcW w:w="10220" w:type="dxa"/>
            <w:vAlign w:val="bottom"/>
          </w:tcPr>
          <w:p>
            <w:pPr>
              <w:ind w:left="34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Item 1. Financial Statements</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229"/>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Balance Sheets (Unaudited)</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229"/>
        </w:trPr>
        <w:tc>
          <w:tcPr>
            <w:tcW w:w="10220" w:type="dxa"/>
            <w:vAlign w:val="bottom"/>
          </w:tcPr>
          <w:p>
            <w:pPr>
              <w:ind w:left="34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Statements of Operations (Unaudited)</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5</w:t>
              </w:r>
            </w:hyperlink>
          </w:p>
        </w:tc>
      </w:tr>
      <w:tr>
        <w:trPr>
          <w:trHeight w:val="230"/>
        </w:trPr>
        <w:tc>
          <w:tcPr>
            <w:tcW w:w="10220" w:type="dxa"/>
            <w:vAlign w:val="bottom"/>
            <w:shd w:val="clear" w:color="auto" w:fill="CCEEFF"/>
          </w:tcPr>
          <w:p>
            <w:pPr>
              <w:ind w:left="36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Condensed Consolidated Statements of Comprehensive Income (Loss) (Unaudited)</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6</w:t>
              </w:r>
            </w:hyperlink>
          </w:p>
        </w:tc>
      </w:tr>
      <w:tr>
        <w:trPr>
          <w:trHeight w:val="229"/>
        </w:trPr>
        <w:tc>
          <w:tcPr>
            <w:tcW w:w="10220" w:type="dxa"/>
            <w:vAlign w:val="bottom"/>
          </w:tcPr>
          <w:p>
            <w:pPr>
              <w:ind w:left="34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Condensed Consolidated Statements of Cash Flows (Unaudited)</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7</w:t>
              </w:r>
            </w:hyperlink>
          </w:p>
        </w:tc>
      </w:tr>
      <w:tr>
        <w:trPr>
          <w:trHeight w:val="230"/>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Condensed Consolidated Statements of Equity (Unaudited)</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8</w:t>
              </w:r>
            </w:hyperlink>
          </w:p>
        </w:tc>
      </w:tr>
      <w:tr>
        <w:trPr>
          <w:trHeight w:val="229"/>
        </w:trPr>
        <w:tc>
          <w:tcPr>
            <w:tcW w:w="10220" w:type="dxa"/>
            <w:vAlign w:val="bottom"/>
          </w:tcPr>
          <w:p>
            <w:pPr>
              <w:ind w:left="340"/>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Notes to Condensed Consolidated Financial Statements (Unaudited)</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9</w:t>
              </w:r>
            </w:hyperlink>
          </w:p>
        </w:tc>
      </w:tr>
      <w:tr>
        <w:trPr>
          <w:trHeight w:val="229"/>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Item 2. Management’s Discussion and Analysis of Financial Condition and Results of Operations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22</w:t>
              </w:r>
            </w:hyperlink>
          </w:p>
        </w:tc>
      </w:tr>
      <w:tr>
        <w:trPr>
          <w:trHeight w:val="230"/>
        </w:trPr>
        <w:tc>
          <w:tcPr>
            <w:tcW w:w="10220" w:type="dxa"/>
            <w:vAlign w:val="bottom"/>
          </w:tcPr>
          <w:p>
            <w:pPr>
              <w:ind w:left="340"/>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Item 3. Quantitative and Qualitative Disclosures About Market Risk</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30</w:t>
              </w:r>
            </w:hyperlink>
          </w:p>
        </w:tc>
      </w:tr>
      <w:tr>
        <w:trPr>
          <w:trHeight w:val="229"/>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Item 4. Controls and Procedures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31</w:t>
              </w:r>
            </w:hyperlink>
          </w:p>
        </w:tc>
      </w:tr>
      <w:tr>
        <w:trPr>
          <w:trHeight w:val="230"/>
        </w:trPr>
        <w:tc>
          <w:tcPr>
            <w:tcW w:w="10220" w:type="dxa"/>
            <w:vAlign w:val="bottom"/>
          </w:tcPr>
          <w:p>
            <w:pPr>
              <w:spacing w:after="0"/>
              <w:rPr>
                <w:rFonts w:ascii="Times New Roman" w:cs="Times New Roman" w:eastAsia="Times New Roman" w:hAnsi="Times New Roman"/>
                <w:sz w:val="18"/>
                <w:szCs w:val="18"/>
                <w:b w:val="1"/>
                <w:bCs w:val="1"/>
                <w:color w:val="0000FF"/>
              </w:rPr>
            </w:pPr>
            <w:hyperlink w:anchor="page31">
              <w:r>
                <w:rPr>
                  <w:rFonts w:ascii="Times New Roman" w:cs="Times New Roman" w:eastAsia="Times New Roman" w:hAnsi="Times New Roman"/>
                  <w:sz w:val="18"/>
                  <w:szCs w:val="18"/>
                  <w:b w:val="1"/>
                  <w:bCs w:val="1"/>
                  <w:color w:val="0000FF"/>
                </w:rPr>
                <w:t>Part II. Other Information</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32</w:t>
              </w:r>
            </w:hyperlink>
          </w:p>
        </w:tc>
      </w:tr>
      <w:tr>
        <w:trPr>
          <w:trHeight w:val="229"/>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Item 1. Legal Proceedings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32</w:t>
              </w:r>
            </w:hyperlink>
          </w:p>
        </w:tc>
      </w:tr>
      <w:tr>
        <w:trPr>
          <w:trHeight w:val="229"/>
        </w:trPr>
        <w:tc>
          <w:tcPr>
            <w:tcW w:w="10220" w:type="dxa"/>
            <w:vAlign w:val="bottom"/>
          </w:tcPr>
          <w:p>
            <w:pPr>
              <w:ind w:left="34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Item 1A. Risk Factors</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32</w:t>
              </w:r>
            </w:hyperlink>
          </w:p>
        </w:tc>
      </w:tr>
      <w:tr>
        <w:trPr>
          <w:trHeight w:val="230"/>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Item 2. Unregistered Sales of Equity Securities and Use of Proceeds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32</w:t>
              </w:r>
            </w:hyperlink>
          </w:p>
        </w:tc>
      </w:tr>
      <w:tr>
        <w:trPr>
          <w:trHeight w:val="229"/>
        </w:trPr>
        <w:tc>
          <w:tcPr>
            <w:tcW w:w="10220" w:type="dxa"/>
            <w:vAlign w:val="bottom"/>
          </w:tcPr>
          <w:p>
            <w:pPr>
              <w:ind w:left="34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Item 3. Defaults upon Senior Securities</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32</w:t>
              </w:r>
            </w:hyperlink>
          </w:p>
        </w:tc>
      </w:tr>
      <w:tr>
        <w:trPr>
          <w:trHeight w:val="230"/>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Item 4. Mine Safety Disclosures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32</w:t>
              </w:r>
            </w:hyperlink>
          </w:p>
        </w:tc>
      </w:tr>
      <w:tr>
        <w:trPr>
          <w:trHeight w:val="230"/>
        </w:trPr>
        <w:tc>
          <w:tcPr>
            <w:tcW w:w="10220" w:type="dxa"/>
            <w:vAlign w:val="bottom"/>
          </w:tcPr>
          <w:p>
            <w:pPr>
              <w:ind w:left="34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Item 5. Other Information</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32</w:t>
              </w:r>
            </w:hyperlink>
          </w:p>
        </w:tc>
      </w:tr>
      <w:tr>
        <w:trPr>
          <w:trHeight w:val="229"/>
        </w:trPr>
        <w:tc>
          <w:tcPr>
            <w:tcW w:w="10220" w:type="dxa"/>
            <w:vAlign w:val="bottom"/>
            <w:shd w:val="clear" w:color="auto" w:fill="CCEEFF"/>
          </w:tcPr>
          <w:p>
            <w:pPr>
              <w:ind w:left="34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Item 6. Exhibits</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33</w:t>
              </w:r>
            </w:hyperlink>
          </w:p>
        </w:tc>
      </w:tr>
      <w:tr>
        <w:trPr>
          <w:trHeight w:val="230"/>
        </w:trPr>
        <w:tc>
          <w:tcPr>
            <w:tcW w:w="10220" w:type="dxa"/>
            <w:vAlign w:val="bottom"/>
          </w:tcPr>
          <w:p>
            <w:pPr>
              <w:spacing w:after="0"/>
              <w:rPr>
                <w:rFonts w:ascii="Times New Roman" w:cs="Times New Roman" w:eastAsia="Times New Roman" w:hAnsi="Times New Roman"/>
                <w:sz w:val="18"/>
                <w:szCs w:val="18"/>
                <w:b w:val="1"/>
                <w:bCs w:val="1"/>
                <w:color w:val="0000FF"/>
              </w:rPr>
            </w:pPr>
            <w:hyperlink w:anchor="page33">
              <w:r>
                <w:rPr>
                  <w:rFonts w:ascii="Times New Roman" w:cs="Times New Roman" w:eastAsia="Times New Roman" w:hAnsi="Times New Roman"/>
                  <w:sz w:val="18"/>
                  <w:szCs w:val="18"/>
                  <w:b w:val="1"/>
                  <w:bCs w:val="1"/>
                  <w:color w:val="0000FF"/>
                </w:rPr>
                <w:t>Signatures</w:t>
              </w:r>
            </w:hyperlink>
          </w:p>
        </w:tc>
        <w:tc>
          <w:tcPr>
            <w:tcW w:w="600" w:type="dxa"/>
            <w:vAlign w:val="bottom"/>
          </w:tcPr>
          <w:p>
            <w:pPr>
              <w:jc w:val="right"/>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34</w:t>
              </w:r>
            </w:hyperlink>
          </w:p>
        </w:tc>
      </w:tr>
      <w:tr>
        <w:trPr>
          <w:trHeight w:val="230"/>
        </w:trPr>
        <w:tc>
          <w:tcPr>
            <w:tcW w:w="1022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FF"/>
              </w:rPr>
            </w:pPr>
            <w:hyperlink w:anchor="page32">
              <w:r>
                <w:rPr>
                  <w:rFonts w:ascii="Times New Roman" w:cs="Times New Roman" w:eastAsia="Times New Roman" w:hAnsi="Times New Roman"/>
                  <w:sz w:val="18"/>
                  <w:szCs w:val="18"/>
                  <w:b w:val="1"/>
                  <w:bCs w:val="1"/>
                  <w:u w:val="single" w:color="auto"/>
                  <w:color w:val="0000FF"/>
                </w:rPr>
                <w:t>Exhibit Index</w:t>
              </w:r>
            </w:hyperlink>
          </w:p>
        </w:tc>
        <w:tc>
          <w:tcPr>
            <w:tcW w:w="600" w:type="dxa"/>
            <w:vAlign w:val="bottom"/>
            <w:shd w:val="clear" w:color="auto" w:fill="CCEEFF"/>
          </w:tcPr>
          <w:p>
            <w:pPr>
              <w:jc w:val="right"/>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34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540" w:top="1089" w:right="5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82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AVIAT NETWORKS, INC.</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82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782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par value amounts)</w:t>
            </w:r>
          </w:p>
        </w:tc>
        <w:tc>
          <w:tcPr>
            <w:tcW w:w="22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280" w:type="dxa"/>
            <w:vAlign w:val="bottom"/>
          </w:tcPr>
          <w:p>
            <w:pPr>
              <w:spacing w:after="0"/>
              <w:rPr>
                <w:sz w:val="22"/>
                <w:szCs w:val="22"/>
                <w:color w:val="auto"/>
              </w:rPr>
            </w:pPr>
          </w:p>
        </w:tc>
        <w:tc>
          <w:tcPr>
            <w:tcW w:w="10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846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0" w:type="dxa"/>
            <w:vAlign w:val="bottom"/>
          </w:tcPr>
          <w:p>
            <w:pPr>
              <w:spacing w:after="0"/>
              <w:rPr>
                <w:sz w:val="1"/>
                <w:szCs w:val="1"/>
                <w:color w:val="auto"/>
              </w:rPr>
            </w:pPr>
          </w:p>
        </w:tc>
      </w:tr>
      <w:tr>
        <w:trPr>
          <w:trHeight w:val="229"/>
        </w:trPr>
        <w:tc>
          <w:tcPr>
            <w:tcW w:w="8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44,661</w:t>
            </w:r>
          </w:p>
        </w:tc>
        <w:tc>
          <w:tcPr>
            <w:tcW w:w="0" w:type="dxa"/>
            <w:vAlign w:val="bottom"/>
          </w:tcPr>
          <w:p>
            <w:pPr>
              <w:spacing w:after="0"/>
              <w:rPr>
                <w:sz w:val="1"/>
                <w:szCs w:val="1"/>
                <w:color w:val="auto"/>
              </w:rPr>
            </w:pPr>
          </w:p>
        </w:tc>
      </w:tr>
      <w:tr>
        <w:trPr>
          <w:trHeight w:val="230"/>
        </w:trPr>
        <w:tc>
          <w:tcPr>
            <w:tcW w:w="8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0" w:type="dxa"/>
            <w:vAlign w:val="bottom"/>
          </w:tcPr>
          <w:p>
            <w:pPr>
              <w:spacing w:after="0"/>
              <w:rPr>
                <w:sz w:val="1"/>
                <w:szCs w:val="1"/>
                <w:color w:val="auto"/>
              </w:rPr>
            </w:pPr>
          </w:p>
        </w:tc>
      </w:tr>
      <w:tr>
        <w:trPr>
          <w:trHeight w:val="229"/>
        </w:trPr>
        <w:tc>
          <w:tcPr>
            <w:tcW w:w="8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0" w:type="dxa"/>
            <w:vAlign w:val="bottom"/>
          </w:tcPr>
          <w:p>
            <w:pPr>
              <w:spacing w:after="0"/>
              <w:rPr>
                <w:sz w:val="1"/>
                <w:szCs w:val="1"/>
                <w:color w:val="auto"/>
              </w:rPr>
            </w:pPr>
          </w:p>
        </w:tc>
      </w:tr>
      <w:tr>
        <w:trPr>
          <w:trHeight w:val="230"/>
        </w:trPr>
        <w:tc>
          <w:tcPr>
            <w:tcW w:w="8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0" w:type="dxa"/>
            <w:vAlign w:val="bottom"/>
          </w:tcPr>
          <w:p>
            <w:pPr>
              <w:spacing w:after="0"/>
              <w:rPr>
                <w:sz w:val="1"/>
                <w:szCs w:val="1"/>
                <w:color w:val="auto"/>
              </w:rPr>
            </w:pPr>
          </w:p>
        </w:tc>
      </w:tr>
      <w:tr>
        <w:trPr>
          <w:trHeight w:val="223"/>
        </w:trPr>
        <w:tc>
          <w:tcPr>
            <w:tcW w:w="8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139,950</w:t>
            </w:r>
          </w:p>
        </w:tc>
        <w:tc>
          <w:tcPr>
            <w:tcW w:w="0" w:type="dxa"/>
            <w:vAlign w:val="bottom"/>
          </w:tcPr>
          <w:p>
            <w:pPr>
              <w:spacing w:after="0"/>
              <w:rPr>
                <w:sz w:val="1"/>
                <w:szCs w:val="1"/>
                <w:color w:val="auto"/>
              </w:rPr>
            </w:pPr>
          </w:p>
        </w:tc>
      </w:tr>
      <w:tr>
        <w:trPr>
          <w:trHeight w:val="229"/>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0" w:type="dxa"/>
            <w:vAlign w:val="bottom"/>
          </w:tcPr>
          <w:p>
            <w:pPr>
              <w:spacing w:after="0"/>
              <w:rPr>
                <w:sz w:val="1"/>
                <w:szCs w:val="1"/>
                <w:color w:val="auto"/>
              </w:rPr>
            </w:pPr>
          </w:p>
        </w:tc>
      </w:tr>
      <w:tr>
        <w:trPr>
          <w:trHeight w:val="230"/>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7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179,801</w:t>
            </w:r>
          </w:p>
        </w:tc>
        <w:tc>
          <w:tcPr>
            <w:tcW w:w="0" w:type="dxa"/>
            <w:vAlign w:val="bottom"/>
          </w:tcPr>
          <w:p>
            <w:pPr>
              <w:spacing w:after="0"/>
              <w:rPr>
                <w:sz w:val="1"/>
                <w:szCs w:val="1"/>
                <w:color w:val="auto"/>
              </w:rPr>
            </w:pP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31,995</w:t>
            </w:r>
          </w:p>
        </w:tc>
        <w:tc>
          <w:tcPr>
            <w:tcW w:w="0" w:type="dxa"/>
            <w:vAlign w:val="bottom"/>
          </w:tcPr>
          <w:p>
            <w:pPr>
              <w:spacing w:after="0"/>
              <w:rPr>
                <w:sz w:val="1"/>
                <w:szCs w:val="1"/>
                <w:color w:val="auto"/>
              </w:rPr>
            </w:pPr>
          </w:p>
        </w:tc>
      </w:tr>
      <w:tr>
        <w:trPr>
          <w:trHeight w:val="230"/>
        </w:trPr>
        <w:tc>
          <w:tcPr>
            <w:tcW w:w="8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0" w:type="dxa"/>
            <w:vAlign w:val="bottom"/>
          </w:tcPr>
          <w:p>
            <w:pPr>
              <w:spacing w:after="0"/>
              <w:rPr>
                <w:sz w:val="1"/>
                <w:szCs w:val="1"/>
                <w:color w:val="auto"/>
              </w:rPr>
            </w:pPr>
          </w:p>
        </w:tc>
      </w:tr>
      <w:tr>
        <w:trPr>
          <w:trHeight w:val="230"/>
        </w:trPr>
        <w:tc>
          <w:tcPr>
            <w:tcW w:w="8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30"/>
        </w:trPr>
        <w:tc>
          <w:tcPr>
            <w:tcW w:w="8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21,872</w:t>
            </w: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debt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23"/>
        </w:trPr>
        <w:tc>
          <w:tcPr>
            <w:tcW w:w="8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93,970</w:t>
            </w:r>
          </w:p>
        </w:tc>
        <w:tc>
          <w:tcPr>
            <w:tcW w:w="0" w:type="dxa"/>
            <w:vAlign w:val="bottom"/>
          </w:tcPr>
          <w:p>
            <w:pPr>
              <w:spacing w:after="0"/>
              <w:rPr>
                <w:sz w:val="1"/>
                <w:szCs w:val="1"/>
                <w:color w:val="auto"/>
              </w:rPr>
            </w:pPr>
          </w:p>
        </w:tc>
      </w:tr>
      <w:tr>
        <w:trPr>
          <w:trHeight w:val="230"/>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0" w:type="dxa"/>
            <w:vAlign w:val="bottom"/>
          </w:tcPr>
          <w:p>
            <w:pPr>
              <w:spacing w:after="0"/>
              <w:rPr>
                <w:sz w:val="1"/>
                <w:szCs w:val="1"/>
                <w:color w:val="auto"/>
              </w:rPr>
            </w:pPr>
          </w:p>
        </w:tc>
      </w:tr>
      <w:tr>
        <w:trPr>
          <w:trHeight w:val="230"/>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r>
        <w:trPr>
          <w:trHeight w:val="229"/>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0"/>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3"/>
        </w:trPr>
        <w:tc>
          <w:tcPr>
            <w:tcW w:w="8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111,120</w:t>
            </w:r>
          </w:p>
        </w:tc>
        <w:tc>
          <w:tcPr>
            <w:tcW w:w="0" w:type="dxa"/>
            <w:vAlign w:val="bottom"/>
          </w:tcPr>
          <w:p>
            <w:pPr>
              <w:spacing w:after="0"/>
              <w:rPr>
                <w:sz w:val="1"/>
                <w:szCs w:val="1"/>
                <w:color w:val="auto"/>
              </w:rPr>
            </w:pPr>
          </w:p>
        </w:tc>
      </w:tr>
      <w:tr>
        <w:trPr>
          <w:trHeight w:val="230"/>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7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none issued</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4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 shares authorized, 5,443,362 shares issued and outstanding at</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October 2, 2020; 5,400,487 shares issued and outstanding at July 3, 2020</w:t>
            </w:r>
          </w:p>
        </w:tc>
        <w:tc>
          <w:tcPr>
            <w:tcW w:w="2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814,337</w:t>
            </w:r>
          </w:p>
        </w:tc>
        <w:tc>
          <w:tcPr>
            <w:tcW w:w="0" w:type="dxa"/>
            <w:vAlign w:val="bottom"/>
          </w:tcPr>
          <w:p>
            <w:pPr>
              <w:spacing w:after="0"/>
              <w:rPr>
                <w:sz w:val="1"/>
                <w:szCs w:val="1"/>
                <w:color w:val="auto"/>
              </w:rPr>
            </w:pPr>
          </w:p>
        </w:tc>
      </w:tr>
      <w:tr>
        <w:trPr>
          <w:trHeight w:val="230"/>
        </w:trPr>
        <w:tc>
          <w:tcPr>
            <w:tcW w:w="8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(730,741)</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0" w:type="dxa"/>
            <w:vAlign w:val="bottom"/>
          </w:tcPr>
          <w:p>
            <w:pPr>
              <w:spacing w:after="0"/>
              <w:rPr>
                <w:sz w:val="1"/>
                <w:szCs w:val="1"/>
                <w:color w:val="auto"/>
              </w:rPr>
            </w:pPr>
          </w:p>
        </w:tc>
      </w:tr>
      <w:tr>
        <w:trPr>
          <w:trHeight w:val="223"/>
        </w:trPr>
        <w:tc>
          <w:tcPr>
            <w:tcW w:w="8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68,681</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7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179,801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80" w:type="dxa"/>
            <w:vAlign w:val="bottom"/>
          </w:tcPr>
          <w:p>
            <w:pPr>
              <w:spacing w:after="0"/>
              <w:rPr>
                <w:sz w:val="11"/>
                <w:szCs w:val="11"/>
                <w:color w:val="auto"/>
              </w:rPr>
            </w:pPr>
          </w:p>
        </w:tc>
        <w:tc>
          <w:tcPr>
            <w:tcW w:w="138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220" w:type="dxa"/>
            <w:vAlign w:val="bottom"/>
          </w:tcPr>
          <w:p>
            <w:pPr>
              <w:spacing w:after="0"/>
              <w:rPr>
                <w:sz w:val="11"/>
                <w:szCs w:val="11"/>
                <w:color w:val="auto"/>
              </w:rPr>
            </w:pPr>
          </w:p>
        </w:tc>
        <w:tc>
          <w:tcPr>
            <w:tcW w:w="1340" w:type="dxa"/>
            <w:vAlign w:val="bottom"/>
          </w:tcPr>
          <w:p>
            <w:pPr>
              <w:jc w:val="right"/>
              <w:ind w:right="252"/>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product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58,614</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36,058</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 outstanding:</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138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220" w:type="dxa"/>
            <w:vAlign w:val="bottom"/>
          </w:tcPr>
          <w:p>
            <w:pPr>
              <w:spacing w:after="0"/>
              <w:rPr>
                <w:sz w:val="11"/>
                <w:szCs w:val="11"/>
                <w:color w:val="auto"/>
              </w:rPr>
            </w:pPr>
          </w:p>
        </w:tc>
        <w:tc>
          <w:tcPr>
            <w:tcW w:w="1340" w:type="dxa"/>
            <w:vAlign w:val="bottom"/>
          </w:tcPr>
          <w:p>
            <w:pPr>
              <w:jc w:val="right"/>
              <w:ind w:right="256"/>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cumulative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122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180" w:type="dxa"/>
            <w:vAlign w:val="bottom"/>
          </w:tcPr>
          <w:p>
            <w:pPr>
              <w:spacing w:after="0"/>
              <w:rPr>
                <w:sz w:val="11"/>
                <w:szCs w:val="11"/>
                <w:color w:val="auto"/>
              </w:rPr>
            </w:pPr>
          </w:p>
        </w:tc>
        <w:tc>
          <w:tcPr>
            <w:tcW w:w="1160" w:type="dxa"/>
            <w:vAlign w:val="bottom"/>
          </w:tcPr>
          <w:p>
            <w:pPr>
              <w:jc w:val="right"/>
              <w:ind w:right="131"/>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89"/>
        </w:trPr>
        <w:tc>
          <w:tcPr>
            <w:tcW w:w="84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(recovery from) uncollectible receivables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Charges for inventory and customer service inventory write-downs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disposition of property, plant and equipment, net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 or receivable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23"/>
        </w:trPr>
        <w:tc>
          <w:tcPr>
            <w:tcW w:w="8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Payments for acquisition of property, plant and equipment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1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0"/>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borrowings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repurchase of common stock</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9"/>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32,201</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34,740</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10"/>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October 2, 2020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220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376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10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5,400,487</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814,337</w:t>
            </w: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(730,741)</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(14,969)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68,681</w:t>
            </w:r>
          </w:p>
        </w:tc>
        <w:tc>
          <w:tcPr>
            <w:tcW w:w="0" w:type="dxa"/>
            <w:vAlign w:val="bottom"/>
          </w:tcPr>
          <w:p>
            <w:pPr>
              <w:spacing w:after="0"/>
              <w:rPr>
                <w:sz w:val="1"/>
                <w:szCs w:val="1"/>
                <w:color w:val="auto"/>
              </w:rPr>
            </w:pPr>
          </w:p>
        </w:tc>
      </w:tr>
      <w:tr>
        <w:trPr>
          <w:trHeight w:val="189"/>
        </w:trPr>
        <w:tc>
          <w:tcPr>
            <w:tcW w:w="3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5,936</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89"/>
        </w:trPr>
        <w:tc>
          <w:tcPr>
            <w:tcW w:w="3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48,491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35"/>
        </w:trPr>
        <w:tc>
          <w:tcPr>
            <w:tcW w:w="376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4"/>
                <w:szCs w:val="14"/>
                <w:color w:val="auto"/>
              </w:rPr>
              <w:t>Shares withheld for taxes related to vesting of equity</w:t>
            </w:r>
          </w:p>
        </w:tc>
        <w:tc>
          <w:tcPr>
            <w:tcW w:w="10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(5,616)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208"/>
        </w:trPr>
        <w:tc>
          <w:tcPr>
            <w:tcW w:w="3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as of October 2, 2020</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5,443,362</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815,203</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(724,805)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75,897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37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0"/>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September 27, 2019</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220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376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10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28,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5,359,695</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815,196</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(730,998)</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(12,736)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71,516</w:t>
            </w:r>
          </w:p>
        </w:tc>
        <w:tc>
          <w:tcPr>
            <w:tcW w:w="0" w:type="dxa"/>
            <w:vAlign w:val="bottom"/>
          </w:tcPr>
          <w:p>
            <w:pPr>
              <w:spacing w:after="0"/>
              <w:rPr>
                <w:sz w:val="1"/>
                <w:szCs w:val="1"/>
                <w:color w:val="auto"/>
              </w:rPr>
            </w:pPr>
          </w:p>
        </w:tc>
      </w:tr>
      <w:tr>
        <w:trPr>
          <w:trHeight w:val="189"/>
        </w:trPr>
        <w:tc>
          <w:tcPr>
            <w:tcW w:w="3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89"/>
        </w:trPr>
        <w:tc>
          <w:tcPr>
            <w:tcW w:w="3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Issuance of common stock under employee stock plans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192,812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5"/>
        </w:trPr>
        <w:tc>
          <w:tcPr>
            <w:tcW w:w="376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4"/>
                <w:szCs w:val="14"/>
                <w:color w:val="auto"/>
              </w:rPr>
              <w:t>Shares withheld for taxes related to vesting of equity</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awards</w:t>
            </w:r>
          </w:p>
        </w:tc>
        <w:tc>
          <w:tcPr>
            <w:tcW w:w="10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 repurchase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83"/>
        </w:trPr>
        <w:tc>
          <w:tcPr>
            <w:tcW w:w="37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Balance as of September 27, 2019</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5,444,671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814,113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(730,944)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top w:val="single" w:sz="8" w:color="auto"/>
              <w:bottom w:val="single" w:sz="8" w:color="auto"/>
            </w:tcBorders>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(13,249)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69,974</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8" w:name="page9"/>
    <w:bookmarkEnd w:id="8"/>
    <w:p>
      <w:pPr>
        <w:ind w:left="456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license-exempt applications, supporting new network deployments, network expansion, and capacity upgrades.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we have made estimates, assumptions and judgments affecting the amounts reported in our unaudited condensed consolidated financial statements and the accompanying notes, as discussed in greater detail below.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months ended October 2, 2020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our Annual Report on Form 10-K for the fiscal year ended July 3, 2020.</w:t>
      </w:r>
    </w:p>
    <w:p>
      <w:pPr>
        <w:spacing w:after="0" w:line="13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 owned and majority-owned subsidiaries. All intercompany transactions and accounts have been eliminated.</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operate on a 52-week or 53-week year ending on the Friday closest to June 30. The three months ended October 2, 2020 and September 27, 2019 both consisted of 13 weeks. Fiscal year 2021 will be comprised of 52 weeks and will end on July 2, 2021. Fiscal year 2020 was comprised of 53 weeks and ended on July 3,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lease liabilities, restructuring obligations, product warranty obligations, share-based awards, contingencies, recoverability of long-lived assets and useful lives of property, plant and equipment. The actual results that we experience may differ materially from our estimates.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of and for the three months ended October 2, 2020, as compared to the significant accounting policies described in our Annual Report on Form 10-K for the fiscal year ended July 3, 2020.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Accounting Standard Update (“ASU”) 2018-15, Intangibles-Goodwill and Other-Internal-Use Software (Subtopic 350-40): Customer’s Accounting for Implementation Costs Incurred in a Cloud Computing Arrangement That is a Service Contract. This guidance aligns the requirements for capitalizing implementation costs incurred in a hosting arrangement that is a service contract with the requirements for capitalizing implementation costs incurred to develop or obtain internal-use software. ASU 2018-15 became effective for us in our first quarter of fiscal 2021. We adopted this guidance during the first quarter of fiscal 2021. The adoption had no material impact on our unaudited condensed consolidated financial statements.</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(ASU 2018-13). The update eliminates, adds, and modifies certain disclosure requirements for fair value measurements. We adopted this update during the first quarter of fiscal 2021. The adoption had no material impact on our unaudited condensed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This guidance provides optional guidance related to reference rate reform, which provides practical expedients for contract modifications and certain hedging relationships associated with the transition from reference rates that are expected to be discontinued. This guidance is applicable for our borrowing instruments, which use LIBOR as a reference rate, and was effective March 12, 2020 through December 31, 2022. We are currently evaluating the potential impact ASU 2020-04 will have on our unaudited condensed consolidated financial statements.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This guidance simplifies the accounting for income taxes by removing certain exceptions to the general principles and also simplifies areas such as franchise taxes, step-up in tax basis goodwill, separate entity financial statements and interim recognition of enactment of tax laws and rate changes. ASU 2019-12 will be effective for us in our first quarter of fiscal 2022. We are currently evaluating the potential impact that adopting ASU 2019-12 will have on our unaudited condensed consolidated financial statements.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and also issued subsequent amendments to the initial guidance: ASU 2018-19, ASU 2019-04, and ASU 2019-05 (collectively,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326). Topic 326 requires measurement and recognition of expected credit losses for financial assets held. Topic 326 will be effective for us in our first quarter of fiscal 2024 and earlier adoption is permitted. We are evaluating the impact adopting Topic 326 will have on our unaudited condensed consolidated financial statements.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our cash, cash equivalents, and restricted cash reported within our unaudited condensed consolidated balance sheets that reconciles to the corresponding amount in our unaudited condensed consolidated statement of cash flows: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778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 in the Statement of Cash Flows</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77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net accounts receivable are summarized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47,041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46,502</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Allowances for collection losses</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220" w:type="dxa"/>
            <w:vAlign w:val="bottom"/>
            <w:tcBorders>
              <w:bottom w:val="single" w:sz="8" w:color="auto"/>
            </w:tcBorders>
            <w:shd w:val="clear" w:color="auto" w:fill="CCEEFF"/>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45,027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5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inventories are summarized below:</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122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0" w:type="dxa"/>
            <w:vAlign w:val="bottom"/>
          </w:tcPr>
          <w:p>
            <w:pPr>
              <w:spacing w:after="0"/>
              <w:rPr>
                <w:sz w:val="1"/>
                <w:szCs w:val="1"/>
                <w:color w:val="auto"/>
              </w:rPr>
            </w:pPr>
          </w:p>
        </w:tc>
      </w:tr>
      <w:tr>
        <w:trPr>
          <w:trHeight w:val="221"/>
        </w:trPr>
        <w:tc>
          <w:tcPr>
            <w:tcW w:w="754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inventories</w:t>
            </w:r>
          </w:p>
        </w:tc>
        <w:tc>
          <w:tcPr>
            <w:tcW w:w="1220" w:type="dxa"/>
            <w:vAlign w:val="bottom"/>
            <w:tcBorders>
              <w:bottom w:val="single" w:sz="8" w:color="auto"/>
            </w:tcBorders>
            <w:shd w:val="clear" w:color="auto" w:fill="CCEEFF"/>
          </w:tcPr>
          <w:p>
            <w:pPr>
              <w:jc w:val="right"/>
              <w:ind w:right="1038"/>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14,356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13,997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Consigned inventories included within raw materials and supplies</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vMerge w:val="continue"/>
          </w:tcPr>
          <w:p>
            <w:pPr>
              <w:spacing w:after="0"/>
              <w:rPr>
                <w:sz w:val="18"/>
                <w:szCs w:val="18"/>
                <w:color w:val="auto"/>
              </w:rPr>
            </w:pPr>
          </w:p>
        </w:tc>
        <w:tc>
          <w:tcPr>
            <w:tcW w:w="1220" w:type="dxa"/>
            <w:vAlign w:val="bottom"/>
          </w:tcPr>
          <w:p>
            <w:pPr>
              <w:jc w:val="right"/>
              <w:ind w:right="103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currently rely on a few vendors for substantially all of our inventory purchases.</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record charges to adjust our inventory and customer service inventory due to excess and obsolete inventory resulting from lower sales forecasts, product transitioning, or discontinuance. The charges during the three months ended October 2, 2020 and September 27, 2019 were classified in cost of product sales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3"/>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1"/>
                <w:szCs w:val="11"/>
                <w:color w:val="auto"/>
              </w:rPr>
            </w:pPr>
          </w:p>
        </w:tc>
        <w:tc>
          <w:tcPr>
            <w:tcW w:w="1560" w:type="dxa"/>
            <w:vAlign w:val="bottom"/>
            <w:gridSpan w:val="2"/>
          </w:tcPr>
          <w:p>
            <w:pPr>
              <w:jc w:val="center"/>
              <w:ind w:right="440"/>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280" w:type="dxa"/>
            <w:vAlign w:val="bottom"/>
          </w:tcPr>
          <w:p>
            <w:pPr>
              <w:spacing w:after="0"/>
              <w:rPr>
                <w:sz w:val="11"/>
                <w:szCs w:val="11"/>
                <w:color w:val="auto"/>
              </w:rPr>
            </w:pPr>
          </w:p>
        </w:tc>
        <w:tc>
          <w:tcPr>
            <w:tcW w:w="1520" w:type="dxa"/>
            <w:vAlign w:val="bottom"/>
          </w:tcPr>
          <w:p>
            <w:pPr>
              <w:jc w:val="center"/>
              <w:ind w:right="195"/>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Excess and obsolete inventory charges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Customer service inventory write-downs</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inventory charges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property, plant and equipment, net are summarized below:</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24"/>
                <w:szCs w:val="24"/>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280" w:type="dxa"/>
            <w:vAlign w:val="bottom"/>
          </w:tcPr>
          <w:p>
            <w:pPr>
              <w:spacing w:after="0"/>
              <w:rPr>
                <w:sz w:val="24"/>
                <w:szCs w:val="24"/>
                <w:color w:val="auto"/>
              </w:rPr>
            </w:pPr>
          </w:p>
        </w:tc>
        <w:tc>
          <w:tcPr>
            <w:tcW w:w="152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52,293</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82,627</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(65,716)</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 w:name="page12"/>
    <w:bookmarkEnd w:id="11"/>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Included in the total plant, property and equipment above were $0.7 million and $3.5 million of assets in progress which have not been placed in service as of October 2, 2020 and July 3, 2020, respectively. Depreciation and amortization expense related to property, plant and equipment, including amortization of software developed for internal use, was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3700" w:type="dxa"/>
            <w:vAlign w:val="bottom"/>
            <w:tcBorders>
              <w:bottom w:val="single" w:sz="8" w:color="auto"/>
            </w:tcBorders>
            <w:gridSpan w:val="5"/>
          </w:tcPr>
          <w:p>
            <w:pPr>
              <w:jc w:val="right"/>
              <w:ind w:right="1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4"/>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jc w:val="center"/>
              <w:ind w:left="501"/>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tcPr>
          <w:p>
            <w:pPr>
              <w:jc w:val="center"/>
              <w:ind w:right="197"/>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378"/>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accrued expenses are summarized below:</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agent commissions</w:t>
            </w: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warranties</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1220" w:type="dxa"/>
            <w:vAlign w:val="bottom"/>
            <w:tcBorders>
              <w:bottom w:val="single" w:sz="8" w:color="auto"/>
            </w:tcBorders>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Warranties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accrue for the estimated cost to repair or replace products under warranty. Changes in our warranty liability, which is included as a component of accrued expenses in our unaudited condensed consolidated balance sheets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3700" w:type="dxa"/>
            <w:vAlign w:val="bottom"/>
            <w:tcBorders>
              <w:bottom w:val="single" w:sz="8" w:color="auto"/>
            </w:tcBorders>
            <w:gridSpan w:val="5"/>
          </w:tcPr>
          <w:p>
            <w:pPr>
              <w:jc w:val="right"/>
              <w:ind w:right="1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3"/>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jc w:val="center"/>
              <w:ind w:left="500"/>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tcPr>
          <w:p>
            <w:pPr>
              <w:jc w:val="center"/>
              <w:ind w:right="197"/>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122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provision recorded during the period</w:t>
            </w: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Consumption during the period</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1220" w:type="dxa"/>
            <w:vAlign w:val="bottom"/>
            <w:tcBorders>
              <w:bottom w:val="single" w:sz="8" w:color="auto"/>
            </w:tcBorders>
          </w:tcPr>
          <w:p>
            <w:pPr>
              <w:jc w:val="right"/>
              <w:ind w:righ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Payments and Unearned Revenue</w:t>
            </w: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5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advance payments and unearned revenue are summarized below:</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w:t>
            </w:r>
          </w:p>
        </w:tc>
        <w:tc>
          <w:tcPr>
            <w:tcW w:w="122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22,421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advance payments and unearned revenue</w:t>
            </w:r>
          </w:p>
        </w:tc>
        <w:tc>
          <w:tcPr>
            <w:tcW w:w="1220" w:type="dxa"/>
            <w:vAlign w:val="bottom"/>
            <w:tcBorders>
              <w:bottom w:val="single" w:sz="8" w:color="auto"/>
            </w:tcBorders>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Excluded from the balances above are $8.2 million and $8.1 million in long-term unearned revenue as of October 2, 2020 and July 3, 2020, respectively.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 of Assets and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observable inputs that are corroborated by market data; and</w:t>
      </w:r>
    </w:p>
    <w:p>
      <w:pPr>
        <w:spacing w:after="0" w:line="6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amounts, estimated fair values, and valuation input levels of our assets and liabilities that are measured at fair value on a recurring basis as of October 2, 2020 and July 3, 2020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July 3, 2020</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58"/>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20" w:type="dxa"/>
            <w:vAlign w:val="bottom"/>
          </w:tcPr>
          <w:p>
            <w:pPr>
              <w:spacing w:after="0"/>
              <w:rPr>
                <w:sz w:val="24"/>
                <w:szCs w:val="24"/>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Inputs</w:t>
            </w:r>
          </w:p>
        </w:tc>
      </w:tr>
      <w:tr>
        <w:trPr>
          <w:trHeight w:val="214"/>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r>
      <w:tr>
        <w:trPr>
          <w:trHeight w:val="230"/>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bl>
    <w:p>
      <w:pPr>
        <w:spacing w:after="0" w:line="1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classify items within Level 1 if quoted prices are available in active markets. Our Level 1 items mainly are money market funds. As of October 2, 2020 and July 3, 2020, these money market funds were valued at $1.00 net asset value per share.</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2, 2020 and July 3, 2020, we did not have any recurring assets or liabilities that were valued using significant unobservable inputs.</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policy is to recognize asset or liability transfers among Level 1, Level 2, and Level 3 as of the actual date of the events or change in circumstances that caused the transfer. During the first three months of fiscal 2021 and 2020, we had no transfers between levels of the fair value hierarchy of our assets or liabilities measured at fair value.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has facilities under non-cancelable operating lease agreements. These leases have varying terms that range from one to 20 years and contain leasehold improvement incentives, rent holidays and escalation clauses.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determine if an arrangement contains a lease at inception. These operating leases are included in "Right of use assets" (“ROU”) on our unaudited condensed consolidated balance sheets and represent our right to use the underlying asset for the lease term. Our obligations to make lease payments are included in "Short-term lease liabilities" and "Long-term lease liabilities" on our unaudited condensed consolidated balance sheets. We did not enter into any finance leases during the three months ended October 2, 2020.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3" w:name="page14"/>
    <w:bookmarkEnd w:id="13"/>
    <w:p>
      <w:pPr>
        <w:ind w:left="500"/>
        <w:spacing w:after="0"/>
        <w:rPr>
          <w:sz w:val="20"/>
          <w:szCs w:val="20"/>
          <w:color w:val="auto"/>
        </w:rPr>
      </w:pPr>
      <w:r>
        <w:rPr>
          <w:rFonts w:ascii="Times New Roman" w:cs="Times New Roman" w:eastAsia="Times New Roman" w:hAnsi="Times New Roman"/>
          <w:sz w:val="18"/>
          <w:szCs w:val="18"/>
          <w:color w:val="auto"/>
        </w:rPr>
        <w:t>The following summarizes our lease costs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Pr>
          <w:p>
            <w:pPr>
              <w:spacing w:after="0"/>
              <w:rPr>
                <w:sz w:val="16"/>
                <w:szCs w:val="16"/>
                <w:color w:val="auto"/>
              </w:rPr>
            </w:pPr>
          </w:p>
        </w:tc>
        <w:tc>
          <w:tcPr>
            <w:tcW w:w="3920" w:type="dxa"/>
            <w:vAlign w:val="bottom"/>
            <w:tcBorders>
              <w:bottom w:val="single" w:sz="8" w:color="auto"/>
            </w:tcBorders>
            <w:gridSpan w:val="5"/>
          </w:tcPr>
          <w:p>
            <w:pPr>
              <w:jc w:val="right"/>
              <w:ind w:right="12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732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27, 2019</w:t>
            </w:r>
          </w:p>
        </w:tc>
      </w:tr>
      <w:tr>
        <w:trPr>
          <w:trHeight w:val="182"/>
        </w:trPr>
        <w:tc>
          <w:tcPr>
            <w:tcW w:w="7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540" w:type="dxa"/>
            <w:vAlign w:val="bottom"/>
          </w:tcPr>
          <w:p>
            <w:pPr>
              <w:spacing w:after="0"/>
              <w:rPr>
                <w:sz w:val="15"/>
                <w:szCs w:val="15"/>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48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14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4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costs</w:t>
            </w:r>
          </w:p>
        </w:tc>
        <w:tc>
          <w:tcPr>
            <w:tcW w:w="1480" w:type="dxa"/>
            <w:vAlign w:val="bottom"/>
            <w:tcBorders>
              <w:bottom w:val="single" w:sz="8" w:color="auto"/>
            </w:tcBorders>
          </w:tcPr>
          <w:p>
            <w:pPr>
              <w:jc w:val="right"/>
              <w:ind w:right="12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0"/>
        </w:trPr>
        <w:tc>
          <w:tcPr>
            <w:tcW w:w="7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our lease term and discount rate for three months ended October 2, 2020:</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years</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bl>
    <w:p>
      <w:pPr>
        <w:spacing w:after="0" w:line="38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October 2, 2020, our future minimum lease payments under all non-cancelable operating leases with an initial term in excess of one year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7"/>
        </w:trPr>
        <w:tc>
          <w:tcPr>
            <w:tcW w:w="9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(In thousands)</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23"/>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48"/>
        </w:trPr>
        <w:tc>
          <w:tcPr>
            <w:tcW w:w="9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Credit Facility and Debt</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May 4, 2020, we entered into Amendment No. 3 to Third Amended and Restated Loan and Security Agreement with Silicon Valley Bank (the “SVB Credit Facility”) which extended the expiration date to June 28, 2021. The SVB Credit Facility provides for a $25.0 million accounts receivable formula-based revolving credit facility that can be borrowed by our U.S. company, with a $25.0 million sublimit that can be borrowed by our Singapore subsidiary.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sublimit. We may prepay loans under the SVB Credit Facility in whole or in part at any time without premium or penalty. As of October 2, 2020, available credit under the SVB Credit Facility was $23.5 million, reflecting the lower available limit of $25.0 million less outstanding letters of credit of $1.5 million. As of July 3, 2020, our outstanding debt balance under the SVB Credit Facility, classified as a current liability, was $9.0 million, and the interest rate was 3.75%. We repaid the outstanding debt balance during the quarter ended October 2, 2020.</w:t>
      </w:r>
    </w:p>
    <w:p>
      <w:pPr>
        <w:spacing w:after="0" w:line="14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applicable prime or LIBOR rate. During the first three months of fiscal 2021, the weighted-average interest rate on our outstanding loan was 3.75%.</w:t>
      </w:r>
    </w:p>
    <w:p>
      <w:pPr>
        <w:spacing w:after="0" w:line="17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October 2, 2020, we were in compliance with the quarterly financial covenants contained in the SVB Credit Facility, as amended.</w:t>
      </w:r>
    </w:p>
    <w:p>
      <w:pPr>
        <w:spacing w:after="0" w:line="13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also obtained an uncommitted short-term line of credit $0.3 million from a bank in New Zealand to support the operations of our New Zealand subsidiary. This line of credit provides for up to $0.2 million in short-term advances at various interest rates, all of which was available as of October 2, 2020 and July 3, 2020. The line of credit also provides for the issuance of standby letters of credit and company credit cards, of which $0.1 million was outstanding as of October 2, 2020 and July 3, 2020. This line of credit may be terminated upon notice, is reviewed annually for renewal or modification, and is supported by a corporate guarantee.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Performance Obligations, and Backlog</w:t>
      </w:r>
    </w:p>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liabilities from contracts with customers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320" w:type="dxa"/>
            <w:vAlign w:val="bottom"/>
          </w:tcPr>
          <w:p>
            <w:pPr>
              <w:spacing w:after="0"/>
              <w:rPr>
                <w:sz w:val="16"/>
                <w:szCs w:val="16"/>
                <w:color w:val="auto"/>
              </w:rPr>
            </w:pPr>
          </w:p>
        </w:tc>
        <w:tc>
          <w:tcPr>
            <w:tcW w:w="14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July 3, 2020</w:t>
            </w: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44,661</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28,085</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commissions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w:t>
            </w: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 long-term</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w:t>
            </w:r>
          </w:p>
        </w:tc>
      </w:tr>
    </w:tbl>
    <w:p>
      <w:pPr>
        <w:spacing w:after="0" w:line="13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Significant changes in contract balances may arise as a result of recognition over time for services, transfer of control for equipment, and periodic payments (both in arrears and in advance).</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may experience unforeseen events that could result in a change to the scope or price associated with an arrangement. When such events occur, we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2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October 2, 2020, we had $33.4 million in advance payments and unearned revenue and long-term unearned revenue, of which approximately 68% is expected to be recognized as revenue in the remainder of fiscal 2021 and the balance thereafter. During the three months ended October 2, 2020 we recognized approximately $11.4 million which was included in advance payments and unearned revenue at the beginning of the reporting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5" w:name="page16"/>
    <w:bookmarkEnd w:id="15"/>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aggregate amount of transaction price allocated to our unsatisfied (or partially unsatisfied) performance obligations was approximately $75.4 million at October 2, 2020. Of this amount, we expect to recognize approximately 60% as revenue during the next 12 months, with the remaining amount to be recognized as revenue within two to five years.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Segment and Geographic Information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operate in one reportable business segment: the design, manufacturing, and sale of a range of wireless networking products, solutions, and services. Our financial performance is regularly reviewed by our chief operating decision maker who is our chief executive officer.</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report revenue by region and country based on the location where our customers accept delivery of our products and services. Revenue by region for the three months ended October 2, 2020 and September 27, 2019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9"/>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200" w:type="dxa"/>
            <w:vAlign w:val="bottom"/>
          </w:tcPr>
          <w:p>
            <w:pPr>
              <w:spacing w:after="0"/>
              <w:rPr>
                <w:sz w:val="16"/>
                <w:szCs w:val="16"/>
                <w:color w:val="auto"/>
              </w:rPr>
            </w:pPr>
          </w:p>
        </w:tc>
        <w:tc>
          <w:tcPr>
            <w:tcW w:w="16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27, 2019</w:t>
            </w: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39,767</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 and the Middle East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and Russia</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r>
      <w:tr>
        <w:trPr>
          <w:trHeight w:val="248"/>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loss of a significant portion of business from any significant customers could adversely affect our unaudited condensed consolidated financial statements.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Customers accounting for 10% or more of our total revenue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800" w:type="dxa"/>
            <w:vAlign w:val="bottom"/>
            <w:tcBorders>
              <w:bottom w:val="single" w:sz="8" w:color="auto"/>
            </w:tcBorders>
            <w:gridSpan w:val="3"/>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7440" w:type="dxa"/>
            <w:vAlign w:val="bottom"/>
          </w:tcPr>
          <w:p>
            <w:pPr>
              <w:spacing w:after="0"/>
              <w:rPr>
                <w:sz w:val="16"/>
                <w:szCs w:val="16"/>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9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September 27, 2019</w:t>
            </w:r>
          </w:p>
        </w:tc>
      </w:tr>
      <w:tr>
        <w:trPr>
          <w:trHeight w:val="223"/>
        </w:trPr>
        <w:tc>
          <w:tcPr>
            <w:tcW w:w="74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Mobile Telephone Networks Group (MTN Group)</w:t>
            </w:r>
          </w:p>
        </w:tc>
        <w:tc>
          <w:tcPr>
            <w:tcW w:w="1780" w:type="dxa"/>
            <w:vAlign w:val="bottom"/>
            <w:tcBorders>
              <w:top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90" w:lineRule="exact"/>
        <w:rPr>
          <w:sz w:val="20"/>
          <w:szCs w:val="20"/>
          <w:color w:val="auto"/>
        </w:rPr>
      </w:pPr>
    </w:p>
    <w:p>
      <w:pPr>
        <w:ind w:left="480" w:hanging="229"/>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171"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accounting for 10% or more of our accounts receivable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July 3, 2020</w:t>
            </w:r>
          </w:p>
        </w:tc>
      </w:tr>
      <w:tr>
        <w:trPr>
          <w:trHeight w:val="228"/>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MTN Group</w:t>
            </w: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May 2018, our board of directors approved a stock repurchase program, which does not have an expiration date, for the repurchase of up to $7.5 million of our common stock.</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repurchased shares were retired. As of October 2, 2020, $3.4 million remained available under our stock repurchase program. The repurchase program has been suspended temporarily since February 2020. Therefore, during the first three months of fiscal 2021, we did not repurchase any shares of our common stock in the open market.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Programs</w:t>
      </w:r>
    </w:p>
    <w:p>
      <w:pPr>
        <w:spacing w:after="0" w:line="1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At October 2, 2020, we had one stock incentive plan for our employees and non-employee directors, the 2018 Incentive Plan (the “2018 Plan”). The 2018 Plan was approved by the stockholders at the fiscal year 2017 Annual Stockholders’ Meeting and it added 500,000 shares to the equity pool of shares available to grant to employees and non-</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employee directors. The 2018 Plan also provides for the issuance of share-based awards in the form of stock options, stock appreciation rights, restricted stock awards and units, and performance share awards and units.</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the 2018 Plan, option exercise prices are equal to the fair market value of our common stock on the date the options are granted using our closing stock price. After vesting, options generally may be exercised within seven years after the date of grant.</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to non-executive board members annually generally vest on the day before the annual stockholders’ meeting.</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Vesting of performance share awards and units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2, 2020, we granted 37,506 restricted stock units, 35,565 performance restricted stock units and 111,811 stock options to purchase shares of our common stock.</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compensation expense for share-based awards included in our unaudited condensed consolidated statements of operations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jc w:val="right"/>
              <w:ind w:right="38"/>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7520" w:type="dxa"/>
            <w:vAlign w:val="bottom"/>
            <w:tcBorders>
              <w:bottom w:val="single" w:sz="8" w:color="CCEEFF"/>
            </w:tcBorders>
            <w:gridSpan w:val="3"/>
            <w:vMerge w:val="continue"/>
          </w:tcPr>
          <w:p>
            <w:pPr>
              <w:spacing w:after="0"/>
              <w:rPr>
                <w:sz w:val="16"/>
                <w:szCs w:val="16"/>
                <w:color w:val="auto"/>
              </w:rPr>
            </w:pPr>
          </w:p>
        </w:tc>
        <w:tc>
          <w:tcPr>
            <w:tcW w:w="13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By Expense Category:</w:t>
            </w:r>
          </w:p>
        </w:tc>
        <w:tc>
          <w:tcPr>
            <w:tcW w:w="58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1340" w:type="dxa"/>
            <w:vAlign w:val="bottom"/>
          </w:tcPr>
          <w:p>
            <w:pPr>
              <w:jc w:val="right"/>
              <w:ind w:right="115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400" w:type="dxa"/>
            <w:vAlign w:val="bottom"/>
          </w:tcPr>
          <w:p>
            <w:pPr>
              <w:jc w:val="right"/>
              <w:ind w:right="11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340" w:type="dxa"/>
            <w:vAlign w:val="bottom"/>
            <w:tcBorders>
              <w:bottom w:val="single" w:sz="8" w:color="auto"/>
            </w:tcBorders>
            <w:shd w:val="clear" w:color="auto" w:fill="CCEEFF"/>
          </w:tcPr>
          <w:p>
            <w:pPr>
              <w:jc w:val="right"/>
              <w:ind w:right="115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2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By Types of Award:</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52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w:t>
            </w:r>
          </w:p>
        </w:tc>
        <w:tc>
          <w:tcPr>
            <w:tcW w:w="1340" w:type="dxa"/>
            <w:vAlign w:val="bottom"/>
            <w:shd w:val="clear" w:color="auto" w:fill="CCEEFF"/>
          </w:tcPr>
          <w:p>
            <w:pPr>
              <w:jc w:val="right"/>
              <w:ind w:right="115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Restricted and performance stock awards and units</w:t>
            </w:r>
          </w:p>
        </w:tc>
        <w:tc>
          <w:tcPr>
            <w:tcW w:w="1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340" w:type="dxa"/>
            <w:vAlign w:val="bottom"/>
            <w:tcBorders>
              <w:bottom w:val="single" w:sz="8" w:color="auto"/>
            </w:tcBorders>
            <w:shd w:val="clear" w:color="auto" w:fill="CCEEFF"/>
          </w:tcPr>
          <w:p>
            <w:pPr>
              <w:jc w:val="right"/>
              <w:ind w:right="115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October 2, 2020, there was approximately $1.5 million of total unrecognized compensation expense related to non-vested stock options granted which are expected to be recognized over a weighted-average period of 2.3 years. As of October 2, 2020, there was $3.1 million of total unrecognized compensation expense related to non-vested stock awards which are expected to be recognized over a weighted-average period of 2.1 years.</w:t>
      </w:r>
    </w:p>
    <w:p>
      <w:pPr>
        <w:spacing w:after="0" w:line="36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September 6, 2016, our Board of Directors authorized and declared a dividend distribution of one right (a “Right”) for each outstanding share of our common stock, par value $0.01 per share (the “Common Shares”), to our stockholders of record as of the close of business on September 16, 2016 (the “Record Date”). Each Right entitles the registered holder to purchase from the Company one one-thousandth of a share of Series A Participating Preferred Stock, par value $0.01 per share (the “Preferred Shares”), of the Company at an exercise price of $35.00 (the “Exercise Price”) per one one-thousandth of a Preferred Share, subject to adjustment. Until the rights become exercisable, they will not be evidenced by separate certificates and will trade automatically with shares of the Company’s common stock. The Rights have a de minimis fair value. The complete terms of the Rights are set forth in a Tax Benefit Preservation Plan (the “Plan”), dated as of September 6, 2016, between the Company and Computershare Inc., as rights agent. By adopting the Plan, we are helping to preserve the value of certain deferred tax benefits, including those generated by net operating losses (collectively, the “Tax Benefits”), which could be lost in the event of an “ownership change” as defined under Section 382 of the Internal Revenue Code of 1986, as amended. The Plan reduces the likelihood that changes in our investor base have the unintended effect of limiting our use of the Tax Benefits. The Plan expired on September 6, 2019. On March 3, 2020, our Board of Directors reauthorized the Plan at the same term with a Record Date of March 13, 2020. On August 27, 2020, we entered into the Amended and Restated Tax Benefit Preservation Plan (the “Amended and Restated Plan”) with Computershare Inc. as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7" w:name="page18"/>
    <w:bookmarkEnd w:id="17"/>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Amended and Restated Plan, reauthorized by our Board of Directors on March 3, 2020, will be subject to our shareholders approval at our upcoming Annual Shareholders’ Meeting to be held on November 11, 2020.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Restructuring Activities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restructuring-related activities during the three months ended October 2, 2020:</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40" w:type="dxa"/>
            <w:vAlign w:val="bottom"/>
            <w:gridSpan w:val="8"/>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Severance and Benefits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Facilities and</w:t>
            </w:r>
          </w:p>
        </w:tc>
        <w:tc>
          <w:tcPr>
            <w:tcW w:w="220" w:type="dxa"/>
            <w:vAlign w:val="bottom"/>
          </w:tcPr>
          <w:p>
            <w:pPr>
              <w:spacing w:after="0"/>
              <w:rPr>
                <w:sz w:val="13"/>
                <w:szCs w:val="13"/>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Q4 2020 Plan</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Q3 2020 Plan</w:t>
            </w:r>
          </w:p>
        </w:tc>
        <w:tc>
          <w:tcPr>
            <w:tcW w:w="9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Fiscal 2018-</w:t>
            </w:r>
          </w:p>
        </w:tc>
        <w:tc>
          <w:tcPr>
            <w:tcW w:w="9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Fiscal 2015-</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100" w:type="dxa"/>
            <w:vAlign w:val="bottom"/>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2019 Plan</w:t>
            </w:r>
          </w:p>
        </w:tc>
        <w:tc>
          <w:tcPr>
            <w:tcW w:w="20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2016 Plan</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balance, July 3, 2020</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center"/>
              <w:ind w:left="416"/>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29"/>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left="376"/>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impact</w:t>
            </w:r>
          </w:p>
        </w:tc>
        <w:tc>
          <w:tcPr>
            <w:tcW w:w="2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16"/>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balance, October 2, 2020</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center"/>
              <w:ind w:left="41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October 2, 2020, the accrual balance of $1.8 million was in short-term restructuring liabilities on our unaudited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2020 Plan</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2020, our Board of Directors approved a restructuring plan (the “Q4 2020 Plan”) in order to continue to reduce our operating costs and improve profitability to optimize our business model and increase efficiencies. The Q4 2020 Plan is being implemented starting with our fourth fiscal quarter of 2020 through the second fiscal quarter of 2021. Payments related to the accrued restructuring liability balance for this plan are expected to be fully paid in fiscal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2020 Plan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2020, our Board of Directors approved a restructuring plan (the “Q3 2020 Plan”) in order to reduce our operating costs and improve profitability to optimize our business model and increase efficiencies. Payments related to the accrued restructuring liability balance for this plan are expected to be fully paid in fiscal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2020 Plan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2019, our Board of Directors approved a restructuring plan (the “Fiscal 2020 Plan”) to primarily consolidate product development, right size our resources to support our international business and other support functions. Payments related to the accrued restructuring liability balance for this plan are expected to be fully paid in fiscal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2018-2019 Plan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2018, our Board of Directors approved a restructuring plan (the “Fiscal 2018-2019 Plan”) to consolidate back-office support functions and align resources by geography to lower our expense structure. We completed the restructuring activities under the Fiscal 2018-2019 Plan at the end of fiscal 2019. Payments related to the accrued restructuring liability balance for this plan are expected to be fully paid in fiscal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2015-2016 Plan</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January 2018, we reached a settlement with certain foreign government for grant liabilities which allowed us to reduce our estimated payments relating to prior years’ restructuring plan by $0.3 million. 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included reductions in workforce across the Company, but primarily in operations outside the United States. We completed the restructuring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activities under the Fiscal 2015-2016 Plan as of July 1, 2016. Payments related to the accrued restructuring liability balance for this plan are expected to be paid in fiscal 2021.</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further information, see “Note 7. Restructuring Activities” in Part II, Item 8 of our 2020 Form 10-K.</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effective tax rate varies from the U.S. federal statutory rate of 21% primarily due to results of foreign operations that are subject to income taxes at different statutory rates, certain jurisdictions where we cannot recognize tax benefits on current losses, and partial valuation allowance against US federal and state deferred tax assets. During interim periods, we accrue tax expenses for jurisdictions that are anticipated to be profitable for fiscal 2021.</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determination of our income taxes for the three months ended October 2, 2020 and September 27, 2019 was based on our estimated annual effective tax rate adjusted for losses in certain jurisdictions for which no tax benefit can be recognized. Our tax expense for the three months ended October 2, 2020 was primarily due to tax expense related to profitable subsidiaries. The tax expense for the three months ended September 27, 2019 was primarily due to tax expense related to profitable subsidiaries and $0.6 million increase in our reserves for uncertain tax positions.</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continue to record a partial valuation allowance on our U.S. deferred tax assets which primarily represent future income tax benefits associated with our operating losses. Realization of our deferred tax assets is dependent on generating sufficient pre-tax book income in future periods. Although we believe it is more likely than not that future income will be sufficient to allow us to recover the value of a portion of our U.S. deferred tax assets, realization is not assured and future events could cause us to change our judgment. If future events cause us to conclude that it is not more likely than not that we will be able to recover more or less of the current anticipated portion of deferred tax assets, we would be required to either decrease or increase the valuation allowance on our deferred tax assets at that time, which would result in a charge to income tax expense and a material increase or decrease in net income in the period in which we change our judgment. During the first quarter of fiscal 2021, we did not record any adjustment to valuation allowance on our U.S. deferred tax assets.</w:t>
      </w:r>
    </w:p>
    <w:p>
      <w:pPr>
        <w:spacing w:after="0" w:line="1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entered into a tax sharing agreement with Harris Corporation (“Harris”) effective on January 26, 2007, the acquisition date of Stratex Networks, Inc. (“Stratex”). The tax sharing agreement addresses, among other things, the settlement process associated with pre-merger tax liabilities and tax attributes that were attributable to the Microwave Communication Division when it was a division of Harris. There have been no settlement payments recorded since the acquisition date.</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 number of open income tax audits covering various tax years, which vary from jurisdiction to jurisdiction. Our major tax jurisdictions that are open and subject to potential audits include the U.S., Singapore, Nigeria, Saudi Arabia and the Ivory Coast. The earliest years for these jurisdictions are as follows: U.S. - 2003; Singapore - 2015; Nigeria - 2006: Saudi Arabia - 2014, and Ivory Coast - 2017.</w:t>
      </w:r>
    </w:p>
    <w:p>
      <w:pPr>
        <w:spacing w:after="0" w:line="12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During the first quarter of 2021, we received a tax refund of $1.2 million from the Federal Revenue of Brazil related to our withholding tax refund claim and recorded minimal tax expense related to interest as a discrete item.</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account for interest and penalties related to unrecognized tax benefits as part of our provision for federal, foreign and state income taxes. Such interest expense was not material for the three months ended October 2, 2020 and September 27, 2019.</w:t>
      </w:r>
    </w:p>
    <w:p>
      <w:pPr>
        <w:spacing w:after="0" w:line="10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March 27, 2020, the US enacted the Coronavirus Aid, Relief, and Economic Security (CARES) Act which provided certain tax relief measures including, but not limited to, (1) a five-year net operating loss carryback, (2) changes in the deduction of interest, (3) acceleration of alternative minimum tax credit (AMT) refunds, and (4) a technical correction to allow accelerated deductions for qualified improvement property. The Tax Cuts and Jobs Act repealed the corporate AMT credit and allowed taxpayers to claim any unused AMT credit over four tax years beginning in tax year 2018. The CARES Act allows for acceleration of the refundable AMT credit up to 100% of the AMT credit to be refunded in tax year 2018. During the third quarter of fiscal 2020, in connection with our analysis of the impact of the CARES Act, we reclassified the refundable AMT credit of $3.4 million from long-term to short-term receivable and recorded no income tax effects on the other tax relief measures of the CARES Act. We continue to examine the elements of CARES Act and the impact they may have on our future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9" w:name="page20"/>
    <w:bookmarkEnd w:id="19"/>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Income Per Share of Common Stock</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income per share is computed using the two-class method, by dividing net income attributable to us by the weighted-average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as the unvested restricted shares are not contractually obligated to share our losses. The impact on earnings per share of the participating securities under the two-class method was immaterial.</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per share: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3700" w:type="dxa"/>
            <w:vAlign w:val="bottom"/>
            <w:tcBorders>
              <w:bottom w:val="single" w:sz="8" w:color="auto"/>
            </w:tcBorders>
            <w:gridSpan w:val="5"/>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3"/>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28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tcPr>
          <w:p>
            <w:pPr>
              <w:jc w:val="right"/>
              <w:ind w:right="375"/>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1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12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 outstanding:</w:t>
            </w:r>
          </w:p>
        </w:tc>
        <w:tc>
          <w:tcPr>
            <w:tcW w:w="1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equity awards that were excluded from the diluted net income per share calculations since they were anti-dilutive: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3300" w:type="dxa"/>
            <w:vAlign w:val="bottom"/>
            <w:tcBorders>
              <w:bottom w:val="single" w:sz="8" w:color="auto"/>
            </w:tcBorders>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jc w:val="center"/>
              <w:ind w:left="388"/>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center"/>
              <w:ind w:left="328"/>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540" w:type="dxa"/>
            <w:vAlign w:val="bottom"/>
            <w:vMerge w:val="continue"/>
          </w:tcPr>
          <w:p>
            <w:pPr>
              <w:spacing w:after="0"/>
              <w:rPr>
                <w:sz w:val="16"/>
                <w:szCs w:val="16"/>
                <w:color w:val="auto"/>
              </w:rPr>
            </w:pPr>
          </w:p>
        </w:tc>
        <w:tc>
          <w:tcPr>
            <w:tcW w:w="13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96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stock units</w:t>
            </w:r>
          </w:p>
        </w:tc>
        <w:tc>
          <w:tcPr>
            <w:tcW w:w="1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shares of common stock excluded</w:t>
            </w:r>
          </w:p>
        </w:tc>
        <w:tc>
          <w:tcPr>
            <w:tcW w:w="13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Orders and Other Commitments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October 2, 2020, we had outstanding purchase obligations with our suppliers or contract manufacturers of $23.5 million. In addition, we had contractual obligations of approximately $1.4 million associated with software licenses as of October 2, 2020.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 and Commercial Commitments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October 2, 2020, we had no guarantees applicable to our debt arrangements.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October 2, 2020, we had commercial commitments of $58.7 million outstanding that were not recorded on our unaudited condensed consolidated balance sheets. We do not believe, based on historical experience and information currently available, that it is probable that any significant amounts will be required to be paid on these performance guarantees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October 2, 2020,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October 2, 2020, we had not recorded any liabilities related to these indemnifications.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from time to time to disputes with customers concerning our products and services. In May 2016, we received notification of a claim for damages from a customer alleging that certain of our products were defective. Although we believe that we have numerous contractual and legal defenses to these disputes, at this time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("FEMA").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4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Periodically, we review the status of each significant matter to assess the potential financial exposure. If a potential loss is considered probable and the amount can be reasonably estimated, we reflect the estimated loss in our unaudited condensed consolidated statement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characterized a recent pandemic of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may have an impact on our operations, supply chains and distribution systems and increase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 with certainty, including, but not limited to, the duration and spread of the pandemic, its severity, the actions to contain the virus or treat its impact, and how quickly and to what extent normal economic and operating activities can resume. Management is actively monitoring the impact of COVID-19 pandemic on our financial condition, liquidity, operations, suppliers, industry, and workforce.</w:t>
      </w:r>
    </w:p>
    <w:p>
      <w:pPr>
        <w:spacing w:after="0" w:line="14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first priority remains the health and safety of our employees and their families. Employees whose tasks can be done off-site have been instructed to work from home. Our manufacturing sites support essential businesses and remain operational. We are maintaining social distancing for workers on-site and have enhanced cleaning protocols and usage of personal protective equipment, where appropriate.</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impact to our supply chain lead times and ability to fulfill orders was minimal for the three months ended October 2, 2020. However, depending on pandemic-related factors like the uncertain duration of temporary manufacturing restrictions as well as our ability to perform field services during shelter in place orders, we could experience constraints and delays in fulfilling customer orders in future periods. We continue to monitor, assess and adapt to the situation and prepare for implications to our business, supply chain and customer demand. We expect these challenges to continue until business and economic activities return to more normal levels. The financial results for the three months ended October 2, 2020 reflect some of the reduced activity experienced during the period in various locations around the world and are not necessarily indicative of the results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 Important factors that could cause actual results to differ materially from estimates or projections contained in the forward-looking statements include, but are not limited to, the following:</w:t>
      </w:r>
    </w:p>
    <w:p>
      <w:pPr>
        <w:spacing w:after="0" w:line="2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COVID-19 on our business, operations and cash flows;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price and margin erosion as a result of increased competition in the microwave transmission industry;</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the volume, timing, and customer, product, and geographic mix of our product orders;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financial covenant requirements which could impact, among other things, our liquidity;</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timing of our receipt of payment for products or services from our customers;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projected new product development dates or anticipated cost reductions of new products;</w:t>
      </w:r>
    </w:p>
    <w:p>
      <w:pPr>
        <w:spacing w:after="0" w:line="103" w:lineRule="exact"/>
        <w:rPr>
          <w:rFonts w:ascii="Times New Roman" w:cs="Times New Roman" w:eastAsia="Times New Roman" w:hAnsi="Times New Roman"/>
          <w:sz w:val="18"/>
          <w:szCs w:val="18"/>
          <w:i w:val="1"/>
          <w:iCs w:val="1"/>
          <w:color w:val="auto"/>
        </w:rPr>
      </w:pPr>
    </w:p>
    <w:p>
      <w:pPr>
        <w:ind w:left="980" w:right="140" w:hanging="324"/>
        <w:spacing w:after="0" w:line="360" w:lineRule="auto"/>
        <w:tabs>
          <w:tab w:leader="none" w:pos="97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suppliers’ inability to perform and deliver on time as a result of their financial condition, component shortages, the effects of COVID-19 or other supply chain constraints;</w:t>
      </w: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customer acceptance of new products;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our subcontractors to timely perform;</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weakness in the global economy affecting customer spending;</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retention of our key personnel;</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manage and maintain key customer relationships;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 economic conditions in the telecommunications sector combined with operator and supplier consolidation;</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protect our intellectual property rights or defend against intellectual property infringement claims by others;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results of our restructuring efforts;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to preserve and use our net operating loss carryforwards;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currency and interest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3" w:name="page24"/>
    <w:bookmarkEnd w:id="23"/>
    <w:p>
      <w:pPr>
        <w:ind w:left="980" w:right="360" w:hanging="324"/>
        <w:spacing w:after="0" w:line="360" w:lineRule="auto"/>
        <w:tabs>
          <w:tab w:leader="none" w:pos="97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current and future government regulations, including the effects of current restrictions on various commercial and economic activities in response to the COVID-19 pandemic;</w:t>
      </w:r>
    </w:p>
    <w:p>
      <w:pPr>
        <w:ind w:left="980" w:right="220" w:hanging="324"/>
        <w:spacing w:after="0" w:line="360" w:lineRule="auto"/>
        <w:tabs>
          <w:tab w:leader="none" w:pos="97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general economic conditions, including uncertainty regarding the timing, pace and extent of an economic recovery in the United States and other countries where we conduct business;</w:t>
      </w:r>
    </w:p>
    <w:p>
      <w:pPr>
        <w:ind w:left="980" w:hanging="324"/>
        <w:spacing w:after="0"/>
        <w:tabs>
          <w:tab w:leader="none" w:pos="9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conduct of unethical business practices in developing countries;</w:t>
      </w:r>
    </w:p>
    <w:p>
      <w:pPr>
        <w:spacing w:after="0" w:line="103"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political turmoil in countries where we have significant business;</w:t>
      </w:r>
    </w:p>
    <w:p>
      <w:pPr>
        <w:spacing w:after="0" w:line="103" w:lineRule="exact"/>
        <w:rPr>
          <w:rFonts w:ascii="Times New Roman" w:cs="Times New Roman" w:eastAsia="Times New Roman" w:hAnsi="Times New Roman"/>
          <w:sz w:val="18"/>
          <w:szCs w:val="18"/>
          <w:i w:val="1"/>
          <w:iCs w:val="1"/>
          <w:color w:val="auto"/>
        </w:rPr>
      </w:pPr>
    </w:p>
    <w:p>
      <w:pPr>
        <w:ind w:left="980" w:right="260" w:hanging="324"/>
        <w:spacing w:after="0" w:line="360" w:lineRule="auto"/>
        <w:tabs>
          <w:tab w:leader="none" w:pos="97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w:t>
      </w:r>
    </w:p>
    <w:p>
      <w:pPr>
        <w:ind w:left="980" w:hanging="324"/>
        <w:spacing w:after="0"/>
        <w:tabs>
          <w:tab w:leader="none" w:pos="9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implement our stock repurchase program or that it will enhance long-term stockholder value.</w:t>
      </w:r>
    </w:p>
    <w:p>
      <w:pPr>
        <w:spacing w:after="0" w:line="2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factors besides those listed here also could adversely affect us. See “Item 1A. Risk Factors” in our fiscal 2020 Annual Report on Form 10-K filed with the SEC on August 27, 2020 for more information regarding factors that may cause our results to differ materially from those expressed or implied by the forward-looking statements contained in this Quarterly Report on Form 10-Q.</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Operating Environment and Key Factors Impacting Fiscal 2021 and 2020 Results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July 2, 2021 is referred to as “fiscal 2021” or “2021” and our fiscal year ended July 3, 2020 is referred to as “fiscal 2020” or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anticipate modest growth in revenue in fiscal 2021. We have a healthy backlog entering fiscal 2021 for North American private network projects and we anticipate continuing our strong momentum across these verticals. We have made inroads into the U.S. rural broadband and wireless internet service provider areas and there is now further evidence now of investment to support 5G deployments with our U.S. service provider customers. Internationally, we are continuing a more conservative view of our revenue opportunity based on a variety of factors that have led to an overall capital spending decline and increased competitive intensity.</w:t>
      </w:r>
    </w:p>
    <w:p>
      <w:pPr>
        <w:spacing w:after="0" w:line="1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characterized the current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has had and is likely to continue to have an impact on our operations, supply chains and distribution systems. COVID-19 pandemic has led to an increase in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 with certainty, including, but not limited to, the duration and spread of the pandemic, its severity, the actions to contain the virus or treat its impact, and how quickly and to what extent normal economic and operating activities can resume. Management is actively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monitoring the impact of COVID-19 pandemic on our financial condition, liquidity, operations, suppliers, industry, and workforce.</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first priority remains the health and safety of our employees and their families. Employees whose tasks can be done offsite have been instructed to work from home. Our manufacturing sites remain operational, and we are maintaining social distancing and have enhanced cleaning protocols and usage of personal protective equipment, where appropriate.</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impact to our supply chain lead times and ability to fulfill orders was minimal for the three months ended October 2, 2020. However, depending on pandemic-related factors like the uncertain duration of temporary manufacturing restrictions as well as our ability to perform field services during shelter in place orders, we could experience constraints and delays in fulfilling customer orders in future periods. We are monitoring, assessing and adapting to the situation and preparing for implications to our business, supply chain and customer demand. We expect these challenges to continue until business and economic activities return to more normal levels. The financial results for the three months ended October 2, 2020 reflect some of the reduced activity experienced during the period in various locations around the world and are not necessarily indicative of the results for the full year.</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Review</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market for mobile backhaul continued to be our primary addressable market segment globally in the first quarter of fiscal 2021.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LTE deployments. Our position continues to be to support our customers for 5G and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Annual Report on Form 10-K filed with the SEC on August 27, 2020, a number of factors could prevent us from achieving our objectives, including ongoing pricing pressures attributable to competition and macroeconomic conditions in the geographic markets that we service.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manage our sales activities primarily on a geographic basis in North America and three international geographic regions: (1) Africa and the Middle East, (2) Europe and Russia, and (3) Latin America and Asia Pacific. Revenue by region for the three months ended October 2, 2020 and September 27, 2019 and the related changes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8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4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45,499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39,767</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5,732</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Africa and the Middle East</w:t>
            </w:r>
          </w:p>
        </w:tc>
        <w:tc>
          <w:tcPr>
            <w:tcW w:w="18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10,571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 and Russia</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1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Latin America and Asia Pacific</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7,958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3,111</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64.2 %</w:t>
            </w:r>
          </w:p>
        </w:tc>
      </w:tr>
      <w:tr>
        <w:trPr>
          <w:trHeight w:val="237"/>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66,290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58,614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7,676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revenue in North America increased by $5.7 million, or 14.4%, during the first quarter of fiscal 2021 compared with the same period of fiscal 2020 primarily due to an increase in private network projects as well as an increase in mobile operator sales.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revenue in Africa and the Middle East was consistent for the first quarter of fiscal 2021 compared with the same period of fiscal 2020.</w:t>
      </w:r>
    </w:p>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in Europe and Russia decreased by $1.1 million, or 33.6%, for the first quarter of fiscal 2021 compared with the same period of fiscal 2020 primarily due to lower sales to mobile operator customers in the region.</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in Latin America and Asia Pacific increased by $3.1 million, or 64.2%, during the first quarter of fiscal 2021 compared with the same period of fiscal 2020 primarily due to higher sales to mobile operator customers in the region.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8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4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sales</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44,464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36,594</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7,870</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21.5 %</w:t>
            </w:r>
          </w:p>
        </w:tc>
      </w:tr>
      <w:tr>
        <w:trPr>
          <w:trHeight w:val="21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21,826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37"/>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66,290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58,614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7,676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revenue from product sales increased by $7.9 million, or 21.5%, for the first quarter of fiscal 2021 compared with the same quarter of fiscal 2020. Product sales increased compared to the same period in fiscal 2020 in all regions, except for Europe and Russia.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8"/>
        </w:trPr>
        <w:tc>
          <w:tcPr>
            <w:tcW w:w="4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340" w:type="dxa"/>
            <w:vAlign w:val="bottom"/>
          </w:tcPr>
          <w:p>
            <w:pPr>
              <w:spacing w:after="0"/>
              <w:rPr>
                <w:sz w:val="16"/>
                <w:szCs w:val="16"/>
                <w:color w:val="auto"/>
              </w:rPr>
            </w:pPr>
          </w:p>
        </w:tc>
        <w:tc>
          <w:tcPr>
            <w:tcW w:w="9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4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66,290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58,614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r>
      <w:tr>
        <w:trPr>
          <w:trHeight w:val="21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42,041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36,058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16.6 %</w:t>
            </w: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24,249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22,556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revenue</w:t>
            </w:r>
          </w:p>
        </w:tc>
        <w:tc>
          <w:tcPr>
            <w:tcW w:w="34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36.6 %</w:t>
            </w:r>
          </w:p>
        </w:tc>
        <w:tc>
          <w:tcPr>
            <w:tcW w:w="4060" w:type="dxa"/>
            <w:vAlign w:val="bottom"/>
          </w:tcPr>
          <w:p>
            <w:pPr>
              <w:jc w:val="right"/>
              <w:ind w:right="2879"/>
              <w:spacing w:after="0"/>
              <w:rPr>
                <w:sz w:val="20"/>
                <w:szCs w:val="20"/>
                <w:color w:val="auto"/>
              </w:rPr>
            </w:pPr>
            <w:r>
              <w:rPr>
                <w:rFonts w:ascii="Times New Roman" w:cs="Times New Roman" w:eastAsia="Times New Roman" w:hAnsi="Times New Roman"/>
                <w:sz w:val="16"/>
                <w:szCs w:val="16"/>
                <w:color w:val="auto"/>
              </w:rPr>
              <w:t>38.5 %</w:t>
            </w:r>
          </w:p>
        </w:tc>
      </w:tr>
      <w:tr>
        <w:trPr>
          <w:trHeight w:val="219"/>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Product margin %</w:t>
            </w:r>
          </w:p>
        </w:tc>
        <w:tc>
          <w:tcPr>
            <w:tcW w:w="34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37.2 %</w:t>
            </w:r>
          </w:p>
        </w:tc>
        <w:tc>
          <w:tcPr>
            <w:tcW w:w="4060" w:type="dxa"/>
            <w:vAlign w:val="bottom"/>
            <w:shd w:val="clear" w:color="auto" w:fill="CCEEFF"/>
          </w:tcPr>
          <w:p>
            <w:pPr>
              <w:jc w:val="right"/>
              <w:ind w:right="2879"/>
              <w:spacing w:after="0"/>
              <w:rPr>
                <w:sz w:val="20"/>
                <w:szCs w:val="20"/>
                <w:color w:val="auto"/>
              </w:rPr>
            </w:pPr>
            <w:r>
              <w:rPr>
                <w:rFonts w:ascii="Times New Roman" w:cs="Times New Roman" w:eastAsia="Times New Roman" w:hAnsi="Times New Roman"/>
                <w:sz w:val="16"/>
                <w:szCs w:val="16"/>
                <w:color w:val="auto"/>
              </w:rPr>
              <w:t>43.1 %</w:t>
            </w:r>
          </w:p>
        </w:tc>
      </w:tr>
      <w:tr>
        <w:trPr>
          <w:trHeight w:val="210"/>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margin %</w:t>
            </w:r>
          </w:p>
        </w:tc>
        <w:tc>
          <w:tcPr>
            <w:tcW w:w="34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35.3 %</w:t>
            </w:r>
          </w:p>
        </w:tc>
        <w:tc>
          <w:tcPr>
            <w:tcW w:w="4060" w:type="dxa"/>
            <w:vAlign w:val="bottom"/>
          </w:tcPr>
          <w:p>
            <w:pPr>
              <w:jc w:val="right"/>
              <w:ind w:right="2879"/>
              <w:spacing w:after="0"/>
              <w:rPr>
                <w:sz w:val="20"/>
                <w:szCs w:val="20"/>
                <w:color w:val="auto"/>
              </w:rPr>
            </w:pPr>
            <w:r>
              <w:rPr>
                <w:rFonts w:ascii="Times New Roman" w:cs="Times New Roman" w:eastAsia="Times New Roman" w:hAnsi="Times New Roman"/>
                <w:sz w:val="16"/>
                <w:szCs w:val="16"/>
                <w:color w:val="auto"/>
              </w:rPr>
              <w:t>30.8 %</w:t>
            </w:r>
          </w:p>
        </w:tc>
      </w:tr>
    </w:tbl>
    <w:p>
      <w:pPr>
        <w:spacing w:after="0" w:line="14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Gross margin for the first quarter of fiscal 2021 increased by $1.7 million, or 7.5% compared with the same quarter of fiscal 2020. Our gross margin increased from the same period last year primarily due to the increased volume of product sales and improved profitability of services.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Product margin as a percentage of product revenue decreased in the first quarter of fiscal 2021 compared with the same period of fiscal 2020 primarily due to product and regional mix. Service margin as a percentage of service revenue increased in the first quarter of fiscal 2021 compared with the same period in fiscal 2020 from improved profitability in most regions.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34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4,847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5,216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revenue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14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decreased by $0.4 million, or 7.1%, in the first quarter of fiscal 2021 compared with the same period of fiscal 2020 primarily due to cost savings initiatives implemented in the second half of fiscal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34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12,837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14,644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0"/>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of revenue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14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selling and administrative expenses decreased by $1.8 million, or 12.3%, in the first quarter of fiscal 2021 compared with the same period in fiscal 2020 primarily due to cost savings initiatives implemented in the second half of fiscal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tcBorders>
              <w:bottom w:val="single" w:sz="8" w:color="auto"/>
            </w:tcBorders>
          </w:tcPr>
          <w:p>
            <w:pPr>
              <w:spacing w:after="0"/>
              <w:rPr>
                <w:sz w:val="16"/>
                <w:szCs w:val="16"/>
                <w:color w:val="auto"/>
              </w:rPr>
            </w:pPr>
          </w:p>
        </w:tc>
      </w:tr>
      <w:tr>
        <w:trPr>
          <w:trHeight w:val="18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22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charges</w:t>
            </w:r>
          </w:p>
        </w:tc>
        <w:tc>
          <w:tcPr>
            <w:tcW w:w="1260" w:type="dxa"/>
            <w:vAlign w:val="bottom"/>
            <w:tcBorders>
              <w:top w:val="single" w:sz="8" w:color="auto"/>
            </w:tcBorders>
            <w:shd w:val="clear" w:color="auto" w:fill="CCEEFF"/>
          </w:tcPr>
          <w:p>
            <w:pPr>
              <w:jc w:val="right"/>
              <w:ind w:right="1104"/>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r>
    </w:tbl>
    <w:p>
      <w:pPr>
        <w:spacing w:after="0" w:line="14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recognized in the first quarter of fiscal 2020 restructuring charges of $1.2 million related to the Fiscal 2020 Plan, which was primarily to consolidate product development, right size our resources to support our International business and other support functions.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(Expense) Income, Net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8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4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r>
    </w:tbl>
    <w:p>
      <w:pPr>
        <w:spacing w:after="0" w:line="149" w:lineRule="exact"/>
        <w:rPr>
          <w:sz w:val="20"/>
          <w:szCs w:val="20"/>
          <w:color w:val="auto"/>
        </w:rPr>
      </w:pPr>
    </w:p>
    <w:p>
      <w:pPr>
        <w:ind w:left="500"/>
        <w:spacing w:after="0" w:line="355" w:lineRule="auto"/>
        <w:rPr>
          <w:sz w:val="20"/>
          <w:szCs w:val="20"/>
          <w:color w:val="auto"/>
        </w:rPr>
      </w:pPr>
      <w:r>
        <w:rPr>
          <w:rFonts w:ascii="Times New Roman" w:cs="Times New Roman" w:eastAsia="Times New Roman" w:hAnsi="Times New Roman"/>
          <w:sz w:val="18"/>
          <w:szCs w:val="18"/>
          <w:color w:val="auto"/>
        </w:rPr>
        <w:t>Interest income reflected interest earned on our cash equivalents which were comprised of money market funds and bank certificates of deposit. Interest expense was primarily related to interest associated with borrowings under the SVB Credit Facility and discounts on customer letters of</w:t>
      </w:r>
    </w:p>
    <w:p>
      <w:pPr>
        <w:spacing w:after="0"/>
        <w:rPr>
          <w:sz w:val="20"/>
          <w:szCs w:val="20"/>
          <w:color w:val="auto"/>
        </w:rPr>
      </w:pPr>
      <w:r>
        <w:rPr>
          <w:rFonts w:ascii="Times New Roman" w:cs="Times New Roman" w:eastAsia="Times New Roman" w:hAnsi="Times New Roman"/>
          <w:sz w:val="18"/>
          <w:szCs w:val="18"/>
          <w:color w:val="auto"/>
        </w:rPr>
        <w:t>credit.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8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2019</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4,998</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312.0 %</w:t>
            </w: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20" w:type="dxa"/>
            <w:vAlign w:val="bottom"/>
          </w:tcPr>
          <w:p>
            <w:pPr>
              <w:spacing w:after="0"/>
              <w:rPr>
                <w:sz w:val="18"/>
                <w:szCs w:val="18"/>
                <w:color w:val="auto"/>
              </w:rPr>
            </w:pPr>
          </w:p>
        </w:tc>
        <w:tc>
          <w:tcPr>
            <w:tcW w:w="46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r>
    </w:tbl>
    <w:p>
      <w:pPr>
        <w:spacing w:after="0" w:line="14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tax expense for the first quarter of fiscal 2021 was primarily due to tax expense related to profitable subsidiaries. The tax expense for the first quarter of fiscal 2020 was primarily due to tax expense related to profitable subsidiaries and a $0.6 million increase in our reserves for uncertain tax positions.</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first quarter of 2021, we received a tax refund of $1.2 million from the Federal Revenue of Brazil related to our withholding tax refund claim and recorded minimal tax expense related to interest as a discrete item.</w:t>
      </w:r>
    </w:p>
    <w:p>
      <w:pPr>
        <w:spacing w:after="0" w:line="10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continue to record a partial valuation allowance on our U.S. deferred tax assets which primarily represent future income tax benefits associated with our operating losses. Realization of our deferred tax assets is dependent on generating sufficient pre-tax book income in future periods. Although we believe it is more likely than not that future income will be sufficient to allow us to recover the value of a portion of our U.S. deferred tax assets, realization is not assured and future events could cause us to change our judgment. If future events cause us to conclude that it is not more likely than not that we will be able to recover more or less of the current anticipated portion of deferred tax assets, we would be required to either decrease or increase the valuation allowance on our deferred tax assets at that time, which would result in a charge to income tax expense and a material increase or decrease in net income in the period in which we change our judgment. During the first quarter of fiscal 2021, we did not record any adjustment to valuation allowance on our U.S. deferred tax assets.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7" w:name="page28"/>
    <w:bookmarkEnd w:id="27"/>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October 2, 2020, our total cash and cash equivalents were $36.2 million. Approximately $21.3 million, or 58.9%, was held in the United States. The remaining balance of $14.9 million, or 41.1%, was held by entities outside the United States. Of the amount of cash and cash equivalents held by our foreign subsidiaries at October 2, 2020, $14.4 million was held in jurisdictions where our undistributed earnings are indefinitely reinvested, and if repatriated, would be subject to foreign withholding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Cash provided by or used in operating activities is presented as net income adjusted for non-cash items and changes in operating assets and liabilities. Net cash provided by operating activities was $4.2 million for the first three months of fiscal 2021, compared to $5.6 million for the first three months of fiscal 2020; this difference was primarily related to a net change in Accounts receivable and partially offset by the net change in Net income. Net cash provided by noncash items was $2.8 million for the first three months 2021, compared to $2.3 million for the comparable period in Fiscal 2020. The net changes in operating assets and liabilities resulted in a net use of cash of $4.5 million for the first three months of fiscal 2021, compared to net cash provided by $3.3 million for the same period in fiscal 2020.</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Changes in operating assets and liabilities resulted in a net use of cash for the first three months of fiscal 2021 was primarily related to Accounts receivable that fluctuate from period to period, depending on the amount, timing of sales and billing activities and cash collections; and the timing of Accrued expenses. The use of cash from assets and liabilities was partially offset by cash provided by the timing of payments of Accounts payable and changes in Inventory due to demand and our focus on inventory management.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 million and $1.3 million for the first three months of fiscal 2021 and 2020, respectively, which consisted of capital expenditures. During the remainder of fiscal year 2021, we expect to spend approximately $4.0 million for capital expenditures, primarily on equipment for development and manufacturing of new products and IT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Financing cash flows consist primarily of proceeds and repayments of short-term debt, repurchase of stock and proceeds from sale of share of common stock through employee equity plans. Net cash used in financing activities was $8.7 million for the first three months of fiscal 2021, primarily due to $9.0 million repayment of short-term debt.</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October 2, 2020, our principal sources of liquidity consisted of $36.2 million in cash and cash equivalents; $23.5 million of available credit under our $25.0 million credit facility with Silicon Valley Bank (“SVB Credit Facility”) which matures on June 28, 2021, and future collections of receivables from customers. We regularly require letters of credit from certain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On May 4, 2020, we entered into Amendment No. 3 to Third Amended and Restated Loan and Security Agreement which extended the maturity date of the SVB Credit Facility to June 28, 2021. While we intend to continue to renew the SVB Credit Facility annually, there can be no assurance that the SVB Credit Facility will be renewed. In addition, there can be no assurance that our business will generate cash flow from operations, that we will be in compliance with the quarterly financial covenants contained in the SVB Credit Facility, or that we will have a sufficient borrowing base under such facility. If we are not in compliance with the financial covenants or do not have sufficient eligible accounts receivable to support our borrowing base, borrowings under the SVB Credit Facility may not be available or our borrowing base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October 2, 2020, we were in compliance with the quarterly financial covenants, as amended, contained in the SVB Credit Facility. We repaid the outstanding balance of $9.0 million during the first three months of fiscal 2021; therefore, there was no amount outstanding as of October 2, 2020.</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have an uncommitted short-term line of credit of $0.3 million from a bank in New Zealand to support the operations of our subsidiary located there. This line of credit provides for $0.2 million in short-term advances at various interest rates, all of which was available as of October 2, 2020 and July 3, 2020. The line of credit also provides for the issuance of standby letters of credit and company credit cards, of which $0.1 million was outstanding as of October 2, 2020 and July 3, 2020. This facility may be terminated upon notice, is reviewed annually for renewal or modification, and is supported by a corporate guarantee.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Payments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had liabilities for restructuring activities totaling $1.8 million as of October 2, 2020, which was classified as current liabilities and expected to be paid out in cash over the next 12 months. We expect to fund these future payments with available cash and cash provided by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amounts disclosed in our fiscal 2020 Annual Report on Form 10-K filed with the SEC on August 27, 2020 include our commercial commitments and contractual obligations. During the first three months of fiscal 2021, no material changes occurred in our contractual obligations to purchase goods and services or to make payments under operating leases or our contingent liabilities on outstanding letters of credit, guarantees, and other arrangements as disclosed in our fiscal 2020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the definition under SEC rules (Item 303(a)(4)(ii) of Regulation S-K), any of the following qualify as off-balance sheet arrangements:</w:t>
      </w:r>
    </w:p>
    <w:p>
      <w:pPr>
        <w:spacing w:after="0" w:line="108" w:lineRule="exact"/>
        <w:rPr>
          <w:sz w:val="20"/>
          <w:szCs w:val="20"/>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under certain guarantee contracts;</w:t>
      </w:r>
    </w:p>
    <w:p>
      <w:pPr>
        <w:spacing w:after="0" w:line="171" w:lineRule="exact"/>
        <w:rPr>
          <w:rFonts w:ascii="Times New Roman" w:cs="Times New Roman" w:eastAsia="Times New Roman" w:hAnsi="Times New Roman"/>
          <w:sz w:val="18"/>
          <w:szCs w:val="18"/>
          <w:color w:val="auto"/>
        </w:rPr>
      </w:pPr>
    </w:p>
    <w:p>
      <w:pPr>
        <w:ind w:firstLine="494"/>
        <w:spacing w:after="0" w:line="282" w:lineRule="auto"/>
        <w:tabs>
          <w:tab w:leader="none" w:pos="6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retained or contingent interest in assets transferred to an unconsolidated entity or similar entity or similar arrangement that serves as credit, liquidity or market risk support to that entity for such assets;</w:t>
      </w:r>
    </w:p>
    <w:p>
      <w:pPr>
        <w:spacing w:after="0" w:line="10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including a contingent obligation, under certain derivative instruments; and</w:t>
      </w:r>
    </w:p>
    <w:p>
      <w:pPr>
        <w:spacing w:after="0" w:line="171" w:lineRule="exact"/>
        <w:rPr>
          <w:rFonts w:ascii="Times New Roman" w:cs="Times New Roman" w:eastAsia="Times New Roman" w:hAnsi="Times New Roman"/>
          <w:sz w:val="18"/>
          <w:szCs w:val="18"/>
          <w:color w:val="auto"/>
        </w:rPr>
      </w:pPr>
    </w:p>
    <w:p>
      <w:pPr>
        <w:ind w:firstLine="494"/>
        <w:spacing w:after="0" w:line="282" w:lineRule="auto"/>
        <w:tabs>
          <w:tab w:leader="none" w:pos="6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including a contingent obligation, arising out of a material variable interest held by us in an unconsolidated entity that provides financing, liquidity, market risk or credit risk support to us, or engages in leasing, hedging or research and development services with us.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October 2, 2020,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2, 2020, we had commercial commitments of $58.7 million.</w:t>
      </w:r>
    </w:p>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Please refer to “Note 12 Commitments and Contingencies” of the Notes to unaudited condensed consolidated financial statements in this Quarterly Report on Form 10-Q for Contractual Obligations and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information about our critical accounting estimates, see the “Critical Accounting Estimates” section of “Item 7. Management’s Discussion and Analysis of Financial Condition and Results of Operations” in our fiscal 2020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use foreign exchange forward contracts to hedge forecasted foreign currency transactions relating to forecasted sales and purchase transactions. Beginning the fourth quarter of fiscal 2015, we no longer prepared contemporaneous documentation of hedges for the new foreign exchange forward contracts we entered. As a result, the foreign exchange hedges no longer qualified as cash flow hedges. The changes in fair value related to the hedges were recorded in income or expenses line items on our statements of operations.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2, 2020, we had no foreign currency forward contracts.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foreign exchange income recorded in our unaudited condensed consolidated statements of operations during the three months ended October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and September 27, 2019 was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tcPr>
          <w:p>
            <w:pPr>
              <w:jc w:val="center"/>
              <w:ind w:left="622"/>
              <w:spacing w:after="0" w:line="134"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0" w:type="dxa"/>
            <w:vAlign w:val="bottom"/>
          </w:tcPr>
          <w:p>
            <w:pPr>
              <w:jc w:val="center"/>
              <w:ind w:right="562"/>
              <w:spacing w:after="0" w:line="134"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0" w:type="dxa"/>
            <w:vAlign w:val="bottom"/>
          </w:tcPr>
          <w:p>
            <w:pPr>
              <w:spacing w:after="0"/>
              <w:rPr>
                <w:sz w:val="1"/>
                <w:szCs w:val="1"/>
                <w:color w:val="auto"/>
              </w:rPr>
            </w:pPr>
          </w:p>
        </w:tc>
      </w:tr>
      <w:tr>
        <w:trPr>
          <w:trHeight w:val="189"/>
        </w:trPr>
        <w:tc>
          <w:tcPr>
            <w:tcW w:w="668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included in costs of revenues</w:t>
            </w:r>
          </w:p>
        </w:tc>
        <w:tc>
          <w:tcPr>
            <w:tcW w:w="1520" w:type="dxa"/>
            <w:vAlign w:val="bottom"/>
            <w:shd w:val="clear" w:color="auto" w:fill="CCEEFF"/>
          </w:tcPr>
          <w:p>
            <w:pPr>
              <w:jc w:val="right"/>
              <w:ind w:right="134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of our international business is transacted in non-U.S. dollar currency. As discussed above, we utilize foreign currency hedging instruments to minimize the currency risk of international transactions. The impact of translating the assets and liabilities of foreign operations to U.S. dollars for the first three months of fiscal 2021 and 2020 was $(0.4) million and $0.5 million, respectively, and was included as a component of stockholders’ equity. As of October 2, 2020 and July 3, 2020, the cumulative translation adjustment decreased our equity by $14.6 million and $15.0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equivalents and borrowings under our credit facility.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Cash Equivalents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had $36.2 million in total cash and cash equivalents as of October 2, 2020. Cash equivalents totaled $21.5 million as of October 2, 2020 and were comprised of money market funds and bank certificates of deposit. Cash equivalents investments have been recorded at fair value on our balance sheet.</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cash equivalents earn interest at fixed rates; therefore, changes in interest rates will not generate a gain or loss on these investments unless they are sold prior to maturity. The weighted-average days to maturity for cash equivalents held as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0" w:name="page31"/>
    <w:bookmarkEnd w:id="3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October 2, 2020 was 28 days, and these investments had an average yield of approximately 4.78% per annum. A 10% change in interest rates on our cash equivalents is not expected to have a material impact on our financial position,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Borrowings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borrowings under the SVB Credit Facility incurred interest at the prime rate plus a spread of 0.50% to 1.50% with such spread determined based on our adjusted quick ratio. During the first three months of fiscal 2021, our weighted-average interest rate was 3.75%, and the interest expense on these borrowings was insignificant.</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Based on management’s evaluation, with participation of our President and Chief Executive Officer (“CEO”), and Chief Financial Officer (“CFO”), as of the end of the period covered by this report, our CEO and CFO have concluded that our disclosure controls and procedures, as defined in Rules 13a-15(e) and 15d-15(e) under the Exchange Act, as of October 2, 2020,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CEO and CFO, as appropriate to allow timely decisions regarding required disclosures.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controls over financial reporting as defined in Rules 13a-15(f) or 15d-15(f) that occurred during the quarter ended October 2, 2020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spacing w:after="0" w:line="200" w:lineRule="exact"/>
        <w:rPr>
          <w:sz w:val="20"/>
          <w:szCs w:val="20"/>
          <w:color w:val="auto"/>
        </w:rPr>
      </w:pP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PART II.</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 discussion of legal proceedings as of October 2, 2020, please refer to “Legal Proceedings” and “Contingent Liabilities” under “Note 12 Commitments and Contingencies” of the Notes to unaudited condensed consolidated financial statements in this Quarterly Report on Form 10-Q, which are incorporated into this item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1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2020 Annual Report on Form 10-K filed with the SEC on August 27, 2020.</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described in such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May 2018, our board of directors approved a stock repurchase program, which does not have an expiration date, for the repurchase of up to $7.5 million of our common stock. The repurchase program has been suspended temporarily since February 2020; therefore, during the first three months of fiscal 2021, we did not repurchase any shares of our common stock in the open market. As of October 2, 2020, $3.4 million remained available under our stock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920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filed herewith or incorporated by reference to exhibits previously filed with the SEC:</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7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Descriptions</w:t>
            </w:r>
          </w:p>
        </w:tc>
        <w:tc>
          <w:tcPr>
            <w:tcW w:w="0" w:type="dxa"/>
            <w:vAlign w:val="bottom"/>
          </w:tcPr>
          <w:p>
            <w:pPr>
              <w:spacing w:after="0"/>
              <w:rPr>
                <w:sz w:val="1"/>
                <w:szCs w:val="1"/>
                <w:color w:val="auto"/>
              </w:rPr>
            </w:pPr>
          </w:p>
        </w:tc>
      </w:tr>
      <w:tr>
        <w:trPr>
          <w:trHeight w:val="187"/>
        </w:trPr>
        <w:tc>
          <w:tcPr>
            <w:tcW w:w="114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0000" w:type="dxa"/>
            <w:vAlign w:val="bottom"/>
            <w:tcBorders>
              <w:top w:val="single" w:sz="8" w:color="auto"/>
            </w:tcBorders>
            <w:gridSpan w:val="9"/>
            <w:shd w:val="clear" w:color="auto" w:fill="CCEEFF"/>
          </w:tcPr>
          <w:p>
            <w:pPr>
              <w:spacing w:after="0" w:line="188"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Amended and Restated Certificate of Incorporation of Aviat Networks, Inc., as amended (incorporated by reference to Exhibit 3.1 to the</w:t>
              </w:r>
            </w:hyperlink>
          </w:p>
        </w:tc>
        <w:tc>
          <w:tcPr>
            <w:tcW w:w="0" w:type="dxa"/>
            <w:vAlign w:val="bottom"/>
          </w:tcPr>
          <w:p>
            <w:pPr>
              <w:spacing w:after="0"/>
              <w:rPr>
                <w:sz w:val="1"/>
                <w:szCs w:val="1"/>
                <w:color w:val="auto"/>
              </w:rPr>
            </w:pPr>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Current Report on Form 10-Q filed with the SEC on February 10, 2017, File No. 001-33278)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2460" w:type="dxa"/>
            <w:vAlign w:val="bottom"/>
            <w:tcBorders>
              <w:top w:val="single" w:sz="8" w:color="0000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10000" w:type="dxa"/>
            <w:vAlign w:val="bottom"/>
            <w:gridSpan w:val="9"/>
          </w:tcPr>
          <w:p>
            <w:pPr>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u w:val="single" w:color="auto"/>
                  <w:color w:val="0000FF"/>
                </w:rPr>
                <w:t>Amended and Restated Bylaws of</w:t>
              </w:r>
              <w:r>
                <w:rPr>
                  <w:rFonts w:ascii="Times New Roman" w:cs="Times New Roman" w:eastAsia="Times New Roman" w:hAnsi="Times New Roman"/>
                  <w:sz w:val="18"/>
                  <w:szCs w:val="18"/>
                  <w:color w:val="0000FF"/>
                </w:rPr>
                <w:t xml:space="preserve"> Aviat Networks, Inc. (incorporated by reference to Exhibit 3.1 to the Current Report on Form 8-K filed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80" w:type="dxa"/>
            <w:vAlign w:val="bottom"/>
            <w:gridSpan w:val="8"/>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with the SEC on September 24, 2020, File No. 001-33278)</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9"/>
            <w:shd w:val="clear" w:color="auto" w:fill="CCEEFF"/>
          </w:tcPr>
          <w:p>
            <w:pPr>
              <w:spacing w:after="0" w:line="20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Amended and Restated Tax Benefit Preservation Plan, dated as of August 27, 2020, by and between Aviat Networks, Inc. and</w:t>
              </w:r>
            </w:hyperlink>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6280" w:type="dxa"/>
            <w:vAlign w:val="bottom"/>
            <w:gridSpan w:val="3"/>
            <w:shd w:val="clear" w:color="auto" w:fill="0000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00" w:type="dxa"/>
            <w:vAlign w:val="bottom"/>
            <w:gridSpan w:val="9"/>
            <w:shd w:val="clear" w:color="auto" w:fill="CCEEFF"/>
          </w:tcPr>
          <w:p>
            <w:pPr>
              <w:spacing w:after="0" w:line="18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Computershare Inc., as Rights Agent (incorporated by reference to exhibit 4.1 to the Current Report on Form 8-K filed with the SEC on</w:t>
              </w:r>
            </w:hyperlink>
          </w:p>
        </w:tc>
        <w:tc>
          <w:tcPr>
            <w:tcW w:w="0" w:type="dxa"/>
            <w:vAlign w:val="bottom"/>
          </w:tcPr>
          <w:p>
            <w:pPr>
              <w:spacing w:after="0"/>
              <w:rPr>
                <w:sz w:val="1"/>
                <w:szCs w:val="1"/>
                <w:color w:val="auto"/>
              </w:rPr>
            </w:pPr>
          </w:p>
        </w:tc>
      </w:tr>
      <w:tr>
        <w:trPr>
          <w:trHeight w:val="183"/>
        </w:trPr>
        <w:tc>
          <w:tcPr>
            <w:tcW w:w="1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9780" w:type="dxa"/>
            <w:vAlign w:val="bottom"/>
            <w:tcBorders>
              <w:top w:val="single" w:sz="8" w:color="0000FF"/>
            </w:tcBorders>
            <w:gridSpan w:val="6"/>
            <w:shd w:val="clear" w:color="auto" w:fill="CCEEFF"/>
          </w:tcPr>
          <w:p>
            <w:pPr>
              <w:spacing w:after="0" w:line="18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August 31, 2020, File No. 011-33278)</w:t>
              </w:r>
            </w:hyperlink>
          </w:p>
        </w:tc>
        <w:tc>
          <w:tcPr>
            <w:tcW w:w="220" w:type="dxa"/>
            <w:vAlign w:val="bottom"/>
            <w:tcBorders>
              <w:top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5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10000" w:type="dxa"/>
            <w:vAlign w:val="bottom"/>
            <w:gridSpan w:val="9"/>
          </w:tcPr>
          <w:p>
            <w:pPr>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Rule 13a-14(a)/15d-14(a) Certification of President and Chief Executive Officer</w:t>
              </w:r>
            </w:hyperlink>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right w:val="single" w:sz="8" w:color="CCEEFF"/>
            </w:tcBorders>
            <w:shd w:val="clear" w:color="auto" w:fill="CCEEFF"/>
          </w:tcPr>
          <w:p>
            <w:pPr>
              <w:spacing w:after="0"/>
              <w:rPr>
                <w:sz w:val="19"/>
                <w:szCs w:val="19"/>
                <w:color w:val="auto"/>
              </w:rPr>
            </w:pPr>
          </w:p>
        </w:tc>
        <w:tc>
          <w:tcPr>
            <w:tcW w:w="1000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Rule 13a-14(a)/15d-14(a) Certification of Chief Financial Officer</w:t>
              </w:r>
            </w:hyperlink>
          </w:p>
        </w:tc>
        <w:tc>
          <w:tcPr>
            <w:tcW w:w="0" w:type="dxa"/>
            <w:vAlign w:val="bottom"/>
          </w:tcPr>
          <w:p>
            <w:pPr>
              <w:spacing w:after="0"/>
              <w:rPr>
                <w:sz w:val="1"/>
                <w:szCs w:val="1"/>
                <w:color w:val="auto"/>
              </w:rPr>
            </w:pPr>
          </w:p>
        </w:tc>
      </w:tr>
      <w:tr>
        <w:trPr>
          <w:trHeight w:val="22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10000" w:type="dxa"/>
            <w:vAlign w:val="bottom"/>
            <w:gridSpan w:val="9"/>
          </w:tcPr>
          <w:p>
            <w:pPr>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Section 1350 Certification of Chief Executive Officer and Chief Financial Officer</w:t>
              </w:r>
            </w:hyperlink>
          </w:p>
        </w:tc>
        <w:tc>
          <w:tcPr>
            <w:tcW w:w="0" w:type="dxa"/>
            <w:vAlign w:val="bottom"/>
          </w:tcPr>
          <w:p>
            <w:pPr>
              <w:spacing w:after="0"/>
              <w:rPr>
                <w:sz w:val="1"/>
                <w:szCs w:val="1"/>
                <w:color w:val="auto"/>
              </w:rPr>
            </w:pPr>
          </w:p>
        </w:tc>
      </w:tr>
      <w:tr>
        <w:trPr>
          <w:trHeight w:val="230"/>
        </w:trPr>
        <w:tc>
          <w:tcPr>
            <w:tcW w:w="12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29"/>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12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12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56"/>
        </w:trPr>
        <w:tc>
          <w:tcPr>
            <w:tcW w:w="114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ind w:left="1260" w:hanging="1234"/>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260" w:hanging="1234"/>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1260" w:hanging="1234"/>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management contracts or compensatory plans or arrangements.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AVIAT NETWORKS, INC.</w:t>
      </w: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00" w:lineRule="exact"/>
        <w:rPr>
          <w:sz w:val="20"/>
          <w:szCs w:val="20"/>
          <w:color w:val="auto"/>
        </w:rPr>
      </w:pPr>
    </w:p>
    <w:p>
      <w:pPr>
        <w:spacing w:after="0" w:line="201"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34290</wp:posOffset>
            </wp:positionV>
            <wp:extent cx="32658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4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Eric Chang</w:t>
      </w:r>
    </w:p>
    <w:p>
      <w:pPr>
        <w:ind w:left="6120"/>
        <w:spacing w:after="0" w:line="203" w:lineRule="auto"/>
        <w:rPr>
          <w:sz w:val="20"/>
          <w:szCs w:val="20"/>
          <w:color w:val="auto"/>
        </w:rPr>
      </w:pPr>
      <w:r>
        <w:rPr>
          <w:rFonts w:ascii="Times New Roman" w:cs="Times New Roman" w:eastAsia="Times New Roman" w:hAnsi="Times New Roman"/>
          <w:sz w:val="18"/>
          <w:szCs w:val="18"/>
          <w:color w:val="auto"/>
        </w:rPr>
        <w:t>Senior Vice President and Chief Financial Officer (duly authorized</w:t>
      </w:r>
    </w:p>
    <w:p>
      <w:pPr>
        <w:ind w:left="61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332"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Smith., certify that:</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October 2, 2020,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Smith</w:t>
            </w:r>
          </w:p>
        </w:tc>
      </w:tr>
      <w:tr>
        <w:trPr>
          <w:trHeight w:val="218"/>
        </w:trPr>
        <w:tc>
          <w:tcPr>
            <w:tcW w:w="64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Peter Smith</w:t>
            </w:r>
          </w:p>
        </w:tc>
      </w:tr>
      <w:tr>
        <w:trPr>
          <w:trHeight w:val="234"/>
        </w:trPr>
        <w:tc>
          <w:tcPr>
            <w:tcW w:w="64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Chang,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October 2, 2020,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5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Eric Chang</w:t>
            </w:r>
          </w:p>
        </w:tc>
      </w:tr>
      <w:tr>
        <w:trPr>
          <w:trHeight w:val="218"/>
        </w:trPr>
        <w:tc>
          <w:tcPr>
            <w:tcW w:w="560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Eric Chang</w:t>
            </w:r>
          </w:p>
        </w:tc>
      </w:tr>
      <w:tr>
        <w:trPr>
          <w:trHeight w:val="234"/>
        </w:trPr>
        <w:tc>
          <w:tcPr>
            <w:tcW w:w="560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06" w:lineRule="exact"/>
        <w:rPr>
          <w:sz w:val="20"/>
          <w:szCs w:val="20"/>
          <w:color w:val="auto"/>
        </w:rPr>
      </w:pPr>
    </w:p>
    <w:p>
      <w:pPr>
        <w:jc w:val="center"/>
        <w:spacing w:after="0" w:line="325" w:lineRule="auto"/>
        <w:rPr>
          <w:sz w:val="20"/>
          <w:szCs w:val="20"/>
          <w:color w:val="auto"/>
        </w:rPr>
      </w:pPr>
      <w:r>
        <w:rPr>
          <w:rFonts w:ascii="Times New Roman" w:cs="Times New Roman" w:eastAsia="Times New Roman" w:hAnsi="Times New Roman"/>
          <w:sz w:val="18"/>
          <w:szCs w:val="18"/>
          <w:b w:val="1"/>
          <w:bCs w:val="1"/>
          <w:color w:val="auto"/>
        </w:rPr>
        <w:t>CERTIFICATIONS OF CHIEF EXECUTIVE OFFICER AND PRINCIPAL FINANCIAL OFFICER OF AVIAT NETWORKS, INC. PURSUANT TO TITLE 18 OF THE UNITED STATES CODE SECTION 1350, AS ADOPTED PURSUANT TO SECTION 906 OF THE SARBANES-OXLEY ACT OF 2002</w:t>
      </w: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of Aviat Networks, Inc. (“Aviat Networks”) for the fiscal quarter ended October 2, 2020, as filed with the Securities and Exchange Commission on the date hereof (the “Report”), we, Peter Smith, President and Chief Executive Officer of Aviat Networks, and Eric Chang, Senior Vice President, Chief Financial Officer of Aviat Networks, hereby certify, pursuant to Section 906 of the Sarbanes-Oxley Act of 2002, 18 U.S.C. §1350, that:</w:t>
      </w:r>
    </w:p>
    <w:p>
      <w:pPr>
        <w:spacing w:after="0" w:line="13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2020</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Smith</w:t>
            </w:r>
          </w:p>
        </w:tc>
      </w:tr>
      <w:tr>
        <w:trPr>
          <w:trHeight w:val="218"/>
        </w:trPr>
        <w:tc>
          <w:tcPr>
            <w:tcW w:w="528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Peter Smith</w:t>
            </w:r>
          </w:p>
        </w:tc>
      </w:tr>
      <w:tr>
        <w:trPr>
          <w:trHeight w:val="234"/>
        </w:trPr>
        <w:tc>
          <w:tcPr>
            <w:tcW w:w="528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16" w:lineRule="exact"/>
        <w:rPr>
          <w:sz w:val="20"/>
          <w:szCs w:val="20"/>
          <w:color w:val="auto"/>
        </w:rPr>
      </w:pPr>
    </w:p>
    <w:tbl>
      <w:tblPr>
        <w:tblLayout w:type="fixed"/>
        <w:tblInd w:w="620" w:type="dxa"/>
        <w:tblCellMar>
          <w:top w:w="0" w:type="dxa"/>
          <w:left w:w="0" w:type="dxa"/>
          <w:bottom w:w="0" w:type="dxa"/>
          <w:right w:w="0" w:type="dxa"/>
        </w:tblCellMar>
      </w:tblP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2020</w:t>
            </w:r>
          </w:p>
        </w:tc>
        <w:tc>
          <w:tcPr>
            <w:tcW w:w="2000" w:type="dxa"/>
            <w:vAlign w:val="bottom"/>
          </w:tcPr>
          <w:p>
            <w:pPr>
              <w:spacing w:after="0"/>
              <w:rPr>
                <w:sz w:val="18"/>
                <w:szCs w:val="18"/>
                <w:color w:val="auto"/>
              </w:rPr>
            </w:pP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Chang</w:t>
            </w:r>
          </w:p>
        </w:tc>
      </w:tr>
      <w:tr>
        <w:trPr>
          <w:trHeight w:val="218"/>
        </w:trPr>
        <w:tc>
          <w:tcPr>
            <w:tcW w:w="3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Eric Chang</w:t>
            </w:r>
          </w:p>
        </w:tc>
      </w:tr>
      <w:tr>
        <w:trPr>
          <w:trHeight w:val="234"/>
        </w:trPr>
        <w:tc>
          <w:tcPr>
            <w:tcW w:w="3320" w:type="dxa"/>
            <w:vAlign w:val="bottom"/>
          </w:tcPr>
          <w:p>
            <w:pPr>
              <w:spacing w:after="0"/>
              <w:rPr>
                <w:sz w:val="20"/>
                <w:szCs w:val="20"/>
                <w:color w:val="auto"/>
              </w:rPr>
            </w:pPr>
          </w:p>
        </w:tc>
        <w:tc>
          <w:tcPr>
            <w:tcW w:w="73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Title: Senior Vice President,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48" Type="http://schemas.openxmlformats.org/officeDocument/2006/relationships/hyperlink" Target="http://www.sec.gov/Archives/edgar/data/1377789/000137778917000022/avnwexhibit31amendedandres.htm" TargetMode="External"/><Relationship Id="rId49" Type="http://schemas.openxmlformats.org/officeDocument/2006/relationships/hyperlink" Target="http://www.sec.gov/Archives/edgar/data/1377789/000137778920000079/bylawupdate92320.htm" TargetMode="External"/><Relationship Id="rId50" Type="http://schemas.openxmlformats.org/officeDocument/2006/relationships/hyperlink" Target="https://www.sec.gov/Archives/edgar/data/1377789/000137778920000065/a41aviat-amendedandr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2020-11-05T16:27:53Z</dcterms:created>
  <dcterms:modified xsi:type="dcterms:W3CDTF">2020-11-05T16:27:53Z</dcterms:modified>
</cp:coreProperties>
</file>