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March 31, 2017</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400" w:hanging="451"/>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414020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AVIAT NETWORKS,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Delaware</w:t>
            </w:r>
          </w:p>
        </w:tc>
        <w:tc>
          <w:tcPr>
            <w:tcW w:w="3780" w:type="dxa"/>
            <w:vAlign w:val="bottom"/>
          </w:tcPr>
          <w:p>
            <w:pPr>
              <w:jc w:val="right"/>
              <w:ind w:right="714"/>
              <w:spacing w:after="0"/>
              <w:rPr>
                <w:sz w:val="20"/>
                <w:szCs w:val="20"/>
                <w:color w:val="auto"/>
              </w:rPr>
            </w:pPr>
            <w:r>
              <w:rPr>
                <w:rFonts w:ascii="Arial" w:cs="Arial" w:eastAsia="Arial" w:hAnsi="Arial"/>
                <w:sz w:val="18"/>
                <w:szCs w:val="18"/>
                <w:b w:val="1"/>
                <w:bCs w:val="1"/>
                <w:color w:val="auto"/>
              </w:rPr>
              <w:t>20-5961564</w:t>
            </w:r>
          </w:p>
        </w:tc>
      </w:tr>
      <w:tr>
        <w:trPr>
          <w:trHeight w:val="251"/>
        </w:trPr>
        <w:tc>
          <w:tcPr>
            <w:tcW w:w="5480" w:type="dxa"/>
            <w:vAlign w:val="bottom"/>
          </w:tcPr>
          <w:p>
            <w:pPr>
              <w:jc w:val="center"/>
              <w:ind w:right="1214"/>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98"/>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860 N. McCarthy Blvd., Suite 200, Milpitas, California</w:t>
            </w:r>
          </w:p>
        </w:tc>
        <w:tc>
          <w:tcPr>
            <w:tcW w:w="3780" w:type="dxa"/>
            <w:vAlign w:val="bottom"/>
          </w:tcPr>
          <w:p>
            <w:pPr>
              <w:jc w:val="right"/>
              <w:ind w:right="934"/>
              <w:spacing w:after="0"/>
              <w:rPr>
                <w:sz w:val="20"/>
                <w:szCs w:val="20"/>
                <w:color w:val="auto"/>
              </w:rPr>
            </w:pPr>
            <w:r>
              <w:rPr>
                <w:rFonts w:ascii="Arial" w:cs="Arial" w:eastAsia="Arial" w:hAnsi="Arial"/>
                <w:sz w:val="18"/>
                <w:szCs w:val="18"/>
                <w:b w:val="1"/>
                <w:bCs w:val="1"/>
                <w:color w:val="auto"/>
              </w:rPr>
              <w:t>95035</w:t>
            </w:r>
          </w:p>
        </w:tc>
      </w:tr>
      <w:tr>
        <w:trPr>
          <w:trHeight w:val="251"/>
        </w:trPr>
        <w:tc>
          <w:tcPr>
            <w:tcW w:w="5480" w:type="dxa"/>
            <w:vAlign w:val="bottom"/>
          </w:tcPr>
          <w:p>
            <w:pPr>
              <w:jc w:val="center"/>
              <w:ind w:right="119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6"/>
              </w:rPr>
              <w:t>(Zip Code)</w:t>
            </w:r>
          </w:p>
        </w:tc>
      </w:tr>
    </w:tbl>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(408) 941-7100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9" w:lineRule="exact"/>
        <w:rPr>
          <w:sz w:val="24"/>
          <w:szCs w:val="24"/>
          <w:color w:val="auto"/>
        </w:rPr>
      </w:pPr>
    </w:p>
    <w:p>
      <w:pPr>
        <w:ind w:right="520"/>
        <w:spacing w:after="0" w:line="222"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80" w:type="dxa"/>
            <w:vAlign w:val="bottom"/>
          </w:tcPr>
          <w:p>
            <w:pPr>
              <w:ind w:left="400"/>
              <w:spacing w:after="0"/>
              <w:rPr>
                <w:sz w:val="20"/>
                <w:szCs w:val="20"/>
                <w:color w:val="auto"/>
              </w:rPr>
            </w:pPr>
            <w:r>
              <w:rPr>
                <w:rFonts w:ascii="Arial" w:cs="Arial" w:eastAsia="Arial" w:hAnsi="Arial"/>
                <w:sz w:val="18"/>
                <w:szCs w:val="18"/>
                <w:color w:val="auto"/>
              </w:rPr>
              <w:t>o</w:t>
            </w:r>
          </w:p>
        </w:tc>
        <w:tc>
          <w:tcPr>
            <w:tcW w:w="334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400"/>
              <w:spacing w:after="0"/>
              <w:rPr>
                <w:sz w:val="20"/>
                <w:szCs w:val="20"/>
                <w:color w:val="auto"/>
              </w:rPr>
            </w:pPr>
            <w:r>
              <w:rPr>
                <w:rFonts w:ascii="Arial" w:cs="Arial" w:eastAsia="Arial" w:hAnsi="Arial"/>
                <w:sz w:val="18"/>
                <w:szCs w:val="18"/>
                <w:color w:val="auto"/>
              </w:rPr>
              <w:t>x (Do not check if a smaller reporting company)</w:t>
            </w:r>
          </w:p>
        </w:tc>
        <w:tc>
          <w:tcPr>
            <w:tcW w:w="334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680" w:type="dxa"/>
            <w:vAlign w:val="bottom"/>
          </w:tcPr>
          <w:p>
            <w:pPr>
              <w:ind w:left="400"/>
              <w:spacing w:after="0"/>
              <w:rPr>
                <w:sz w:val="20"/>
                <w:szCs w:val="20"/>
                <w:color w:val="auto"/>
              </w:rPr>
            </w:pPr>
            <w:r>
              <w:rPr>
                <w:rFonts w:ascii="Arial" w:cs="Arial" w:eastAsia="Arial" w:hAnsi="Arial"/>
                <w:sz w:val="18"/>
                <w:szCs w:val="18"/>
                <w:color w:val="auto"/>
              </w:rPr>
              <w:t>o</w:t>
            </w:r>
          </w:p>
        </w:tc>
        <w:tc>
          <w:tcPr>
            <w:tcW w:w="334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12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8"/>
          <w:szCs w:val="18"/>
          <w:color w:val="auto"/>
        </w:rPr>
        <w:t>☐</w:t>
      </w:r>
    </w:p>
    <w:p>
      <w:pPr>
        <w:spacing w:after="0" w:line="74" w:lineRule="exact"/>
        <w:rPr>
          <w:sz w:val="24"/>
          <w:szCs w:val="24"/>
          <w:color w:val="auto"/>
        </w:rPr>
      </w:pPr>
    </w:p>
    <w:p>
      <w:pPr>
        <w:ind w:right="204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 The number of shares outstanding of the registrant’s Common Stock as of May 4, 2017 was 5,315,433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8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50"/>
        </w:trPr>
        <w:tc>
          <w:tcPr>
            <w:tcW w:w="1086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860" w:type="dxa"/>
            <w:vAlign w:val="bottom"/>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Item 1. Financial Statements</w:t>
              </w:r>
            </w:hyperlink>
          </w:p>
        </w:tc>
        <w:tc>
          <w:tcPr>
            <w:tcW w:w="5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
        </w:trPr>
        <w:tc>
          <w:tcPr>
            <w:tcW w:w="10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 March 31, 2017 and July 1, 2016 (Unaudited)</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860" w:type="dxa"/>
            <w:vAlign w:val="bottom"/>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Operations - Three and Nine Months Ended March 31, 2017 and April 1, 2016 (Unaudited)</w:t>
              </w:r>
            </w:hyperlink>
          </w:p>
        </w:tc>
        <w:tc>
          <w:tcPr>
            <w:tcW w:w="5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
        </w:trPr>
        <w:tc>
          <w:tcPr>
            <w:tcW w:w="10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9"/>
        </w:trPr>
        <w:tc>
          <w:tcPr>
            <w:tcW w:w="10860" w:type="dxa"/>
            <w:vAlign w:val="bottom"/>
            <w:shd w:val="clear" w:color="auto" w:fill="CCEEFF"/>
          </w:tcPr>
          <w:p>
            <w:pPr>
              <w:ind w:left="380"/>
              <w:spacing w:after="0"/>
              <w:rPr>
                <w:rFonts w:ascii="Arial" w:cs="Arial" w:eastAsia="Arial" w:hAnsi="Arial"/>
                <w:sz w:val="18"/>
                <w:szCs w:val="18"/>
                <w:color w:val="auto"/>
                <w:w w:val="95"/>
              </w:rPr>
            </w:pPr>
            <w:hyperlink w:anchor="page5">
              <w:r>
                <w:rPr>
                  <w:rFonts w:ascii="Arial" w:cs="Arial" w:eastAsia="Arial" w:hAnsi="Arial"/>
                  <w:sz w:val="18"/>
                  <w:szCs w:val="18"/>
                  <w:color w:val="auto"/>
                  <w:w w:val="95"/>
                </w:rPr>
                <w:t>Condensed Consolidated Statements of Comprehensive Income (Loss) - Three and Nine Months Ended March 31, 2017 and April 1, 2016</w:t>
              </w:r>
            </w:hyperlink>
          </w:p>
        </w:tc>
        <w:tc>
          <w:tcPr>
            <w:tcW w:w="560" w:type="dxa"/>
            <w:vAlign w:val="bottom"/>
            <w:shd w:val="clear" w:color="auto" w:fill="CCEEFF"/>
          </w:tcPr>
          <w:p>
            <w:pPr>
              <w:spacing w:after="0"/>
              <w:rPr>
                <w:sz w:val="19"/>
                <w:szCs w:val="19"/>
                <w:color w:val="auto"/>
              </w:rPr>
            </w:pPr>
          </w:p>
        </w:tc>
      </w:tr>
      <w:tr>
        <w:trPr>
          <w:trHeight w:val="237"/>
        </w:trPr>
        <w:tc>
          <w:tcPr>
            <w:tcW w:w="10860" w:type="dxa"/>
            <w:vAlign w:val="bottom"/>
            <w:tcBorders>
              <w:bottom w:val="single" w:sz="8" w:color="CCEEFF"/>
            </w:tcBorders>
            <w:shd w:val="clear" w:color="auto" w:fill="CCEEFF"/>
          </w:tcPr>
          <w:p>
            <w:pPr>
              <w:ind w:left="620"/>
              <w:spacing w:after="0"/>
              <w:rPr>
                <w:rFonts w:ascii="Arial" w:cs="Arial" w:eastAsia="Arial" w:hAnsi="Arial"/>
                <w:sz w:val="18"/>
                <w:szCs w:val="18"/>
                <w:color w:val="auto"/>
              </w:rPr>
            </w:pPr>
            <w:hyperlink w:anchor="page5">
              <w:r>
                <w:rPr>
                  <w:rFonts w:ascii="Arial" w:cs="Arial" w:eastAsia="Arial" w:hAnsi="Arial"/>
                  <w:sz w:val="18"/>
                  <w:szCs w:val="18"/>
                  <w:color w:val="auto"/>
                </w:rPr>
                <w:t>(Unaudited)</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10860" w:type="dxa"/>
            <w:vAlign w:val="bottom"/>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 - Nine Months Ended March 31, 2017 and April 1, 2016 (Unaudited)</w:t>
              </w:r>
            </w:hyperlink>
          </w:p>
        </w:tc>
        <w:tc>
          <w:tcPr>
            <w:tcW w:w="5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10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 (Unaudited)</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43"/>
        </w:trPr>
        <w:tc>
          <w:tcPr>
            <w:tcW w:w="10860" w:type="dxa"/>
            <w:vAlign w:val="bottom"/>
          </w:tcPr>
          <w:p>
            <w:pPr>
              <w:ind w:left="380"/>
              <w:spacing w:after="0"/>
              <w:rPr>
                <w:rFonts w:ascii="Arial" w:cs="Arial" w:eastAsia="Arial" w:hAnsi="Arial"/>
                <w:sz w:val="18"/>
                <w:szCs w:val="18"/>
                <w:color w:val="auto"/>
              </w:rPr>
            </w:pPr>
            <w:hyperlink w:anchor="page20">
              <w:r>
                <w:rPr>
                  <w:rFonts w:ascii="Arial" w:cs="Arial" w:eastAsia="Arial" w:hAnsi="Arial"/>
                  <w:sz w:val="18"/>
                  <w:szCs w:val="18"/>
                  <w:color w:val="auto"/>
                </w:rPr>
                <w:t>Item 2. 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7"/>
        </w:trPr>
        <w:tc>
          <w:tcPr>
            <w:tcW w:w="10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7">
              <w:r>
                <w:rPr>
                  <w:rFonts w:ascii="Arial" w:cs="Arial" w:eastAsia="Arial" w:hAnsi="Arial"/>
                  <w:sz w:val="18"/>
                  <w:szCs w:val="18"/>
                  <w:color w:val="auto"/>
                </w:rPr>
                <w:t>Item 3. Quantitative and Qualitative Disclosures About Market Risk</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43"/>
        </w:trPr>
        <w:tc>
          <w:tcPr>
            <w:tcW w:w="10860" w:type="dxa"/>
            <w:vAlign w:val="bottom"/>
          </w:tcPr>
          <w:p>
            <w:pPr>
              <w:ind w:left="380"/>
              <w:spacing w:after="0"/>
              <w:rPr>
                <w:rFonts w:ascii="Arial" w:cs="Arial" w:eastAsia="Arial" w:hAnsi="Arial"/>
                <w:sz w:val="18"/>
                <w:szCs w:val="18"/>
                <w:color w:val="auto"/>
              </w:rPr>
            </w:pPr>
            <w:hyperlink w:anchor="page29">
              <w:r>
                <w:rPr>
                  <w:rFonts w:ascii="Arial" w:cs="Arial" w:eastAsia="Arial" w:hAnsi="Arial"/>
                  <w:sz w:val="18"/>
                  <w:szCs w:val="18"/>
                  <w:color w:val="auto"/>
                </w:rPr>
                <w:t>Item 4. Controls and Procedures</w:t>
              </w:r>
            </w:hyperlink>
          </w:p>
        </w:tc>
        <w:tc>
          <w:tcPr>
            <w:tcW w:w="5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7"/>
        </w:trPr>
        <w:tc>
          <w:tcPr>
            <w:tcW w:w="10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Part II. Other Information</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43"/>
        </w:trPr>
        <w:tc>
          <w:tcPr>
            <w:tcW w:w="10860" w:type="dxa"/>
            <w:vAlign w:val="bottom"/>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1. Legal Proceedings</w:t>
              </w:r>
            </w:hyperlink>
          </w:p>
        </w:tc>
        <w:tc>
          <w:tcPr>
            <w:tcW w:w="5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7"/>
        </w:trPr>
        <w:tc>
          <w:tcPr>
            <w:tcW w:w="10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1A. Risk Factors</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43"/>
        </w:trPr>
        <w:tc>
          <w:tcPr>
            <w:tcW w:w="10860" w:type="dxa"/>
            <w:vAlign w:val="bottom"/>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2. Unregistered Sales of Equity Securities and Use of Proceeds</w:t>
              </w:r>
            </w:hyperlink>
          </w:p>
        </w:tc>
        <w:tc>
          <w:tcPr>
            <w:tcW w:w="5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7"/>
        </w:trPr>
        <w:tc>
          <w:tcPr>
            <w:tcW w:w="10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3. Defaults upon Senior Securities</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43"/>
        </w:trPr>
        <w:tc>
          <w:tcPr>
            <w:tcW w:w="10860" w:type="dxa"/>
            <w:vAlign w:val="bottom"/>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4. Mine Safety Disclosures</w:t>
              </w:r>
            </w:hyperlink>
          </w:p>
        </w:tc>
        <w:tc>
          <w:tcPr>
            <w:tcW w:w="5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7"/>
        </w:trPr>
        <w:tc>
          <w:tcPr>
            <w:tcW w:w="10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5. Other Information</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43"/>
        </w:trPr>
        <w:tc>
          <w:tcPr>
            <w:tcW w:w="10860" w:type="dxa"/>
            <w:vAlign w:val="bottom"/>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6. Exhibits</w:t>
              </w:r>
            </w:hyperlink>
          </w:p>
        </w:tc>
        <w:tc>
          <w:tcPr>
            <w:tcW w:w="5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7"/>
        </w:trPr>
        <w:tc>
          <w:tcPr>
            <w:tcW w:w="10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086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Signature</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43"/>
        </w:trPr>
        <w:tc>
          <w:tcPr>
            <w:tcW w:w="10860" w:type="dxa"/>
            <w:vAlign w:val="bottom"/>
          </w:tcPr>
          <w:p>
            <w:pPr>
              <w:ind w:left="40"/>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Exhibit Index</w:t>
              </w:r>
            </w:hyperlink>
          </w:p>
        </w:tc>
        <w:tc>
          <w:tcPr>
            <w:tcW w:w="5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486"/>
        </w:trPr>
        <w:tc>
          <w:tcPr>
            <w:tcW w:w="10860" w:type="dxa"/>
            <w:vAlign w:val="bottom"/>
          </w:tcPr>
          <w:p>
            <w:pPr>
              <w:ind w:left="566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300" w:type="dxa"/>
            <w:vAlign w:val="bottom"/>
          </w:tcPr>
          <w:p>
            <w:pPr>
              <w:jc w:val="center"/>
              <w:ind w:left="149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12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tcPr>
          <w:p>
            <w:pPr>
              <w:jc w:val="center"/>
              <w:ind w:right="5550"/>
              <w:spacing w:after="0"/>
              <w:rPr>
                <w:sz w:val="20"/>
                <w:szCs w:val="20"/>
                <w:color w:val="auto"/>
              </w:rPr>
            </w:pPr>
            <w:r>
              <w:rPr>
                <w:rFonts w:ascii="Arial" w:cs="Arial" w:eastAsia="Arial" w:hAnsi="Arial"/>
                <w:sz w:val="18"/>
                <w:szCs w:val="18"/>
                <w:b w:val="1"/>
                <w:bCs w:val="1"/>
                <w:color w:val="auto"/>
                <w:w w:val="89"/>
              </w:rPr>
              <w:t>Financial Statements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90"/>
              <w:spacing w:after="0"/>
              <w:rPr>
                <w:sz w:val="20"/>
                <w:szCs w:val="20"/>
                <w:color w:val="auto"/>
              </w:rPr>
            </w:pPr>
            <w:r>
              <w:rPr>
                <w:rFonts w:ascii="Arial" w:cs="Arial" w:eastAsia="Arial" w:hAnsi="Arial"/>
                <w:sz w:val="18"/>
                <w:szCs w:val="18"/>
                <w:b w:val="1"/>
                <w:bCs w:val="1"/>
                <w:color w:val="auto"/>
              </w:rPr>
              <w:t>AVIAT NETWORKS, INC.</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24"/>
                <w:szCs w:val="24"/>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CCEEFF"/>
            </w:tcBorders>
            <w:vMerge w:val="continue"/>
          </w:tcPr>
          <w:p>
            <w:pPr>
              <w:spacing w:after="0"/>
              <w:rPr>
                <w:sz w:val="16"/>
                <w:szCs w:val="16"/>
                <w:color w:val="auto"/>
              </w:rPr>
            </w:pPr>
          </w:p>
        </w:tc>
        <w:tc>
          <w:tcPr>
            <w:tcW w:w="7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8"/>
              </w:rPr>
              <w:t>Current Assets:</w:t>
            </w:r>
          </w:p>
        </w:tc>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30,479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63,449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Unbilled costs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9,777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7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Customer service inventories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10,790</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128,767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140,414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7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151,524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166,111</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29,816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33,217</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Advance payments and unearned income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23,218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85,160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99,947</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112,654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 xml:space="preserve">Preferred stock, </w:t>
            </w:r>
            <w:r>
              <w:rPr>
                <w:rFonts w:ascii="Arial" w:cs="Arial" w:eastAsia="Arial" w:hAnsi="Arial"/>
                <w:sz w:val="14"/>
                <w:szCs w:val="14"/>
                <w:color w:val="auto"/>
              </w:rPr>
              <w:t>$0.01 par value, 50,000,000 shares authorized, no shares issued or outstanding</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 xml:space="preserve">Common stock, </w:t>
            </w:r>
            <w:r>
              <w:rPr>
                <w:rFonts w:ascii="Arial" w:cs="Arial" w:eastAsia="Arial" w:hAnsi="Arial"/>
                <w:sz w:val="14"/>
                <w:szCs w:val="14"/>
                <w:color w:val="auto"/>
                <w:w w:val="94"/>
              </w:rPr>
              <w:t>$0.01 par value, 300,000,000 shares authorized, 5,314,860 shares issued and outstanding at March 31, 2017; 5,261,041</w:t>
            </w:r>
          </w:p>
        </w:tc>
        <w:tc>
          <w:tcPr>
            <w:tcW w:w="2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4"/>
        </w:trPr>
        <w:tc>
          <w:tcPr>
            <w:tcW w:w="85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shares issued and outstanding at July 1, 2016</w:t>
            </w: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813,120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811,601</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(747,381)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7"/>
        </w:trPr>
        <w:tc>
          <w:tcPr>
            <w:tcW w:w="1280" w:type="dxa"/>
            <w:vAlign w:val="bottom"/>
          </w:tcPr>
          <w:p>
            <w:pPr>
              <w:ind w:left="380"/>
              <w:spacing w:after="0"/>
              <w:rPr>
                <w:sz w:val="20"/>
                <w:szCs w:val="20"/>
                <w:color w:val="auto"/>
              </w:rPr>
            </w:pPr>
            <w:r>
              <w:rPr>
                <w:rFonts w:ascii="Arial" w:cs="Arial" w:eastAsia="Arial" w:hAnsi="Arial"/>
                <w:sz w:val="18"/>
                <w:szCs w:val="18"/>
                <w:color w:val="auto"/>
                <w:w w:val="94"/>
              </w:rPr>
              <w:t>Total equity</w:t>
            </w:r>
          </w:p>
        </w:tc>
        <w:tc>
          <w:tcPr>
            <w:tcW w:w="7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54,848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jc w:val="center"/>
              <w:ind w:right="427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151,524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166,111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840" w:type="dxa"/>
            <w:vAlign w:val="bottom"/>
          </w:tcPr>
          <w:p>
            <w:pPr>
              <w:jc w:val="right"/>
              <w:ind w:right="211"/>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39,099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36,241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119,781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134,602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75,836</w:t>
            </w: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58,700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60,467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185,443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210,438</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28,454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82,774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98,962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59,628</w:t>
            </w: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40,968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46,054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129,230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158,590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51,848</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15,749</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16,140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42,527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49,430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56,552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66,038</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 net of tax</w:t>
            </w:r>
          </w:p>
        </w:tc>
        <w:tc>
          <w:tcPr>
            <w:tcW w:w="2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Aviat Networks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 attributable to Aviat Networks: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Net (loss) income from continuing operations, net of tax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(15,209)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from discontinued operations, net of tax</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Basic (loss) income per share attributable to Aviat Networks’ common stockholders: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297"/>
        </w:trPr>
        <w:tc>
          <w:tcPr>
            <w:tcW w:w="6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(loss) income</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basic</w:t>
            </w: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5,230</w:t>
            </w:r>
          </w:p>
        </w:tc>
      </w:tr>
      <w:tr>
        <w:trPr>
          <w:trHeight w:val="27"/>
        </w:trPr>
        <w:tc>
          <w:tcPr>
            <w:tcW w:w="6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Diluted (loss) income per share attributable to Aviat Networks’ common stockholders: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6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297"/>
        </w:trPr>
        <w:tc>
          <w:tcPr>
            <w:tcW w:w="6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(loss) income</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diluted</w:t>
            </w: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5,230</w:t>
            </w:r>
          </w:p>
        </w:tc>
      </w:tr>
      <w:tr>
        <w:trPr>
          <w:trHeight w:val="27"/>
        </w:trPr>
        <w:tc>
          <w:tcPr>
            <w:tcW w:w="6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74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42"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8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Reclassification of realized gain</w:t>
            </w:r>
          </w:p>
        </w:tc>
        <w:tc>
          <w:tcPr>
            <w:tcW w:w="2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loss on hedging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arising during period</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Reclassification of gain on liquidation of subsidiary</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cumulative translation adjustments</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2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attributable to Aviat Networks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10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plant and equipment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(Recovery) provision for uncollectible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Charges for inventory and customer service inventory write-downs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Gain on liquidation of subsidiary</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19,220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service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Advance payments and unearned income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 or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assets and liabilities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7,073</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acquisition of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borrowings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30,479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34,735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39,722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Due to the volume of our international sales, especially in developing countries, we may be susceptible to a number of political, economic and geographic risks that could harm our business as outlined in “Item 1A. Risk Factors” in our Annual Report on Form 10-K for the fiscal year ended July 1, 2016.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nine months ended March 31, 2017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July 1, 2016.</w:t>
      </w:r>
    </w:p>
    <w:p>
      <w:pPr>
        <w:spacing w:after="0" w:line="143"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wholly-owned and majority-owned subsidiaries. All intercompany transactions and accounts have been eliminated.</w:t>
      </w:r>
    </w:p>
    <w:p>
      <w:pPr>
        <w:spacing w:after="0" w:line="116"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We operate on a 52-week or 53-week year ending on the Friday closest to June 30. The first three quarters of fiscal 2017 and fiscal 2016 included 13 weeks in each quarter. Fiscal year 2017 will be comprised of 52 weeks and will end on June 30,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In June 2016, we effected a reverse stock split of all of the outstanding shares of our common stock at a ratio of 1-for-12 (“Reverse Stock Split”). The authorized shares of 300 million and par value per share of the common stock at $0.01 per share remain unchanged after the reverse stock split. All share and per-share data in our unaudited condensed consolidated financial statements and applicable disclosures have been retroactively adjusted to reflect this reverse stock split.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nine months ended March 31, 2017, as compared to the significant accounting policies described in our Annual Report on Form 10-K for the fiscal year ended July 1,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 xml:space="preserve">In April 2015, the Financial Accounting Standards Board (“FASB”) issued Accounting Standards Update (“ASU”) No. 2015-03, Interest - Imputation of Interest (Topic 835-30),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xml:space="preserve">. To simplify the presentation of debt issuance costs, the standard requires that debt issuance costs related to a recognized debt liability be presented in the balance sheet as a direct deduction from the carrying amount of that debt liability, consistent with debt discounts. The standard is effective for us beginning in our fiscal year 2017. In August 2015, the FASB issued ASU No. 2015-15, </w:t>
      </w:r>
      <w:r>
        <w:rPr>
          <w:rFonts w:ascii="Arial" w:cs="Arial" w:eastAsia="Arial" w:hAnsi="Arial"/>
          <w:sz w:val="16"/>
          <w:szCs w:val="16"/>
          <w:i w:val="1"/>
          <w:iCs w:val="1"/>
          <w:color w:val="auto"/>
        </w:rPr>
        <w:t>Presentation and Subsequent Measurement of Debt Issuance Costs Associated with Line-of-Credit Arrangements</w:t>
      </w:r>
      <w:r>
        <w:rPr>
          <w:rFonts w:ascii="Arial" w:cs="Arial" w:eastAsia="Arial" w:hAnsi="Arial"/>
          <w:sz w:val="16"/>
          <w:szCs w:val="16"/>
          <w:color w:val="auto"/>
        </w:rPr>
        <w:t>. This ASU includes an SEC staff</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announcement that the SEC staff would not object to an entity deferring and presenting the costs of securing a revolving line of credit as an asset, and amortizing the costs over the term of the line-of-credit arrangement, regardless of there are any outstanding borrowings on the line-of-credit arrangement. The subject of this ASU was not previously addressed by ASU No. 2015-03. We have adopted both accounting guidance during the first quarter of fiscal 2017 and applied its provisions retrospectively. The adoption of this standard had no material impact on our financial statements and related disclosures.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 xml:space="preserve">In November 2016, the FASB issued ASU 2016-18 Statement of Cash Flows (Topic 230): </w:t>
      </w:r>
      <w:r>
        <w:rPr>
          <w:rFonts w:ascii="Arial" w:cs="Arial" w:eastAsia="Arial" w:hAnsi="Arial"/>
          <w:sz w:val="18"/>
          <w:szCs w:val="18"/>
          <w:i w:val="1"/>
          <w:iCs w:val="1"/>
          <w:color w:val="auto"/>
        </w:rPr>
        <w:t>Restricted Cash</w:t>
      </w:r>
      <w:r>
        <w:rPr>
          <w:rFonts w:ascii="Arial" w:cs="Arial" w:eastAsia="Arial" w:hAnsi="Arial"/>
          <w:sz w:val="18"/>
          <w:szCs w:val="18"/>
          <w:color w:val="auto"/>
        </w:rPr>
        <w:t>. The guidance addresses diversity in practice that exists in the classification and presentation of changes in restricted cash and require that a statement of cash flows explain the change during the period in the total of cash, cash equivalents, and amounts generally described as restricted cash or restricted cash equivalents. The guidance will be effective retrospectively for our fiscal year 2019. Early adoption is permitted. We do not expect the adoption of this standard to have a material impact on our financial statements.</w:t>
      </w:r>
    </w:p>
    <w:p>
      <w:pPr>
        <w:spacing w:after="0" w:line="134"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 xml:space="preserve">In October 2016, the FASB issued ASU 2016-16 (Topic 740), </w:t>
      </w:r>
      <w:r>
        <w:rPr>
          <w:rFonts w:ascii="Arial" w:cs="Arial" w:eastAsia="Arial" w:hAnsi="Arial"/>
          <w:sz w:val="18"/>
          <w:szCs w:val="18"/>
          <w:i w:val="1"/>
          <w:iCs w:val="1"/>
          <w:color w:val="auto"/>
        </w:rPr>
        <w:t>Accounting for Income Taxes: Intra-Entity Asset Transfers of Assets Other than</w:t>
      </w:r>
      <w:r>
        <w:rPr>
          <w:rFonts w:ascii="Arial" w:cs="Arial" w:eastAsia="Arial" w:hAnsi="Arial"/>
          <w:sz w:val="18"/>
          <w:szCs w:val="18"/>
          <w:color w:val="auto"/>
        </w:rPr>
        <w:t xml:space="preserve"> </w:t>
      </w:r>
      <w:r>
        <w:rPr>
          <w:rFonts w:ascii="Arial" w:cs="Arial" w:eastAsia="Arial" w:hAnsi="Arial"/>
          <w:sz w:val="18"/>
          <w:szCs w:val="18"/>
          <w:i w:val="1"/>
          <w:iCs w:val="1"/>
          <w:color w:val="auto"/>
        </w:rPr>
        <w:t>Inventory</w:t>
      </w:r>
      <w:r>
        <w:rPr>
          <w:rFonts w:ascii="Arial" w:cs="Arial" w:eastAsia="Arial" w:hAnsi="Arial"/>
          <w:sz w:val="18"/>
          <w:szCs w:val="18"/>
          <w:color w:val="auto"/>
        </w:rPr>
        <w:t>, which requires that an entity recognizes the tax expense from the sale of intra-entity sales of assets, other than inventory, in the seller’s tax</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when the transfer occurs, even though the pre-tax effects of that transaction are eliminate in consolidation. The guidance will be effective for our fiscal year 2019. Early adoption is permitted. The ASU must be adopted using a modified retrospective method. We are evaluating the effect the adoption of the standard will have on our financial statements and related disclosures. We do not expect the adoption of this standard to have a material impact on our financial statements.</w:t>
      </w:r>
    </w:p>
    <w:p>
      <w:pPr>
        <w:spacing w:after="0" w:line="13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August 2016, the FASB issued ASU No. 2016-15 Statement of Cash Flows (Topic 230)</w:t>
      </w:r>
      <w:r>
        <w:rPr>
          <w:rFonts w:ascii="Arial" w:cs="Arial" w:eastAsia="Arial" w:hAnsi="Arial"/>
          <w:sz w:val="18"/>
          <w:szCs w:val="18"/>
          <w:i w:val="1"/>
          <w:iCs w:val="1"/>
          <w:color w:val="auto"/>
        </w:rPr>
        <w:t>, Clarification of Certain Cash Receipts and Cash Payments</w:t>
      </w:r>
      <w:r>
        <w:rPr>
          <w:rFonts w:ascii="Arial" w:cs="Arial" w:eastAsia="Arial" w:hAnsi="Arial"/>
          <w:sz w:val="18"/>
          <w:szCs w:val="18"/>
          <w:color w:val="auto"/>
        </w:rPr>
        <w:t>, which provides guidance on the presentation and classification of eight specific cash flow issues. Those issues are cash payment for debt prepayment or debt extinguishment costs; settlement of zero-coupon debt instrument or other debt instrument with coupon interest rates that are insignificant in relation to the effective interest rate of the borrowing; contingent consideration payments made after a business combination; cash received from settlement of corporate-owned life insurance policies; distribution received from equity method investees; beneficial interest in securitization transactions; and classification of cash receipts and payments that have aspect of more than one class of cash flows. The guidance is effective for annual periods and interim periods within those annual periods beginning after December 15, 2017 with early adoption permitted. We do not expect the adoption of this standard to have a material impact on our financial statements.</w:t>
      </w:r>
    </w:p>
    <w:p>
      <w:pPr>
        <w:spacing w:after="0" w:line="138"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 xml:space="preserve">In May 2014, the FASB issued ASU No. 2014-09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along with amendments issued in 2015 and 2016, will supersede nearly all current U.S. GAAP guidance on this topic and eliminate industry-specific guidance. The amendments are based on the principle that revenue should be recognized to depict the transfer of promised goods or services to customers in an amount that reflects the consideration to which the entity expects to be entitled in exchange for those goods or services. Additional disclosures will also be required to enable users to understand the nature, amount, timing and uncertainty of revenue and cash flows arising from contracts with customers. This accounting standard update, as amended, will be effective for us in the first quarter of fiscal year 2019. The new revenue standard may be applied retrospectively to each prior period presented or retrospectively with the cumulative effect recognized in retained earnings as of the date of adoption. We are in the early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46" w:right="259" w:bottom="1440" w:gutter="0" w:footer="0" w:header="0"/>
        </w:sectPr>
      </w:pPr>
    </w:p>
    <w:bookmarkStart w:id="8" w:name="page9"/>
    <w:bookmarkEnd w:id="8"/>
    <w:p>
      <w:pPr>
        <w:ind w:right="100"/>
        <w:spacing w:after="0" w:line="259" w:lineRule="auto"/>
        <w:rPr>
          <w:sz w:val="20"/>
          <w:szCs w:val="20"/>
          <w:color w:val="auto"/>
        </w:rPr>
      </w:pPr>
      <w:r>
        <w:rPr>
          <w:rFonts w:ascii="Arial" w:cs="Arial" w:eastAsia="Arial" w:hAnsi="Arial"/>
          <w:sz w:val="18"/>
          <w:szCs w:val="18"/>
          <w:color w:val="auto"/>
        </w:rPr>
        <w:t>stages of evaluating the provisions and transition alternatives of this standard and its impact on our business processes, business and accounting systems, and financial statements and related disclosures. Due to the complexity of the new standard and the nature of our contracts, the actual revenue recognition treatment required under the new standard may vary and will be dependent on contract-specific terms. We are continuing to evaluate the impact of this guidance and the transition alternatives on our financial statements.</w:t>
      </w:r>
    </w:p>
    <w:p>
      <w:pPr>
        <w:spacing w:after="0" w:line="133"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 xml:space="preserve">In March 2016, the FASB issued ASU 2016-09, (Topic 718)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requires the recognition of the income tax effects of awards in the income statement when the awards vest or are settled, thus eliminating additional paid in capital pools. The guidance also allows for the employer to repurchase more of an employee’s shares for tax withholding purposes without triggering liability accounting. In addition, the guidance allows for a policy election to account for forfeitures as they occur rather than on an estimated basis. The guidance is effective for annual periods and interim periods within those annual periods beginning after December 15, 2016 with early adoption permitted. We do not expect the adoption of this standard to have a material impact on our financial statements.</w:t>
      </w:r>
    </w:p>
    <w:p>
      <w:pPr>
        <w:spacing w:after="0" w:line="124" w:lineRule="exact"/>
        <w:rPr>
          <w:sz w:val="20"/>
          <w:szCs w:val="20"/>
          <w:color w:val="auto"/>
        </w:rPr>
      </w:pPr>
    </w:p>
    <w:p>
      <w:pPr>
        <w:ind w:right="180" w:firstLine="486"/>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introduces the recognition of lease assets and lease liabilities by lessees for those leases classified as operating leases under previous guidance. This standard will become effective for interim and annual periods beginning after December 15, 2018, with early adoption permitted. The guidance is required to be adopted at the earliest period presented using a modified retrospective approach. We expect that most of our operating lease commitments will be subject to the new standard and recognized as right-of-use assets and operating lease liabilities upon the adoption of ASU 2016-02. We are evaluating the effect the adoption of the standard will have on our financial statements.</w:t>
      </w:r>
    </w:p>
    <w:p>
      <w:pPr>
        <w:spacing w:after="0" w:line="104"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This guidance retains the current accounting for classifying and measuring investments in debt securities and loans, but</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do not expect the adoption of this standard to have a material impact on our financial statements.</w:t>
      </w:r>
    </w:p>
    <w:p>
      <w:pPr>
        <w:spacing w:after="0" w:line="113"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 xml:space="preserve">In July 2015, the FASB issued ASU No. 2015-11 (Topic 330),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which provides guidance to companies who account for inventory using either the first-in, first-out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This ASU is effective for fiscal years beginning after December 15, 2016. Early adoption is permitted. We are evaluating the effect the adoption of the standard will have on our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(Loss) Income Per Share of Common Stock</w:t>
      </w:r>
    </w:p>
    <w:p>
      <w:pPr>
        <w:spacing w:after="0" w:line="17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Net (loss) income per share is computed using the two-class method, by dividing net (loss) income attributable to us by the weighted-average number of shares of our outstanding common stock.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due to the fact that the unvested restricted shares are not contractually obligated to share our losses. The impact on earnings per share of the participating securities under the two-class method is immaterial.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(loss) per share attributable to the common stockholders: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8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Net (loss) income from continuing operations, net of tax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(15,209)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97"/>
        </w:trPr>
        <w:tc>
          <w:tcPr>
            <w:tcW w:w="6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(loss) income attributable to Aviat Networks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(14,756)</w:t>
            </w:r>
          </w:p>
        </w:tc>
        <w:tc>
          <w:tcPr>
            <w:tcW w:w="0" w:type="dxa"/>
            <w:vAlign w:val="bottom"/>
          </w:tcPr>
          <w:p>
            <w:pPr>
              <w:spacing w:after="0"/>
              <w:rPr>
                <w:sz w:val="1"/>
                <w:szCs w:val="1"/>
                <w:color w:val="auto"/>
              </w:rPr>
            </w:pPr>
          </w:p>
        </w:tc>
      </w:tr>
      <w:tr>
        <w:trPr>
          <w:trHeight w:val="311"/>
        </w:trPr>
        <w:tc>
          <w:tcPr>
            <w:tcW w:w="6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 basic</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Effect of potentially dilutive equivalent shares</w:t>
            </w:r>
          </w:p>
        </w:tc>
        <w:tc>
          <w:tcPr>
            <w:tcW w:w="2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 diluted</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5,392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Basic (loss) income per share attributable to Aviat Networks’ common stockholders: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6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297"/>
        </w:trPr>
        <w:tc>
          <w:tcPr>
            <w:tcW w:w="6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(loss) income</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311"/>
        </w:trPr>
        <w:tc>
          <w:tcPr>
            <w:tcW w:w="62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Diluted (loss) income per share attributable to Aviat Networks’ common stockholders: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5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0.09</w:t>
            </w:r>
          </w:p>
        </w:tc>
      </w:tr>
      <w:tr>
        <w:trPr>
          <w:trHeight w:val="27"/>
        </w:trPr>
        <w:tc>
          <w:tcPr>
            <w:tcW w:w="62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income</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6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weighted-average equity awards that were excluded from the diluted net (loss) income per share calculations: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4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80" w:type="dxa"/>
            <w:vAlign w:val="bottom"/>
            <w:tcBorders>
              <w:bottom w:val="single" w:sz="8" w:color="auto"/>
            </w:tcBorders>
            <w:gridSpan w:val="6"/>
          </w:tcPr>
          <w:p>
            <w:pPr>
              <w:jc w:val="right"/>
              <w:ind w:right="5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13"/>
                <w:szCs w:val="13"/>
                <w:color w:val="auto"/>
              </w:rPr>
            </w:pPr>
          </w:p>
        </w:tc>
        <w:tc>
          <w:tcPr>
            <w:tcW w:w="100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9"/>
              </w:rPr>
              <w:t>March 31,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4760" w:type="dxa"/>
            <w:vAlign w:val="bottom"/>
            <w:vMerge w:val="continue"/>
          </w:tcPr>
          <w:p>
            <w:pPr>
              <w:spacing w:after="0"/>
              <w:rPr>
                <w:sz w:val="16"/>
                <w:szCs w:val="16"/>
                <w:color w:val="auto"/>
              </w:rPr>
            </w:pPr>
          </w:p>
        </w:tc>
        <w:tc>
          <w:tcPr>
            <w:tcW w:w="25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6"/>
                <w:szCs w:val="16"/>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Restricted stocks units and performance stock units</w:t>
            </w:r>
          </w:p>
        </w:tc>
        <w:tc>
          <w:tcPr>
            <w:tcW w:w="1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455</w:t>
            </w: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potential shares of common stock excluded</w:t>
            </w:r>
          </w:p>
        </w:tc>
        <w:tc>
          <w:tcPr>
            <w:tcW w:w="1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853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1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60" w:type="dxa"/>
            <w:vAlign w:val="bottom"/>
          </w:tcPr>
          <w:p>
            <w:pPr>
              <w:ind w:left="500"/>
              <w:spacing w:after="0"/>
              <w:rPr>
                <w:sz w:val="20"/>
                <w:szCs w:val="20"/>
                <w:color w:val="auto"/>
              </w:rPr>
            </w:pPr>
            <w:r>
              <w:rPr>
                <w:rFonts w:ascii="Arial" w:cs="Arial" w:eastAsia="Arial" w:hAnsi="Arial"/>
                <w:sz w:val="18"/>
                <w:szCs w:val="18"/>
                <w:color w:val="auto"/>
              </w:rPr>
              <w:t>Our net accounts receivable were as follows:</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417"/>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51,894</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71,416</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(6,717)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45,177</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63,449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399"/>
              <w:spacing w:after="0"/>
              <w:rPr>
                <w:sz w:val="20"/>
                <w:szCs w:val="20"/>
                <w:color w:val="auto"/>
              </w:rPr>
            </w:pPr>
            <w:r>
              <w:rPr>
                <w:rFonts w:ascii="Arial" w:cs="Arial" w:eastAsia="Arial" w:hAnsi="Arial"/>
                <w:sz w:val="18"/>
                <w:szCs w:val="18"/>
                <w:color w:val="auto"/>
              </w:rPr>
              <w:t>10</w:t>
            </w:r>
          </w:p>
        </w:tc>
        <w:tc>
          <w:tcPr>
            <w:tcW w:w="1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inventories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20,338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27,293</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 and supplies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recorded charges to adjust our inventory and customer service inventory to the lower of cost or market. These charges were primarily due to excess and obsolete inventory resulting from product transitioning or discontinuance. During the three and nine months ended March 31, 2017 and April 1, 2016, we recorded a recovery of $0.4 million related to previously reserved inventory due to sell through. Recovery from sell through or charges incurred were classified in cost of product sales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right"/>
              <w:ind w:right="53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April 1,</w:t>
            </w:r>
          </w:p>
        </w:tc>
        <w:tc>
          <w:tcPr>
            <w:tcW w:w="16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(recovery) charges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24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858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80" w:type="dxa"/>
            <w:vAlign w:val="bottom"/>
          </w:tcPr>
          <w:p>
            <w:pPr>
              <w:ind w:left="500"/>
              <w:spacing w:after="0"/>
              <w:rPr>
                <w:sz w:val="20"/>
                <w:szCs w:val="20"/>
                <w:color w:val="auto"/>
              </w:rPr>
            </w:pPr>
            <w:r>
              <w:rPr>
                <w:rFonts w:ascii="Arial" w:cs="Arial" w:eastAsia="Arial" w:hAnsi="Arial"/>
                <w:sz w:val="18"/>
                <w:szCs w:val="18"/>
                <w:color w:val="auto"/>
              </w:rPr>
              <w:t>Our property, plant and equipment, net were as follows: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15"/>
              <w:spacing w:after="0"/>
              <w:rPr>
                <w:sz w:val="20"/>
                <w:szCs w:val="20"/>
                <w:color w:val="auto"/>
              </w:rPr>
            </w:pPr>
            <w:r>
              <w:rPr>
                <w:rFonts w:ascii="Arial" w:cs="Arial" w:eastAsia="Arial" w:hAnsi="Arial"/>
                <w:sz w:val="14"/>
                <w:szCs w:val="14"/>
                <w:b w:val="1"/>
                <w:bCs w:val="1"/>
                <w:color w:val="auto"/>
                <w:w w:val="87"/>
              </w:rPr>
              <w:t>July 1,</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11,362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41,572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42,960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70,004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(52,306)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(51,842)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15,713</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18,162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3"/>
                <w:szCs w:val="13"/>
                <w:color w:val="auto"/>
              </w:rPr>
            </w:pPr>
          </w:p>
        </w:tc>
        <w:tc>
          <w:tcPr>
            <w:tcW w:w="84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6"/>
              </w:rPr>
              <w:t>April 1,</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vMerge w:val="continue"/>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4,540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459"/>
        </w:trPr>
        <w:tc>
          <w:tcPr>
            <w:tcW w:w="3920" w:type="dxa"/>
            <w:vAlign w:val="bottom"/>
          </w:tcPr>
          <w:p>
            <w:pPr>
              <w:spacing w:after="0"/>
              <w:rPr>
                <w:sz w:val="24"/>
                <w:szCs w:val="24"/>
                <w:color w:val="auto"/>
              </w:rPr>
            </w:pP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accrued expenses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commissions</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9,077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23,205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at the time of sale. Changes in our warranty liability, which is included as a component of accrued expenses in the unaudited condensed consolidated balance sheets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April 1,</w:t>
            </w:r>
          </w:p>
        </w:tc>
        <w:tc>
          <w:tcPr>
            <w:tcW w:w="160" w:type="dxa"/>
            <w:vAlign w:val="bottom"/>
          </w:tcPr>
          <w:p>
            <w:pPr>
              <w:spacing w:after="0"/>
              <w:rPr>
                <w:sz w:val="13"/>
                <w:szCs w:val="13"/>
                <w:color w:val="auto"/>
              </w:rPr>
            </w:pPr>
          </w:p>
        </w:tc>
        <w:tc>
          <w:tcPr>
            <w:tcW w:w="9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24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Advanced payments and Unearned Income</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80" w:type="dxa"/>
            <w:vAlign w:val="bottom"/>
          </w:tcPr>
          <w:p>
            <w:pPr>
              <w:ind w:left="500"/>
              <w:spacing w:after="0"/>
              <w:rPr>
                <w:sz w:val="20"/>
                <w:szCs w:val="20"/>
                <w:color w:val="auto"/>
              </w:rPr>
            </w:pPr>
            <w:r>
              <w:rPr>
                <w:rFonts w:ascii="Arial" w:cs="Arial" w:eastAsia="Arial" w:hAnsi="Arial"/>
                <w:sz w:val="18"/>
                <w:szCs w:val="18"/>
                <w:color w:val="auto"/>
              </w:rPr>
              <w:t>Our advanced payments and unearned income are summarized below:</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17"/>
              <w:spacing w:after="0"/>
              <w:rPr>
                <w:sz w:val="20"/>
                <w:szCs w:val="20"/>
                <w:color w:val="auto"/>
              </w:rPr>
            </w:pPr>
            <w:r>
              <w:rPr>
                <w:rFonts w:ascii="Arial" w:cs="Arial" w:eastAsia="Arial" w:hAnsi="Arial"/>
                <w:sz w:val="14"/>
                <w:szCs w:val="14"/>
                <w:b w:val="1"/>
                <w:bCs w:val="1"/>
                <w:color w:val="auto"/>
                <w:w w:val="87"/>
              </w:rPr>
              <w:t>July 1,</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payments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12,124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13,278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18,491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23,218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 of Assets and Liabilities</w:t>
      </w:r>
    </w:p>
    <w:p>
      <w:pPr>
        <w:spacing w:after="0" w:line="175" w:lineRule="exact"/>
        <w:rPr>
          <w:sz w:val="20"/>
          <w:szCs w:val="20"/>
          <w:color w:val="auto"/>
        </w:rPr>
      </w:pPr>
    </w:p>
    <w:p>
      <w:pPr>
        <w:ind w:right="280" w:firstLine="486"/>
        <w:spacing w:after="0" w:line="30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ind w:right="20"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March 31, 2017 and July 1, 2016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July 1, 2016</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2"/>
                <w:szCs w:val="22"/>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2"/>
                <w:szCs w:val="22"/>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22"/>
                <w:szCs w:val="22"/>
                <w:color w:val="auto"/>
              </w:rPr>
            </w:pP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w w:val="97"/>
              </w:rPr>
              <w:t>Valuation Inputs</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24,759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mainly are money market funds. As of March 31, 2017 and July 1, 2016, these money market funds were valued at $1.00 net asset value per share.</w:t>
      </w:r>
    </w:p>
    <w:p>
      <w:pPr>
        <w:spacing w:after="0" w:line="116"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changes in fair value related to our foreign currency forward contracts were recorded in cost of revenues on our unaudited condensed consolidated statements of operations.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March 31, 2017 and July 1, 2016, we did not have any recurring assets or liabilities that were valued using significant unobservable inputs.</w:t>
      </w:r>
    </w:p>
    <w:p>
      <w:pPr>
        <w:spacing w:after="0" w:line="183"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nine months of fiscal 2017 and 2016,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Credit Facility and Debt</w:t>
      </w:r>
    </w:p>
    <w:p>
      <w:pPr>
        <w:spacing w:after="0" w:line="175"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On March 28, 2014, we entered into a Second Amended and Restated Loan Agreement with Silicon Valley Bank (the “SVB Credit Facility”). The SVB Credit Facility expires on June 30, 2018. The SVB Credit Facility provides for a committed amount of up to $30.0 million, with a $30.0 million sublimit that can be borrowed by our Singapore subsidiary. Borrowings may be advanced under the SVB Credit Facility at the lesser of $30.0 million or a borrowing base equal to a specified percentage of the value of eligible accounts receivable and U.S. unbilled accounts of the Company, subject to certain reserves and eligibility criteria. The SVB Credit Facility can also be utilized to issue letters of credit with a $12.0 million sublimit. If the SVB Credit Facility is terminated by us in certain circumstances prior to its expiration, we are subject to an early termination fee equal to 1% of the revolving line.</w:t>
      </w:r>
    </w:p>
    <w:p>
      <w:pPr>
        <w:spacing w:after="0" w:line="111" w:lineRule="exact"/>
        <w:rPr>
          <w:sz w:val="20"/>
          <w:szCs w:val="20"/>
          <w:color w:val="auto"/>
        </w:rPr>
      </w:pPr>
    </w:p>
    <w:p>
      <w:pPr>
        <w:ind w:right="200" w:firstLine="486"/>
        <w:spacing w:after="0" w:line="276" w:lineRule="auto"/>
        <w:rPr>
          <w:sz w:val="20"/>
          <w:szCs w:val="20"/>
          <w:color w:val="auto"/>
        </w:rPr>
      </w:pPr>
      <w:r>
        <w:rPr>
          <w:rFonts w:ascii="Arial" w:cs="Arial" w:eastAsia="Arial" w:hAnsi="Arial"/>
          <w:sz w:val="17"/>
          <w:szCs w:val="17"/>
          <w:color w:val="auto"/>
        </w:rPr>
        <w:t>Our outstanding debt under the SVB Credit Facility was $8.0 million and $9.0 million as of March 31, 2017 and July 1, 2016, respectively. The SVB Credit Facility carries an interest rate computed at the daily prime rate as published in the Wall Street Journal plus a spread of 0.50% to 1.50%, with such spread determined based on our adjusted quick ratio. During the first nine months of fiscal year 2017, the weighted average interest rate on our outstanding loan was 4.10%. As of March 31, 2017, available credit under the SVB Credit Facility was $4.8 million reflecting the calculated borrowing base of $18.1 million less existing borrowings of $8.0 million and outstanding letters of credit of $5.3 million.</w:t>
      </w:r>
    </w:p>
    <w:p>
      <w:pPr>
        <w:spacing w:after="0" w:line="119"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ind w:right="20"/>
        <w:spacing w:after="0" w:line="270" w:lineRule="auto"/>
        <w:rPr>
          <w:sz w:val="20"/>
          <w:szCs w:val="20"/>
          <w:color w:val="auto"/>
        </w:rPr>
      </w:pPr>
      <w:r>
        <w:rPr>
          <w:rFonts w:ascii="Arial" w:cs="Arial" w:eastAsia="Arial" w:hAnsi="Arial"/>
          <w:sz w:val="17"/>
          <w:szCs w:val="17"/>
          <w:color w:val="auto"/>
        </w:rPr>
        <w:t>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 above the applicable interest rate. As of March 31, 2017, we were in compliance with the quarterly financial covenants, as amended, contained in the SVB Credit Facility. However, as we have historically amended the agreement to revise financial covenants and the fact that the SVB Credit Facility contains subjective acceleration clauses that could be triggered by the lender, the $8.0 million and $9.0 million borrowing were classified as a current liability as of March 31, 2017 and July 1, 2016, respectively.</w:t>
      </w:r>
    </w:p>
    <w:p>
      <w:pPr>
        <w:spacing w:after="0" w:line="128"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March 31, 2017 and July 1, 2016. The line of credit also provides for the issuance of standby letters of credit and company credit cards, of which $0.1 million was outstanding as of March 31, 2017. This facility may be terminated upon notice, is reviewed annually for renewal or modification, and is supported by a corporate guarantee.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restructuring related activities during the first nine months of fiscal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left="555"/>
              <w:spacing w:after="0"/>
              <w:rPr>
                <w:sz w:val="20"/>
                <w:szCs w:val="20"/>
                <w:color w:val="auto"/>
              </w:rPr>
            </w:pPr>
            <w:r>
              <w:rPr>
                <w:rFonts w:ascii="Arial" w:cs="Arial" w:eastAsia="Arial" w:hAnsi="Arial"/>
                <w:sz w:val="14"/>
                <w:szCs w:val="14"/>
                <w:b w:val="1"/>
                <w:bCs w:val="1"/>
                <w:color w:val="auto"/>
                <w:w w:val="89"/>
              </w:rPr>
              <w:t>Severance and Benefits</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Facilities and Other</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3"/>
                <w:szCs w:val="13"/>
                <w:color w:val="auto"/>
              </w:rPr>
            </w:pPr>
          </w:p>
        </w:tc>
        <w:tc>
          <w:tcPr>
            <w:tcW w:w="740" w:type="dxa"/>
            <w:vAlign w:val="bottom"/>
          </w:tcPr>
          <w:p>
            <w:pPr>
              <w:jc w:val="center"/>
              <w:ind w:right="14"/>
              <w:spacing w:after="0" w:line="153" w:lineRule="exact"/>
              <w:rPr>
                <w:sz w:val="20"/>
                <w:szCs w:val="20"/>
                <w:color w:val="auto"/>
              </w:rPr>
            </w:pPr>
            <w:r>
              <w:rPr>
                <w:rFonts w:ascii="Arial" w:cs="Arial" w:eastAsia="Arial" w:hAnsi="Arial"/>
                <w:sz w:val="14"/>
                <w:szCs w:val="14"/>
                <w:b w:val="1"/>
                <w:bCs w:val="1"/>
                <w:color w:val="auto"/>
                <w:w w:val="90"/>
              </w:rPr>
              <w:t>Fiscal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2016-2017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2015-2016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2015-2016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5"/>
              </w:rPr>
              <w:t>2014-2015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July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Accrual balance, September 30, 2016</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net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as of December 30, 2016</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Accrual balance as of March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In June 2016, we entered into a lease termination agreement to end our headquarters lease in Santa Clara, California and in September 2016 we vacated the building. Under the lease termination agreement, we agreed to pay a termination fee of $1.9 million payable over 14 months. The termination fee was included in the restructuring liabilities as of March 31, 2017 under the Fiscal 2014-2015 Plan and the Fiscal 2013-2014 Plan.</w:t>
      </w:r>
    </w:p>
    <w:p>
      <w:pPr>
        <w:spacing w:after="0" w:line="11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As of March 31, 2017, $1.7 million of the accrual balance was in short-term restructuring liabilities while $0.2 million was included in other long-term liabilities on the unaudited condensed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2016-2017 Plan</w:t>
      </w:r>
    </w:p>
    <w:p>
      <w:pPr>
        <w:spacing w:after="0" w:line="1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During the fourth quarter of fiscal 2016, we initiated a restructuring plan (the “Fiscal 2016-2017 Plan”) to streamline our operations and align expenses with current revenue levels. Activities under the Fiscal 2016-2017 Plan primarily include reductions in workforce in marketing, selling and general and administrative functions. We expect to complete the remaining restructuring activities under the Fiscal 2016-2017 Plan by the end of fiscal 2017. Payments related to the accrued restructuring liability balance for this plan will be paid through fiscal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Fiscal 2015-2016 Plan</w:t>
      </w:r>
    </w:p>
    <w:p>
      <w:pPr>
        <w:spacing w:after="0" w:line="171"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 reductions in workforce across the Company, but primarily in operations outside the United States. We substantially completed the restructuring activities under the Fiscal 2015-2016 Plan as of July 1, 2016. Payments related to the accrued restructuring liability balance for this plan will be paid through fiscal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2014-2015 Plan</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workforce and additional facility downsizing of our Santa Clara, California headquarters. We substantially completed the restructuring activities under the Fiscal 2014-2015 Plan as of July 1, 2016. Payments related to the accrued restructuring liability balance for this plan will be paid through fiscal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2013-2014 Plan</w:t>
      </w:r>
    </w:p>
    <w:p>
      <w:pPr>
        <w:spacing w:after="0" w:line="171"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workforce and facility downsizing of our Santa Clara, California headquarters and certain international field offices. We substantially completed the restructuring activities under the Fiscal 2013-2014 Plan as of June 27, 2014. Payments related to the accrued restructuring liability balance for this plan will be paid through fiscal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Stock Equity Plan and Activities</w:t>
      </w:r>
    </w:p>
    <w:p>
      <w:pPr>
        <w:spacing w:after="0" w:line="171" w:lineRule="exact"/>
        <w:rPr>
          <w:sz w:val="20"/>
          <w:szCs w:val="20"/>
          <w:color w:val="auto"/>
        </w:rPr>
      </w:pPr>
    </w:p>
    <w:p>
      <w:pPr>
        <w:ind w:right="200" w:firstLine="486"/>
        <w:spacing w:after="0" w:line="272" w:lineRule="auto"/>
        <w:rPr>
          <w:sz w:val="20"/>
          <w:szCs w:val="20"/>
          <w:color w:val="auto"/>
        </w:rPr>
      </w:pPr>
      <w:r>
        <w:rPr>
          <w:rFonts w:ascii="Arial" w:cs="Arial" w:eastAsia="Arial" w:hAnsi="Arial"/>
          <w:sz w:val="17"/>
          <w:szCs w:val="17"/>
          <w:color w:val="auto"/>
        </w:rPr>
        <w:t>We have one stock incentive plan for our employees and nonemployee directors, the 2007 Stock Equity Plan, as amended and restated effective November 13, 2015 (the “2007 Stock Plan”). During the nine months ended March 31, 2017, we awarded 72,941 performance stock units, 50,000 market-based stock units and 237,874 restricted stock units associated with our fiscal 2017 Long-Term Incentive Plan under the 2007 Stock Plan. For the performance share units, the performance criteria is ending the fiscal year 2017 with positive adjusted earnings before interest, taxes, depreciation and amortization. Once the performance share units are earned, they will be vested three years after the grant date. For the market-based stock units, the performance goal is based on the Company’s common stock price at the end of calendar year 2018. The award units will be vested on the date that the Compensation Committee certifies achievement of the performance measure.</w:t>
      </w:r>
    </w:p>
    <w:p>
      <w:pPr>
        <w:spacing w:after="0" w:line="124" w:lineRule="exact"/>
        <w:rPr>
          <w:sz w:val="20"/>
          <w:szCs w:val="20"/>
          <w:color w:val="auto"/>
        </w:rPr>
      </w:pPr>
    </w:p>
    <w:p>
      <w:pPr>
        <w:ind w:right="260" w:firstLine="486"/>
        <w:spacing w:after="0" w:line="312" w:lineRule="auto"/>
        <w:rPr>
          <w:sz w:val="20"/>
          <w:szCs w:val="20"/>
          <w:color w:val="auto"/>
        </w:rPr>
      </w:pPr>
      <w:r>
        <w:rPr>
          <w:rFonts w:ascii="Arial" w:cs="Arial" w:eastAsia="Arial" w:hAnsi="Arial"/>
          <w:sz w:val="16"/>
          <w:szCs w:val="16"/>
          <w:color w:val="auto"/>
        </w:rPr>
        <w:t>During the nine months ended March 31, 2017, we cancelled 7,219 market-based stock units, 14,277 restricted stock units, 983 shares of stock appreciation rights, and options to purchase 37,999 shares of our common stock due to employee terminations. In the same period, we cancelled 48,626 market-based stock units due to the non-achievement of specified market conditions and options to purchase 34,826 shares of our common stock expired.</w:t>
      </w:r>
    </w:p>
    <w:p>
      <w:pPr>
        <w:spacing w:after="0" w:line="9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issue new shares of our common stock to our employees upon the exercise of stock options, vesting of restricted stock awards and units or vesting of performance share awards and units. All awards that are cancelled prior to vesting or expire unexercised are returned to the approved pool of reserved shares under the 2007 Stock Plan and made available for future grants. Shares of our common stock remaining available for future issuance under the 2007 Stock Plan totaled 268,191 as of March 31, 2017.</w:t>
      </w:r>
    </w:p>
    <w:p>
      <w:pPr>
        <w:spacing w:after="0" w:line="133" w:lineRule="exact"/>
        <w:rPr>
          <w:sz w:val="20"/>
          <w:szCs w:val="20"/>
          <w:color w:val="auto"/>
        </w:rPr>
      </w:pPr>
    </w:p>
    <w:p>
      <w:pPr>
        <w:ind w:right="460" w:firstLine="486"/>
        <w:spacing w:after="0" w:line="297" w:lineRule="auto"/>
        <w:rPr>
          <w:sz w:val="20"/>
          <w:szCs w:val="20"/>
          <w:color w:val="auto"/>
        </w:rPr>
      </w:pPr>
      <w:r>
        <w:rPr>
          <w:rFonts w:ascii="Arial" w:cs="Arial" w:eastAsia="Arial" w:hAnsi="Arial"/>
          <w:sz w:val="16"/>
          <w:szCs w:val="16"/>
          <w:color w:val="auto"/>
        </w:rPr>
        <w:t>On September 6, 2016, our Board of Directors (the “Board”) authorized and declared a dividend distribution of one right (a “Right”) for each outstanding share of our common stock, par value $0.01 per share (the “Common Shares”), to our stockholders of record as of the close of business on September 16, 2016. Each Right entitles the registered holder to purchase from the Company one one-thousandth of a share of Series A Participating Preferred Stock, par value $0.01 per share (the “Preferred Shares”), of the Company at an exercise price of $35.00 (the “Exercise Price”) per one one-thousandth of a Preferred Share, subject to adjustment. Until the rights become exercisable, they will not be evidenced</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746" w:right="339" w:bottom="1440" w:gutter="0" w:footer="0" w:header="0"/>
        </w:sectPr>
      </w:pPr>
    </w:p>
    <w:bookmarkStart w:id="15" w:name="page16"/>
    <w:bookmarkEnd w:id="15"/>
    <w:p>
      <w:pPr>
        <w:ind w:right="60"/>
        <w:spacing w:after="0" w:line="255" w:lineRule="auto"/>
        <w:rPr>
          <w:sz w:val="20"/>
          <w:szCs w:val="20"/>
          <w:color w:val="auto"/>
        </w:rPr>
      </w:pPr>
      <w:r>
        <w:rPr>
          <w:rFonts w:ascii="Arial" w:cs="Arial" w:eastAsia="Arial" w:hAnsi="Arial"/>
          <w:sz w:val="18"/>
          <w:szCs w:val="18"/>
          <w:color w:val="auto"/>
        </w:rPr>
        <w:t>by separate certificates and will trade automatically with shares of the Company’s common stock. The Rights have a de minimis fair value. The complete terms of the Rights are set forth in a Tax Benefit Preservation Plan (the “Plan”), effective as of September 6, 2016,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of the Internal Revenue Code of 1986, as amended. The Plan reduces the likelihood that changes in our investor base have the unintended effect of limiting our use of the Tax Benefits.</w:t>
      </w:r>
    </w:p>
    <w:p>
      <w:pPr>
        <w:spacing w:after="0" w:line="139"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Also, on September 6, 2016, our Board of Directors adopted certain amendments to our Amended and Restated Certificate of Incorporation, as amended (the “Charter Amendments”). The Charter Amendments are designed to preserve the Tax Benefits by restricting certain transfers of our common stock.</w:t>
      </w:r>
    </w:p>
    <w:p>
      <w:pPr>
        <w:spacing w:after="0" w:line="12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Both the Plan and the Charter Amendments were approved at our 2016 annual meeting of stockholders on November 16, 2016. No actions were taken under the Plan as of March 31,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Total compensation expense for share-based awards included in our unaudited condensed consolidated statements of operations for the three and nine months ended March 31, 2017 and April 1, 2016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54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8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gridSpan w:val="4"/>
            <w:vMerge w:val="continue"/>
          </w:tcPr>
          <w:p>
            <w:pPr>
              <w:spacing w:after="0"/>
              <w:rPr>
                <w:sz w:val="16"/>
                <w:szCs w:val="16"/>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2"/>
        </w:trPr>
        <w:tc>
          <w:tcPr>
            <w:tcW w:w="62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5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28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1020" w:type="dxa"/>
            <w:vAlign w:val="bottom"/>
          </w:tcPr>
          <w:p>
            <w:pPr>
              <w:jc w:val="right"/>
              <w:ind w:right="818"/>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628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0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02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0"/>
        </w:trPr>
        <w:tc>
          <w:tcPr>
            <w:tcW w:w="62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80" w:type="dxa"/>
            <w:vAlign w:val="bottom"/>
            <w:gridSpan w:val="4"/>
            <w:vMerge w:val="continue"/>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020" w:type="dxa"/>
            <w:vAlign w:val="bottom"/>
            <w:tcBorders>
              <w:bottom w:val="single" w:sz="8" w:color="CCEEFF"/>
            </w:tcBorders>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3"/>
        </w:trPr>
        <w:tc>
          <w:tcPr>
            <w:tcW w:w="6280" w:type="dxa"/>
            <w:vAlign w:val="bottom"/>
            <w:gridSpan w:val="4"/>
          </w:tcPr>
          <w:p>
            <w:pPr>
              <w:ind w:left="40"/>
              <w:spacing w:after="0"/>
              <w:rPr>
                <w:sz w:val="20"/>
                <w:szCs w:val="20"/>
                <w:color w:val="auto"/>
              </w:rPr>
            </w:pPr>
            <w:r>
              <w:rPr>
                <w:rFonts w:ascii="Arial" w:cs="Arial" w:eastAsia="Arial" w:hAnsi="Arial"/>
                <w:sz w:val="18"/>
                <w:szCs w:val="18"/>
                <w:color w:val="auto"/>
              </w:rPr>
              <w:t>Restricted and performance stock awards and units</w:t>
            </w:r>
          </w:p>
        </w:tc>
        <w:tc>
          <w:tcPr>
            <w:tcW w:w="10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529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02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As of March 31, 2017, there was $0.2 million of total unrecognized compensation expense related to nonvested stock options granted under our 2007 Stock Plan. This expense is expected to be recognized over a weighted average period of 1.3 years. As of March 31, 2017, there was $3.8 million of total unrecognized compensation expense related to nonvested stock awards and units granted under our 2007 Stock Plan. This expense is expected to be recognized over a weighted average period of 1.9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and Geographic Information</w:t>
      </w:r>
    </w:p>
    <w:p>
      <w:pPr>
        <w:spacing w:after="0" w:line="17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ind w:right="200"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three and nine months ended March 31, 2017 and April 1, 2016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8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94,215</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2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17,335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18,178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48,454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69,169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16,442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8,165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10,755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28,535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30,612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58,700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60,467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185,443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210,438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Mobile Telephone Networks Group (MTN Group) and Bharti Airtel (Airtel) accounted for 18% and 15%, respectively, of our accounts receivable as of March 31, 2017. MTN Group and Motorola Solutions, Inc. (Motorola) accounted for 22% and 11%, respectively, of our accounts receivable as of July 1, 2016. During the three and nine months ended March 31, 2017, MTN Group accounted for 19% and 13%, respectively, of our total revenue. During the three and nine months ended April 1, 2016, MTN Group accounted for 20% and 18%, respectively, of our total revenue. We have entered into separate and distinct contracts with MTN Group, Motorola and Airtel, as well as separate arrangements with their various subsidiaries. The loss of all business from MTN Group, Motorola, Airtel, or any other significant customers, could adversely affect our results of operations, cash flows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Divestiture</w:t>
      </w:r>
    </w:p>
    <w:p>
      <w:pPr>
        <w:spacing w:after="0" w:line="175"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We sold our WiMAX business on September 2, 2011 and began accounting for the WiMAX business as a discontinued operation. The operating results of our WiMAX business were included in discontinued operations in our unaudited condensed consolidated financial statements for all periods presented. The income recognized in the first nine months of fiscal 2016 of $0.5 million, net of income taxes, was primarily due to recovery of certain WiMAX customer receivables that were previously written down. No income was recognized in respect of the WiMAX business in the first nine months of fiscal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certain jurisdictions where we cannot recognize tax benefits on current losses and tax benefit from a foreign tax refund. During interim periods, we accrue tax expenses for jurisdictions that are anticipated to be profitable for fiscal 2017.</w:t>
      </w:r>
    </w:p>
    <w:p>
      <w:pPr>
        <w:spacing w:after="0" w:line="127"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The determination of our provision for the first nine months of fiscal 2017 and 2016 was based on our estimated annual effective tax rate adjusted for losses in certain jurisdictions for which no tax benefit can be recognized. The tax expense for the first nine months of fiscal 2017 and 2016 were primarily attributable to tax expense related to profitable subsidiaries.</w:t>
      </w:r>
    </w:p>
    <w:p>
      <w:pPr>
        <w:spacing w:after="0" w:line="127"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During the fiscal year 2014, we received an assessment letter from the Inland Revenue Authority of Singapore (“IRAS”) related to deductions claimed in prior years and made a payment of $13.2 million related to tax years 2007 through 2010, reflecting all the taxes incrementally assessed by IRAS. Since the initial assessment, we continue to pursue remedies to challenge this assessment. During the first quarter of fiscal 2017, we received an initial refund of $3.7 million from IRAS which was recorded as a discrete tax benefit during the quarter. We will continue our discussion with IRAS to resolve the remaining tax positions. We believe that we have adequately provided for any reasonably foreseeable outcomes related to our tax audits.</w:t>
      </w:r>
    </w:p>
    <w:p>
      <w:pPr>
        <w:spacing w:after="0" w:line="119"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that are open and subject to potential audits for these jurisdictions are as follows: U.S. — 2003; Singapore — 2006; and Nigeria — 2011.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p>
      <w:pPr>
        <w:ind w:right="400"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three and nine months ended March 31, 2017 and April 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2024. We lease approximately 19,000 square feet of office space in Milpitas, California with a term of 60 months as our corporate headquarters. In June 2016, we entered into a lease termination agreement for our previous headquarters lease in Santa Clara, California and the termination fees are included in the restructuring liabilities in the unaudited condensed consolidated balance sheets.</w:t>
      </w:r>
    </w:p>
    <w:p>
      <w:pPr>
        <w:spacing w:after="0" w:line="133"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As of March 31, 2017, our future minimum lease payments under all non-cancelable operating leases with an initial lease term in excess of one year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3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(one quarter remaining)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1,769</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885</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2,231</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7,625</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These commitments do not contain any material rent escalations, rent holidays, contingent rent, rent concessions, leasehold improvement incentives or unusual provisions or conditions. We sublease a portion of our facilities to third parties and the total minimum rents to be received in the future under our non-cancelable subleases were $0.1 million as of March 31, 2017. The future minimum lease payments are not reduced by the minimum sublease rents.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540" w:type="dxa"/>
            <w:vAlign w:val="bottom"/>
            <w:tcBorders>
              <w:bottom w:val="single" w:sz="8" w:color="auto"/>
            </w:tcBorders>
            <w:gridSpan w:val="5"/>
          </w:tcPr>
          <w:p>
            <w:pPr>
              <w:jc w:val="right"/>
              <w:ind w:right="52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jc w:val="center"/>
              <w:ind w:left="284"/>
              <w:spacing w:after="0" w:line="153" w:lineRule="exact"/>
              <w:rPr>
                <w:sz w:val="20"/>
                <w:szCs w:val="20"/>
                <w:color w:val="auto"/>
              </w:rPr>
            </w:pPr>
            <w:r>
              <w:rPr>
                <w:rFonts w:ascii="Arial" w:cs="Arial" w:eastAsia="Arial" w:hAnsi="Arial"/>
                <w:sz w:val="14"/>
                <w:szCs w:val="14"/>
                <w:b w:val="1"/>
                <w:bCs w:val="1"/>
                <w:color w:val="auto"/>
                <w:w w:val="95"/>
              </w:rPr>
              <w:t>March 31,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3"/>
                <w:szCs w:val="13"/>
                <w:color w:val="auto"/>
              </w:rPr>
            </w:pPr>
          </w:p>
        </w:tc>
        <w:tc>
          <w:tcPr>
            <w:tcW w:w="84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6"/>
              </w:rPr>
              <w:t>April 1,</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020" w:type="dxa"/>
            <w:vAlign w:val="bottom"/>
            <w:shd w:val="clear" w:color="auto" w:fill="CCEEFF"/>
          </w:tcPr>
          <w:p>
            <w:pPr>
              <w:jc w:val="right"/>
              <w:ind w:right="824"/>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878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March 31, 2017, we had outstanding purchase obligations with our suppliers or contract manufacturers of $21.7 million. In addition, we had contractual obligations of approximately $1.4 million associated with software licenses as of March 31,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March 31, 2017, we had no guarantees applicable to our debt arrangements.</w:t>
      </w:r>
    </w:p>
    <w:p>
      <w:pPr>
        <w:spacing w:after="0" w:line="11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March 31, 2017, we had commercial commitments of $33.8 million outstanding that were not recorded in our unaudited condensed consolidated balance sheets. During the second fiscal quarter, we recorded a payout in cost of revenues of $0.4 million on the performance guarantees to a contractor in the Middle East region. We believe the customer improperly drew on the performance bond and intend to pursue all remedies available to recover the payment. We do not believe, based on historical experience and information currently available, that it is probable that any significant amounts will be required to be paid on the performance guarantees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March 31, 2017,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March 31, 2017, we had not recorded any liabilities related to these indemnifications.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33"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In August 2016, we received correspondence from a customer in Africa demanding that certain inventory be repurchased under the terms of an inventory management agreement that we believed had expired. We settled this matter for $0.2 million.</w:t>
      </w:r>
    </w:p>
    <w:p>
      <w:pPr>
        <w:spacing w:after="0" w:line="11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litigations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w:t>
      </w:r>
    </w:p>
    <w:p>
      <w:pPr>
        <w:spacing w:after="0" w:line="175"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In April 2017, we recovered a deposit previously written off of $0.4 million for Canada’s non-Resident Goods and Services Tax/Harmonized Tax. The deposit was made to the Canadian tax agency in 2007. The refund will be recorded in our financial results for the fourth quarter of fiscal year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2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6" w:right="259" w:bottom="1440" w:gutter="0" w:footer="0" w:header="0"/>
        </w:sectPr>
      </w:pPr>
    </w:p>
    <w:bookmarkStart w:id="20" w:name="page21"/>
    <w:bookmarkEnd w:id="20"/>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80" w:right="5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 and</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2016 Annual Report on Form 10-K filed with the SEC on September 9, 2016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2016 and 2017 Results</w:t>
      </w:r>
    </w:p>
    <w:p>
      <w:pPr>
        <w:spacing w:after="0" w:line="17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below, our fiscal year ending June 30, 2017 is referred to as “fiscal 2017” or “2017” and our fiscal year ended July 1, 2016 is referred to as “fiscal 2016” or “2016”.</w:t>
      </w:r>
    </w:p>
    <w:p>
      <w:pPr>
        <w:spacing w:after="0" w:line="13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federal, state and local government agencies, transportation, energy and utility companies, public safety agencies and broadcast network operators around the world. Our products include point-to-point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optical transmission equipment and other equipment necessary to build and deploy a complete telecommunications transmission network. We provide a full suite of professional services for planning, deployment, operations and maintenance of our customers’ networks.</w:t>
      </w:r>
    </w:p>
    <w:p>
      <w:pPr>
        <w:spacing w:after="0" w:line="124"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38" w:right="239" w:bottom="1440" w:gutter="0" w:footer="0" w:header="0"/>
        </w:sectPr>
      </w:pPr>
    </w:p>
    <w:bookmarkStart w:id="21" w:name="page22"/>
    <w:bookmarkEnd w:id="21"/>
    <w:p>
      <w:pPr>
        <w:ind w:right="500"/>
        <w:spacing w:after="0" w:line="277" w:lineRule="auto"/>
        <w:rPr>
          <w:sz w:val="20"/>
          <w:szCs w:val="20"/>
          <w:color w:val="auto"/>
        </w:rPr>
      </w:pPr>
      <w:r>
        <w:rPr>
          <w:rFonts w:ascii="Arial" w:cs="Arial" w:eastAsia="Arial" w:hAnsi="Arial"/>
          <w:sz w:val="18"/>
          <w:szCs w:val="18"/>
          <w:color w:val="auto"/>
        </w:rPr>
        <w:t>financial performance for our business. However, within the industry there continues to be strong price competition for new business and periodic large customer consolidations that intensify competition in all regions.</w:t>
      </w:r>
    </w:p>
    <w:p>
      <w:pPr>
        <w:spacing w:after="0" w:line="11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strategic focus is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33"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24"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In line with industry trends,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133"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We continue to explore strategic alternatives to improve the market position and profitability of our product offerings in the marketplace, generate additional liquidity and enhance our valuation. We expect to pursue our goals during the next twelve months principally through organic growth and through other strategic alternatives. Some of these alternatives have included, and could continue to include, selective acquisitions, divestitures and the sale of assets. We have also provided, and may from time to time in the future provide, information to interested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the emergence of early stage LTE deployments. Our international business was adversely affected in fiscal 2016 by constrained availability of U.S. dollars in countries with economies highly dependent on resource exports, particularly oil. This condition limited capital spending and slowed payments from customers in those locations. Those conditions are continuing in fiscal 2017.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2016 Annual Report on Form 10-K, a number of factors could prevent us from achieving our objectives, including ongoing pricing pressures attributable to competition and macroeconomic conditions in the geographic markets that we service.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the Middle East, (2) Europe and Russia, and (3) Latin America and Asia Pacific. Revenue by region for the three and nine months ended March 31, 2017 and April 1, 2016 and the related changes were shown in the table below: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March 31, 2017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April 1, 2016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March 31, 2017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April 1, 2016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27,151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97,125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3.1 %</w:t>
            </w:r>
          </w:p>
        </w:tc>
      </w:tr>
      <w:tr>
        <w:trPr>
          <w:trHeight w:val="264"/>
        </w:trPr>
        <w:tc>
          <w:tcPr>
            <w:tcW w:w="2840" w:type="dxa"/>
            <w:vAlign w:val="bottom"/>
          </w:tcPr>
          <w:p>
            <w:pPr>
              <w:ind w:left="40"/>
              <w:spacing w:after="0"/>
              <w:rPr>
                <w:sz w:val="20"/>
                <w:szCs w:val="20"/>
                <w:color w:val="auto"/>
              </w:rPr>
            </w:pPr>
            <w:r>
              <w:rPr>
                <w:rFonts w:ascii="Arial" w:cs="Arial" w:eastAsia="Arial" w:hAnsi="Arial"/>
                <w:sz w:val="14"/>
                <w:szCs w:val="14"/>
                <w:color w:val="auto"/>
              </w:rPr>
              <w:t>Africa and Middle East</w:t>
            </w:r>
          </w:p>
        </w:tc>
        <w:tc>
          <w:tcPr>
            <w:tcW w:w="3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17,335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18,178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48,454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69,169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(20,715)</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(29.9)%</w:t>
            </w:r>
          </w:p>
        </w:tc>
      </w:tr>
      <w:tr>
        <w:trPr>
          <w:trHeight w:val="276"/>
        </w:trPr>
        <w:tc>
          <w:tcPr>
            <w:tcW w:w="2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 and Russia</w:t>
            </w: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(31.1)%</w:t>
            </w:r>
          </w:p>
        </w:tc>
      </w:tr>
      <w:tr>
        <w:trPr>
          <w:trHeight w:val="264"/>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Latin America and Asia Pacific</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8,165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10,755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(2,590)</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28,535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(2,077)</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(6.8)%</w:t>
            </w:r>
          </w:p>
        </w:tc>
      </w:tr>
      <w:tr>
        <w:trPr>
          <w:trHeight w:val="243"/>
        </w:trPr>
        <w:tc>
          <w:tcPr>
            <w:tcW w:w="2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Revenue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60,467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185,443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20"/>
        </w:trPr>
        <w:tc>
          <w:tcPr>
            <w:tcW w:w="2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Our revenue in North America increased $2.0 million, or 7.5%, during the third quarter of fiscal 2017 compared with the same quarter of fiscal 2016. North America revenue increased primarily due to an increase in revenue from private network projects. Revenue from mobile operators was flat relative to the third quarter of fiscal 2016. On a year-to-date basis, North America revenue increased $2.9 million, or 3.1%, compared with the same period in fiscal 2016. The year-to-date increase in North America was from private network customers, offset by a decrease in revenue from mobile operators.</w:t>
      </w:r>
    </w:p>
    <w:p>
      <w:pPr>
        <w:spacing w:after="0" w:line="100"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Our revenue in Africa and the Middle East decreased $0.8 million, or 4.6%, for the third quarter of fiscal 2017 compared with the same quarter of fiscal 2016. The decrease in revenue was primarily due to lower sales volume to our large operator customers in Africa, including the MTN Group. On a year-to-date basis, Africa and the Middle East revenue decreased $20.7 million, or 29.9%, compared with the same period in fiscal 2016. The year-to-date decrease in the region was also from lower sales to mobile operator customers in Africa and a decrease in revenue from private networks in the Middle East.</w:t>
      </w:r>
    </w:p>
    <w:p>
      <w:pPr>
        <w:spacing w:after="0" w:line="100"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Revenue in Europe and Russia decreased $0.4 million, or 8.5%, for the third quarter of fiscal 2017 compared with the same quarter of fiscal 2016. The decrease was primarily due to lower sales to some of our large mobile operator customers in the region, offset in part by an increase in sales to private network customers. On a year-to-date basis, revenue in Europe and Russia was down $5.1 million, or 31.1%, from the same period in fiscal 2016. The decrease came from lower sales to our large customers in the region compared with the same periods in fiscal 2016.</w:t>
      </w:r>
    </w:p>
    <w:p>
      <w:pPr>
        <w:spacing w:after="0" w:line="117"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Revenue in Latin America and Asia Pacific decreased $2.6 million, or 24.1%, during the third quarter of fiscal 2017 compared with the same quarter in fiscal 2016. The decrease was primarily due to decreased deliveries to our larger customers in Latin America. On a year-to-date basis, revenue in Latin America and Asia Pacific decreased $2.1 million, or 6.8%, from the same period in fiscal 2016 for the same reasons.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March 31, 2017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April 1, 2016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March 31, 2017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April 1, 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sales</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39,099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36,241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119,781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134,602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264"/>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Services</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19,601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24,226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65,662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75,836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(10,174)</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(13.4)%</w:t>
            </w:r>
          </w:p>
        </w:tc>
      </w:tr>
      <w:tr>
        <w:trPr>
          <w:trHeight w:val="243"/>
        </w:trPr>
        <w:tc>
          <w:tcPr>
            <w:tcW w:w="2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Revenue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60,467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185,443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20"/>
        </w:trPr>
        <w:tc>
          <w:tcPr>
            <w:tcW w:w="2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Our revenue from product sales increased $2.9 million, or 7.9%, for the third quarter of fiscal 2017 compared with the same quarter in fiscal 2016. Product volumes were $4.5 million higher in North America, Africa and the Middle East, overcoming a $1.6 million decrease in other regions. Our services revenue was down by $4.6 million, or 19.1%, during the third quarter of fiscal 2017 compared with the same quarter of fiscal 2016, due to reduced service activities in all regions.</w:t>
      </w:r>
    </w:p>
    <w:p>
      <w:pPr>
        <w:spacing w:after="0" w:line="13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revenue from product sales decreased by $14.8 million, or 11.0%, for the first nine months of fiscal 2017 compared with the same period in fiscal 2016. The decrease came primarily from $19.8 million less product sales in Africa and the Middle East, Latin America and Asia, and Europe, offset in part by $5.0 million stronger sales in North America. Our services revenue was down by $10.2 million, or 13.4%, during the first nine months of fiscal 2017 compared with the same period of fiscal 2016, due to reduced service activities in all regions.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April 1, 2016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March 31, 2017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April 1, 2016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58,700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60,467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185,443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210,438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40,968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46,054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129,230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158,590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(29,360)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(18.5)%</w:t>
            </w: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14,413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56,213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51,848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8.4 %</w:t>
            </w:r>
          </w:p>
        </w:tc>
      </w:tr>
    </w:tbl>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20" w:type="dxa"/>
            <w:vAlign w:val="bottom"/>
          </w:tcPr>
          <w:p>
            <w:pPr>
              <w:ind w:left="200"/>
              <w:spacing w:after="0"/>
              <w:rPr>
                <w:sz w:val="20"/>
                <w:szCs w:val="20"/>
                <w:color w:val="auto"/>
              </w:rPr>
            </w:pPr>
            <w:r>
              <w:rPr>
                <w:rFonts w:ascii="Arial" w:cs="Arial" w:eastAsia="Arial" w:hAnsi="Arial"/>
                <w:sz w:val="14"/>
                <w:szCs w:val="14"/>
                <w:color w:val="auto"/>
              </w:rPr>
              <w:t>% of revenue</w:t>
            </w:r>
          </w:p>
        </w:tc>
        <w:tc>
          <w:tcPr>
            <w:tcW w:w="1840" w:type="dxa"/>
            <w:vAlign w:val="bottom"/>
          </w:tcPr>
          <w:p>
            <w:pPr>
              <w:jc w:val="right"/>
              <w:ind w:right="308"/>
              <w:spacing w:after="0"/>
              <w:rPr>
                <w:sz w:val="20"/>
                <w:szCs w:val="20"/>
                <w:color w:val="auto"/>
              </w:rPr>
            </w:pPr>
            <w:r>
              <w:rPr>
                <w:rFonts w:ascii="Arial" w:cs="Arial" w:eastAsia="Arial" w:hAnsi="Arial"/>
                <w:sz w:val="14"/>
                <w:szCs w:val="14"/>
                <w:color w:val="auto"/>
              </w:rPr>
              <w:t>30.2%</w:t>
            </w:r>
          </w:p>
        </w:tc>
        <w:tc>
          <w:tcPr>
            <w:tcW w:w="2200" w:type="dxa"/>
            <w:vAlign w:val="bottom"/>
          </w:tcPr>
          <w:p>
            <w:pPr>
              <w:jc w:val="right"/>
              <w:ind w:right="1368"/>
              <w:spacing w:after="0"/>
              <w:rPr>
                <w:sz w:val="20"/>
                <w:szCs w:val="20"/>
                <w:color w:val="auto"/>
              </w:rPr>
            </w:pPr>
            <w:r>
              <w:rPr>
                <w:rFonts w:ascii="Arial" w:cs="Arial" w:eastAsia="Arial" w:hAnsi="Arial"/>
                <w:sz w:val="14"/>
                <w:szCs w:val="14"/>
                <w:color w:val="auto"/>
              </w:rPr>
              <w:t>23.8%</w:t>
            </w: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30.3%</w:t>
            </w:r>
          </w:p>
        </w:tc>
        <w:tc>
          <w:tcPr>
            <w:tcW w:w="2880" w:type="dxa"/>
            <w:vAlign w:val="bottom"/>
          </w:tcPr>
          <w:p>
            <w:pPr>
              <w:jc w:val="right"/>
              <w:ind w:right="2048"/>
              <w:spacing w:after="0"/>
              <w:rPr>
                <w:sz w:val="20"/>
                <w:szCs w:val="20"/>
                <w:color w:val="auto"/>
              </w:rPr>
            </w:pPr>
            <w:r>
              <w:rPr>
                <w:rFonts w:ascii="Arial" w:cs="Arial" w:eastAsia="Arial" w:hAnsi="Arial"/>
                <w:sz w:val="14"/>
                <w:szCs w:val="14"/>
                <w:color w:val="auto"/>
              </w:rPr>
              <w:t>24.6%</w:t>
            </w:r>
          </w:p>
        </w:tc>
      </w:tr>
      <w:tr>
        <w:trPr>
          <w:trHeight w:val="276"/>
        </w:trPr>
        <w:tc>
          <w:tcPr>
            <w:tcW w:w="2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Product margin %</w:t>
            </w:r>
          </w:p>
        </w:tc>
        <w:tc>
          <w:tcPr>
            <w:tcW w:w="18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31.2%</w:t>
            </w:r>
          </w:p>
        </w:tc>
        <w:tc>
          <w:tcPr>
            <w:tcW w:w="2200" w:type="dxa"/>
            <w:vAlign w:val="bottom"/>
            <w:shd w:val="clear" w:color="auto" w:fill="CCEEFF"/>
          </w:tcPr>
          <w:p>
            <w:pPr>
              <w:jc w:val="right"/>
              <w:ind w:right="1368"/>
              <w:spacing w:after="0"/>
              <w:rPr>
                <w:sz w:val="20"/>
                <w:szCs w:val="20"/>
                <w:color w:val="auto"/>
              </w:rPr>
            </w:pPr>
            <w:r>
              <w:rPr>
                <w:rFonts w:ascii="Arial" w:cs="Arial" w:eastAsia="Arial" w:hAnsi="Arial"/>
                <w:sz w:val="14"/>
                <w:szCs w:val="14"/>
                <w:color w:val="auto"/>
              </w:rPr>
              <w:t>21.5%</w:t>
            </w:r>
          </w:p>
        </w:tc>
        <w:tc>
          <w:tcPr>
            <w:tcW w:w="21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30.9%</w:t>
            </w:r>
          </w:p>
        </w:tc>
        <w:tc>
          <w:tcPr>
            <w:tcW w:w="2880" w:type="dxa"/>
            <w:vAlign w:val="bottom"/>
            <w:shd w:val="clear" w:color="auto" w:fill="CCEEFF"/>
          </w:tcPr>
          <w:p>
            <w:pPr>
              <w:jc w:val="right"/>
              <w:ind w:right="2048"/>
              <w:spacing w:after="0"/>
              <w:rPr>
                <w:sz w:val="20"/>
                <w:szCs w:val="20"/>
                <w:color w:val="auto"/>
              </w:rPr>
            </w:pPr>
            <w:r>
              <w:rPr>
                <w:rFonts w:ascii="Arial" w:cs="Arial" w:eastAsia="Arial" w:hAnsi="Arial"/>
                <w:sz w:val="14"/>
                <w:szCs w:val="14"/>
                <w:color w:val="auto"/>
              </w:rPr>
              <w:t>26.5%</w:t>
            </w:r>
          </w:p>
        </w:tc>
      </w:tr>
      <w:tr>
        <w:trPr>
          <w:trHeight w:val="258"/>
        </w:trPr>
        <w:tc>
          <w:tcPr>
            <w:tcW w:w="2320" w:type="dxa"/>
            <w:vAlign w:val="bottom"/>
          </w:tcPr>
          <w:p>
            <w:pPr>
              <w:ind w:left="200"/>
              <w:spacing w:after="0"/>
              <w:rPr>
                <w:sz w:val="20"/>
                <w:szCs w:val="20"/>
                <w:color w:val="auto"/>
              </w:rPr>
            </w:pPr>
            <w:r>
              <w:rPr>
                <w:rFonts w:ascii="Arial" w:cs="Arial" w:eastAsia="Arial" w:hAnsi="Arial"/>
                <w:sz w:val="14"/>
                <w:szCs w:val="14"/>
                <w:color w:val="auto"/>
              </w:rPr>
              <w:t>Service margin %</w:t>
            </w:r>
          </w:p>
        </w:tc>
        <w:tc>
          <w:tcPr>
            <w:tcW w:w="1840" w:type="dxa"/>
            <w:vAlign w:val="bottom"/>
          </w:tcPr>
          <w:p>
            <w:pPr>
              <w:jc w:val="right"/>
              <w:ind w:right="308"/>
              <w:spacing w:after="0"/>
              <w:rPr>
                <w:sz w:val="20"/>
                <w:szCs w:val="20"/>
                <w:color w:val="auto"/>
              </w:rPr>
            </w:pPr>
            <w:r>
              <w:rPr>
                <w:rFonts w:ascii="Arial" w:cs="Arial" w:eastAsia="Arial" w:hAnsi="Arial"/>
                <w:sz w:val="14"/>
                <w:szCs w:val="14"/>
                <w:color w:val="auto"/>
              </w:rPr>
              <w:t>28.3%</w:t>
            </w:r>
          </w:p>
        </w:tc>
        <w:tc>
          <w:tcPr>
            <w:tcW w:w="2200" w:type="dxa"/>
            <w:vAlign w:val="bottom"/>
          </w:tcPr>
          <w:p>
            <w:pPr>
              <w:jc w:val="right"/>
              <w:ind w:right="1368"/>
              <w:spacing w:after="0"/>
              <w:rPr>
                <w:sz w:val="20"/>
                <w:szCs w:val="20"/>
                <w:color w:val="auto"/>
              </w:rPr>
            </w:pPr>
            <w:r>
              <w:rPr>
                <w:rFonts w:ascii="Arial" w:cs="Arial" w:eastAsia="Arial" w:hAnsi="Arial"/>
                <w:sz w:val="14"/>
                <w:szCs w:val="14"/>
                <w:color w:val="auto"/>
              </w:rPr>
              <w:t>27.4%</w:t>
            </w: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29.2%</w:t>
            </w:r>
          </w:p>
        </w:tc>
        <w:tc>
          <w:tcPr>
            <w:tcW w:w="2880" w:type="dxa"/>
            <w:vAlign w:val="bottom"/>
          </w:tcPr>
          <w:p>
            <w:pPr>
              <w:jc w:val="right"/>
              <w:ind w:right="2048"/>
              <w:spacing w:after="0"/>
              <w:rPr>
                <w:sz w:val="20"/>
                <w:szCs w:val="20"/>
                <w:color w:val="auto"/>
              </w:rPr>
            </w:pPr>
            <w:r>
              <w:rPr>
                <w:rFonts w:ascii="Arial" w:cs="Arial" w:eastAsia="Arial" w:hAnsi="Arial"/>
                <w:sz w:val="14"/>
                <w:szCs w:val="14"/>
                <w:color w:val="auto"/>
              </w:rPr>
              <w:t>21.4%</w:t>
            </w:r>
          </w:p>
        </w:tc>
      </w:tr>
    </w:tbl>
    <w:p>
      <w:pPr>
        <w:spacing w:after="0" w:line="160"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Gross margin for the three and nine months ended March 31, 2017 increased by $3.3 million, or 23.0%, and $4.4 million, or 8.4%, respectively, compared with the three and nine months ended April 1, 2016. On a quarter-to-date and on a year-to-date basis, the margin increase was from lower supply chain costs, a recovery of $0.4 million related to sell through of previously reserved inventory and improved sales margin rates from both product and services businesses.</w:t>
      </w:r>
    </w:p>
    <w:p>
      <w:pPr>
        <w:spacing w:after="0" w:line="133"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Gross margin as a percentage of revenue increased in the third quarter of fiscal 2017 compared with the same quarter of fiscal 2016 primarily due to improved product and service sales margins and lower supply chain costs. Product margin as a percentage of product revenue increased from the prior year quarter primarily due to lower supply chain costs and a recovery of $0.4 million related to sell through of previously reserved inventory. Service margin as a percentage of service revenue increased primarily due to lower service costs leading to more profitable service business.</w:t>
      </w:r>
    </w:p>
    <w:p>
      <w:pPr>
        <w:spacing w:after="0" w:line="11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On a year-to-date basis, gross margin as a percentage of revenue increased due to lower supply chain costs in the current year and improved product and service sales margins. Gross margin rates in services businesses in most sectors improved compared with the same period in fiscal 2016. Product margin as a percentage of product revenue increased over the same period in fiscal 2016 primarily due to reduced supply chain costs. We attributed the margin improvement in the service business and our reduced supply chain costs to process improvement programs within the Company along with our restructuring program implemented over the past several quarters.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2"/>
                <w:szCs w:val="22"/>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1, 2016</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22"/>
                <w:szCs w:val="22"/>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April 1, 2016</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4,264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5,063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13,682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15,749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1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258"/>
        </w:trPr>
        <w:tc>
          <w:tcPr>
            <w:tcW w:w="2740" w:type="dxa"/>
            <w:vAlign w:val="bottom"/>
          </w:tcPr>
          <w:p>
            <w:pPr>
              <w:ind w:left="200"/>
              <w:spacing w:after="0"/>
              <w:rPr>
                <w:sz w:val="20"/>
                <w:szCs w:val="20"/>
                <w:color w:val="auto"/>
              </w:rPr>
            </w:pPr>
            <w:r>
              <w:rPr>
                <w:rFonts w:ascii="Arial" w:cs="Arial" w:eastAsia="Arial" w:hAnsi="Arial"/>
                <w:sz w:val="14"/>
                <w:szCs w:val="14"/>
                <w:color w:val="auto"/>
              </w:rPr>
              <w:t>% of revenue</w:t>
            </w: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160"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Our research and development expenses decreased $0.8 million, or 15.8%, in the third quarter of fiscal 2017 compared with the same period in fiscal 2016. The decrease was primarily due to a $0.2 million economic incentive grant credit earned in the third quarter of fiscal 2017 and a $0.6 million reduction in product development costs.</w:t>
      </w:r>
    </w:p>
    <w:p>
      <w:pPr>
        <w:spacing w:after="0" w:line="127"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Our research and development expenses decreased $2.1 million, or 13.1%, in the first nine months of fiscal 2017 compared with the same period in fiscal 2016. The decrease for the first nine months of fiscal 2017 compared with the same period in fiscal 2016 was primarily due to a $1.0 million economic incentive grant credit earned in the first nine months of fiscal 2017 and a $1.2 million reduction in product development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2"/>
                <w:szCs w:val="22"/>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1, 2016</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22"/>
                <w:szCs w:val="22"/>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April 1, 2016</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Selling and administrative</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13,284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16,140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(2,856)</w:t>
            </w:r>
          </w:p>
        </w:tc>
        <w:tc>
          <w:tcPr>
            <w:tcW w:w="1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42,527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49,430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(6,903)</w:t>
            </w:r>
          </w:p>
        </w:tc>
        <w:tc>
          <w:tcPr>
            <w:tcW w:w="1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258"/>
        </w:trPr>
        <w:tc>
          <w:tcPr>
            <w:tcW w:w="2740" w:type="dxa"/>
            <w:vAlign w:val="bottom"/>
          </w:tcPr>
          <w:p>
            <w:pPr>
              <w:ind w:left="200"/>
              <w:spacing w:after="0"/>
              <w:rPr>
                <w:sz w:val="20"/>
                <w:szCs w:val="20"/>
                <w:color w:val="auto"/>
              </w:rPr>
            </w:pPr>
            <w:r>
              <w:rPr>
                <w:rFonts w:ascii="Arial" w:cs="Arial" w:eastAsia="Arial" w:hAnsi="Arial"/>
                <w:sz w:val="14"/>
                <w:szCs w:val="14"/>
                <w:color w:val="auto"/>
              </w:rPr>
              <w:t>% of revenue</w:t>
            </w: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16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Our selling and administrative expenses declined $2.9 million, or 17.7%, and $6.9 million, or 14.0%, respectively, in the three and nine months ended March 31, 2017 compared with the same periods in fiscal 2016. The decrease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ind w:right="80"/>
        <w:spacing w:after="0" w:line="277" w:lineRule="auto"/>
        <w:rPr>
          <w:sz w:val="20"/>
          <w:szCs w:val="20"/>
          <w:color w:val="auto"/>
        </w:rPr>
      </w:pPr>
      <w:r>
        <w:rPr>
          <w:rFonts w:ascii="Arial" w:cs="Arial" w:eastAsia="Arial" w:hAnsi="Arial"/>
          <w:sz w:val="18"/>
          <w:szCs w:val="18"/>
          <w:color w:val="auto"/>
        </w:rPr>
        <w:t>third quarter of fiscal 2017 compared with the same quarter in fiscal 2016 was primarily due to a $2.9 million decrease in personnel and related expenses as a result of the restructuring programs we implemented.</w:t>
      </w:r>
    </w:p>
    <w:p>
      <w:pPr>
        <w:spacing w:after="0" w:line="116"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decrease for the first nine months of fiscal 2017 compared with the same period in fiscal 2016 was primarily due to a $6.6 million decrease in personnel and related expenses, and a $0.6 million decrease in professional fees. The decreases were partially offset by a $0.2 million accelerated depreciation of Santa Clara building leasehold improvements.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r>
      <w:tr>
        <w:trPr>
          <w:trHeight w:val="264"/>
        </w:trPr>
        <w:tc>
          <w:tcPr>
            <w:tcW w:w="28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April 1, 2016</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April 1, 2016</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2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Restructuring Charges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343</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r>
    </w:tbl>
    <w:p>
      <w:pPr>
        <w:spacing w:after="0" w:line="148"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Our restructuring expenses consisted primarily of severance and related benefit charges, facilities costs related to obligations under non-cancelable leases for facilities that we ceased to use.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r>
      <w:tr>
        <w:trPr>
          <w:trHeight w:val="264"/>
        </w:trPr>
        <w:tc>
          <w:tcPr>
            <w:tcW w:w="28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April 1, 2016</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April 1, 2016</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2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64"/>
        </w:trPr>
        <w:tc>
          <w:tcPr>
            <w:tcW w:w="28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40.0 %</w:t>
            </w:r>
          </w:p>
        </w:tc>
        <w:tc>
          <w:tcPr>
            <w:tcW w:w="10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(71.4)%</w:t>
            </w:r>
          </w:p>
        </w:tc>
      </w:tr>
      <w:tr>
        <w:trPr>
          <w:trHeight w:val="276"/>
        </w:trPr>
        <w:tc>
          <w:tcPr>
            <w:tcW w:w="2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N/A</w:t>
            </w: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was primarily related to interest associated with borrowings under the SVB Credit Facility and discounts on customer letters of credit.</w:t>
      </w:r>
    </w:p>
    <w:p>
      <w:pPr>
        <w:spacing w:after="0" w:line="194"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Other income in the three and nine months ended March 31, 2017 included a $0.3 million foreign currency translation gain reclassified from accumulated other comprehensive loss upon liquidation of a dormant foreign legal entity. The gain was offset by a foreign exchange loss on a dividend declared by our Nigeria entity (a partnership for U.S. tax purposes) to our Aviat U.S. entity of an insignificant amount in the three months ended March 31, 2017 and of $0.2 million in the nine months ended March 31,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r>
      <w:tr>
        <w:trPr>
          <w:trHeight w:val="264"/>
        </w:trPr>
        <w:tc>
          <w:tcPr>
            <w:tcW w:w="28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April 1, 2016</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April 1, 2016</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139"/>
        </w:trPr>
        <w:tc>
          <w:tcPr>
            <w:tcW w:w="284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Income (loss) from continuing operations</w:t>
            </w:r>
          </w:p>
        </w:tc>
        <w:tc>
          <w:tcPr>
            <w:tcW w:w="3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198"/>
        </w:trPr>
        <w:tc>
          <w:tcPr>
            <w:tcW w:w="28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before income taxes</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14,058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r>
      <w:tr>
        <w:trPr>
          <w:trHeight w:val="258"/>
        </w:trPr>
        <w:tc>
          <w:tcPr>
            <w:tcW w:w="2840" w:type="dxa"/>
            <w:vAlign w:val="bottom"/>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115.8 %</w:t>
            </w:r>
          </w:p>
        </w:tc>
        <w:tc>
          <w:tcPr>
            <w:tcW w:w="10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(1,682)</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(196.5)%</w:t>
            </w:r>
          </w:p>
        </w:tc>
      </w:tr>
    </w:tbl>
    <w:p>
      <w:pPr>
        <w:spacing w:after="0" w:line="16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 During the first quarter of fiscal 2017, we received a tax refund of $3.7 million from the Inland Revenue Authority of Singapore related to an assessment we paid in fiscal year 2014 related to deductions claimed in tax years 2007 through 2010. This tax refund was recorded as a discrete tax benefit during the quarter. The determination of the effective tax rate reflects tax expense and benefit generated in certain jurisdictions. However, jurisdictions with a year-to-date loss where no tax benefit can be recognized are excluded from the annual effective tax rate.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171"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Our discontinued operations consist of the WiMAX business, which was sold on September 2, 2011. The $0.5 million income net of tax recognized in the first nine months of fiscal 2016 was primarily due to recovery of certain WiMAX customer receivables that were previously written down.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As of March 31, 2017, our total cash and cash equivalents were $39.9 million of which $15.8 million, or 40%, was held by entities outside the United States. Of the amount of cash and cash equivalents held by our foreign subsidiaries at March 31, 2017, $11.4 million was held in jurisdictions where our undistributed earnings are indefinitely reinvested, and if repatriated, would be subject to U.S. taxes which are currently nominal.</w:t>
      </w:r>
    </w:p>
    <w:p>
      <w:pPr>
        <w:spacing w:after="0" w:line="11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As of March 31, 2017, our principal sources of liquidity consisted of the $40.2 million in cash, cash equivalents and short-term investments, $4.8 million of available credit under our $30.0 million SVB Credit Facility which expires on June 30, 2018 and future collections of receivables from customers. As of March 31, 2017, we were in compliance with the amended financial covenants contained in the SVB Credit Facility. However, as a result of uncertainty on our ability to continue to meet the financial covenants in the future and the fact that the SVB Credit Facility contains subjective acceleration clauses that could be triggered by the lender, the $8.0 million and $9.0 million borrowing was classified as a current liability as of March 31, 2017 and July 1, 2016.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nine months of fiscal 2017, our total cash and cash equivalents increased by $9.4 million primarily due to $14.0 million of cash provided by operating activities, offset by $3.2 million of cash used for capital expenditures, $1.0 million of cash used in net repayment of SVB Credit Facility, and $0.3 million effect of exchange rate changes on cash and cash equivalents.</w:t>
      </w:r>
    </w:p>
    <w:p>
      <w:pPr>
        <w:spacing w:after="0" w:line="12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Cash provided by operating activities was $14.0 million in the first nine months of fiscal 2017 as compared to cash provided by operating activities of $7.1 million in the first nine months of fiscal 2016. Cash provided by operating activities is presented as net income (loss) adjusted for non-cash items and changes in operating assets and liabilities. Results from operations improved by $15.3 million as we had a net income of $0.8 million for the first nine months of fiscal 2017 compared to a net loss of $14.5 million for the first nine months of fiscal 2016, net contribution of non-cash items to cash provided by operating activities decreased by $6.0 million and net contribution of changes in operating assets and liabilities to cash provided by operating activities decreased by $2.5 million for the first nine months of fiscal 2017 as compared to the same period in fiscal 2016.</w:t>
      </w:r>
    </w:p>
    <w:p>
      <w:pPr>
        <w:spacing w:after="0" w:line="124" w:lineRule="exact"/>
        <w:rPr>
          <w:sz w:val="20"/>
          <w:szCs w:val="20"/>
          <w:color w:val="auto"/>
        </w:rPr>
      </w:pPr>
    </w:p>
    <w:p>
      <w:pPr>
        <w:jc w:val="both"/>
        <w:ind w:right="60" w:firstLine="486"/>
        <w:spacing w:after="0" w:line="342" w:lineRule="auto"/>
        <w:rPr>
          <w:sz w:val="20"/>
          <w:szCs w:val="20"/>
          <w:color w:val="auto"/>
        </w:rPr>
      </w:pPr>
      <w:r>
        <w:rPr>
          <w:rFonts w:ascii="Arial" w:cs="Arial" w:eastAsia="Arial" w:hAnsi="Arial"/>
          <w:sz w:val="16"/>
          <w:szCs w:val="16"/>
          <w:color w:val="auto"/>
        </w:rPr>
        <w:t>The $15.3 million increase in net income includes a $3.7 million tax refund from the Inland Revenue Authority of Singapore related to a $13.2 million tax assessment we paid in fiscal year 2014. This tax refund was recorded as a discrete tax benefit when it was received during our first quarter of fiscal 2017.</w:t>
      </w:r>
    </w:p>
    <w:p>
      <w:pPr>
        <w:spacing w:after="0" w:line="70"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The $6.0 million decrease in the net contribution of non-cash items to cash provided by operating activities was primarily due to a $2.6 million decrease in charges for inventory write-downs, a $2.0 million decrease in bad debt expense, a $0.5 million decrease in depreciation and amortization of property, plant and equipment, a $0.5 million decrease in loss on disposition of property, plant and equipment and a $0.3 million gain on liquidation of a dormant subsidiary in the third quarter of fiscal 2017.</w:t>
      </w:r>
    </w:p>
    <w:p>
      <w:pPr>
        <w:spacing w:after="0" w:line="133"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Changes in operating assets and liabilities resulted in a net decrease of $2.5 million to cash provided by operating activities for the first nine months of fiscal 2017 as compared to the same period in 2016. Accounts receivable and unbilled costs fluctuate from period to period, depending on the amount, timing of sales and billing activities as well as cash collections. The fluctuations in accounts payable and accrued expenses were primarily due to the timing of liabilities incurred and vendor payments. The change in inventories and in customer service inventories were primarily due to demand and our focus on improving our inventory management. The decrease in customer advance payments and unearned income was due to the timing of payment from customers and revenue recognition. We used $3.2 million in cash during the first nine months of fiscal 2017 on expenses related to restructuring liabilities.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46" w:right="259" w:bottom="1440" w:gutter="0" w:footer="0" w:header="0"/>
        </w:sectPr>
      </w:pPr>
    </w:p>
    <w:bookmarkStart w:id="26" w:name="page27"/>
    <w:bookmarkEnd w:id="26"/>
    <w:p>
      <w:pPr>
        <w:ind w:right="700" w:firstLine="486"/>
        <w:spacing w:after="0" w:line="277" w:lineRule="auto"/>
        <w:rPr>
          <w:sz w:val="20"/>
          <w:szCs w:val="20"/>
          <w:color w:val="auto"/>
        </w:rPr>
      </w:pPr>
      <w:r>
        <w:rPr>
          <w:rFonts w:ascii="Arial" w:cs="Arial" w:eastAsia="Arial" w:hAnsi="Arial"/>
          <w:sz w:val="18"/>
          <w:szCs w:val="18"/>
          <w:color w:val="auto"/>
        </w:rPr>
        <w:t>During the remainder of fiscal year 2017, we expect to spend approximately $1.0 million for capital expenditures, primarily on equipment for development and manufacturing of new products and to support customer managed services.</w:t>
      </w:r>
    </w:p>
    <w:p>
      <w:pPr>
        <w:spacing w:after="0" w:line="116"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30, 2018. While we intend to renew and expect the SVB Credit Facility to be renewed, there can be no assurance that the SVB Credit Facility will be renewed. In addition, there can be no assurance that our business will generate cash flow from operations,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We had liabilities for restructuring activities totaling $1.9 million as of March 31, 2017, $1.7 million of which was classified as current liability and expected to be paid out in cash over the next 12 months. We expect to fund these future payments with available cash and cash provided by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The amounts disclosed in our fiscal 2016 Annual Report on Form 10-K filed with the SEC on September 9, 2016 include our commercial commitments and contractual obligations. During the first nine months of fiscal 2017, no material changes occurred in our contractual obligations to purchase goods and services and to make payments under operating leases or our commercial commitments and contingent liabilities on outstanding letters of credit, guarantees and other arrangements as disclosed in our fiscal 2016 Annual Report on Form 10-K. Please refer to Note 11 Commitments and Contingencies of the Notes to Condensed Consolidated Financial Statements in this Quarterly Report on Form 10-Q.</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2016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Prior to the fourth quarter of fiscal 2015, these derivatives were designated as cash flow hedges. The effective portion of the gain or loss was initially reported as a component of accumulated other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46" w:right="259" w:bottom="1440" w:gutter="0" w:footer="0" w:header="0"/>
        </w:sectPr>
      </w:pPr>
    </w:p>
    <w:bookmarkStart w:id="27" w:name="page28"/>
    <w:bookmarkEnd w:id="27"/>
    <w:p>
      <w:pPr>
        <w:ind w:right="80"/>
        <w:spacing w:after="0" w:line="255" w:lineRule="auto"/>
        <w:rPr>
          <w:sz w:val="20"/>
          <w:szCs w:val="20"/>
          <w:color w:val="auto"/>
        </w:rPr>
      </w:pPr>
      <w:r>
        <w:rPr>
          <w:rFonts w:ascii="Arial" w:cs="Arial" w:eastAsia="Arial" w:hAnsi="Arial"/>
          <w:sz w:val="18"/>
          <w:szCs w:val="18"/>
          <w:color w:val="auto"/>
        </w:rPr>
        <w:t>comprehensive income (loss), and upon occurrence of the forecasted transaction, was subsequently reclassified into the income or expense line item to which the hedged transaction relates. Beginning the fourth quarter of fiscal 2015, we no longer prepared contemporaneous documentation of hedges for the new foreign exchange forward contracts we entered into. As a result, the foreign exchange hedges no longer qualified as cash flow hedges. The changes in fair value related to the hedges were recorded in income or expenses line items on our statements of operations. The last qualifying cash flow hedges occurred in the first quarter of fiscal 2016 and we reclassified $41 thousand gain out of accumulated other comprehensive loss into cost of revenues during the first quarter of fiscal 2016.</w:t>
      </w:r>
    </w:p>
    <w:p>
      <w:pPr>
        <w:spacing w:after="0" w:line="139"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27"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As of March 31, 2017, we had foreign currency forward contracts outstanding with a total notional amount of $2.1 million consisting of three different currencies. The following is a summary of the gross notional amount of our outstanding contracts grouped by the underlying foreign currency as of March 31, 2017:</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5"/>
              </w:rPr>
              <w:t>Notional Contract</w:t>
            </w:r>
          </w:p>
        </w:tc>
        <w:tc>
          <w:tcPr>
            <w:tcW w:w="460" w:type="dxa"/>
            <w:vAlign w:val="bottom"/>
          </w:tcPr>
          <w:p>
            <w:pPr>
              <w:spacing w:after="0"/>
              <w:rPr>
                <w:sz w:val="14"/>
                <w:szCs w:val="14"/>
                <w:color w:val="auto"/>
              </w:rPr>
            </w:pPr>
          </w:p>
        </w:tc>
        <w:tc>
          <w:tcPr>
            <w:tcW w:w="1140" w:type="dxa"/>
            <w:vAlign w:val="bottom"/>
          </w:tcPr>
          <w:p>
            <w:pPr>
              <w:jc w:val="center"/>
              <w:ind w:right="379"/>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jc w:val="center"/>
              <w:ind w:right="379"/>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Amount</w:t>
            </w:r>
          </w:p>
        </w:tc>
        <w:tc>
          <w:tcPr>
            <w:tcW w:w="460" w:type="dxa"/>
            <w:vAlign w:val="bottom"/>
          </w:tcPr>
          <w:p>
            <w:pPr>
              <w:spacing w:after="0"/>
              <w:rPr>
                <w:sz w:val="12"/>
                <w:szCs w:val="12"/>
                <w:color w:val="auto"/>
              </w:rPr>
            </w:pPr>
          </w:p>
        </w:tc>
        <w:tc>
          <w:tcPr>
            <w:tcW w:w="1140" w:type="dxa"/>
            <w:vAlign w:val="bottom"/>
          </w:tcPr>
          <w:p>
            <w:pPr>
              <w:jc w:val="center"/>
              <w:ind w:right="359"/>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120" w:type="dxa"/>
            <w:vAlign w:val="bottom"/>
            <w:gridSpan w:val="2"/>
            <w:vMerge w:val="continue"/>
          </w:tcPr>
          <w:p>
            <w:pPr>
              <w:spacing w:after="0"/>
              <w:rPr>
                <w:sz w:val="16"/>
                <w:szCs w:val="16"/>
                <w:color w:val="auto"/>
              </w:rPr>
            </w:pPr>
          </w:p>
        </w:tc>
        <w:tc>
          <w:tcPr>
            <w:tcW w:w="1700" w:type="dxa"/>
            <w:vAlign w:val="bottom"/>
          </w:tcPr>
          <w:p>
            <w:pPr>
              <w:jc w:val="center"/>
              <w:ind w:right="20"/>
              <w:spacing w:after="0"/>
              <w:rPr>
                <w:sz w:val="20"/>
                <w:szCs w:val="20"/>
                <w:color w:val="auto"/>
              </w:rPr>
            </w:pPr>
            <w:r>
              <w:rPr>
                <w:rFonts w:ascii="Arial" w:cs="Arial" w:eastAsia="Arial" w:hAnsi="Arial"/>
                <w:sz w:val="14"/>
                <w:szCs w:val="14"/>
                <w:b w:val="1"/>
                <w:bCs w:val="1"/>
                <w:color w:val="auto"/>
                <w:w w:val="97"/>
              </w:rPr>
              <w:t>(Local Currency)</w:t>
            </w:r>
          </w:p>
        </w:tc>
        <w:tc>
          <w:tcPr>
            <w:tcW w:w="460" w:type="dxa"/>
            <w:vAlign w:val="bottom"/>
          </w:tcPr>
          <w:p>
            <w:pPr>
              <w:spacing w:after="0"/>
              <w:rPr>
                <w:sz w:val="16"/>
                <w:szCs w:val="16"/>
                <w:color w:val="auto"/>
              </w:rPr>
            </w:pPr>
          </w:p>
        </w:tc>
        <w:tc>
          <w:tcPr>
            <w:tcW w:w="1140" w:type="dxa"/>
            <w:vAlign w:val="bottom"/>
          </w:tcPr>
          <w:p>
            <w:pPr>
              <w:jc w:val="center"/>
              <w:ind w:right="359"/>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South Africa rand</w:t>
            </w:r>
          </w:p>
        </w:tc>
        <w:tc>
          <w:tcPr>
            <w:tcW w:w="1700" w:type="dxa"/>
            <w:vAlign w:val="bottom"/>
          </w:tcPr>
          <w:p>
            <w:pPr>
              <w:jc w:val="right"/>
              <w:ind w:right="120"/>
              <w:spacing w:after="0"/>
              <w:rPr>
                <w:sz w:val="20"/>
                <w:szCs w:val="20"/>
                <w:color w:val="auto"/>
              </w:rPr>
            </w:pPr>
            <w:r>
              <w:rPr>
                <w:rFonts w:ascii="Arial" w:cs="Arial" w:eastAsia="Arial" w:hAnsi="Arial"/>
                <w:sz w:val="18"/>
                <w:szCs w:val="18"/>
                <w:color w:val="auto"/>
              </w:rPr>
              <w:t>6,687</w:t>
            </w:r>
          </w:p>
        </w:tc>
        <w:tc>
          <w:tcPr>
            <w:tcW w:w="46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1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5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7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foreign exchange income (loss) recorded in our unaudited condensed consolidated statements of operations during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 was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84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Amount included in other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920" w:firstLine="486"/>
        <w:spacing w:after="0" w:line="277" w:lineRule="auto"/>
        <w:rPr>
          <w:sz w:val="20"/>
          <w:szCs w:val="20"/>
          <w:color w:val="auto"/>
        </w:rPr>
      </w:pPr>
      <w:r>
        <w:rPr>
          <w:rFonts w:ascii="Arial" w:cs="Arial" w:eastAsia="Arial" w:hAnsi="Arial"/>
          <w:sz w:val="18"/>
          <w:szCs w:val="18"/>
          <w:color w:val="auto"/>
        </w:rPr>
        <w:t>A 10% adverse change in currency exchange rates for our foreign currency derivatives held as of March 31, 2017 would have an impact of approximately $0.2 million on the fair value of such instruments.</w:t>
      </w:r>
    </w:p>
    <w:p>
      <w:pPr>
        <w:spacing w:after="0" w:line="116"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Certain of our international business was transacted in non-U.S. dollar currency. As discussed above, we utilize foreign currency hedging instruments to minimize the currency risk of international transactions. The impact of translating the assets and liabilities of foreign operations to U.S. dollars for the first nine months of fiscal 2017 was $0.9 million and was included as a component of stockholders’ equity. As of March 31, 2017 and July 1, 2016, the cumulative translation adjustment decreased our stockholders’ equity by $12.1 million and $11.2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We had $39.9 million in total cash and cash equivalents as of March 31, 2017. Cash equivalents totaled $24.9 million as of March 31, 2017 and were comprised of money market funds and bank certificates of deposit. Cash equivalents have been recorded at fair value on our balance sheet.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p>
      <w:pPr>
        <w:ind w:right="20" w:firstLine="486"/>
        <w:spacing w:after="0" w:line="302" w:lineRule="auto"/>
        <w:rPr>
          <w:sz w:val="20"/>
          <w:szCs w:val="20"/>
          <w:color w:val="auto"/>
        </w:rPr>
      </w:pPr>
      <w:r>
        <w:rPr>
          <w:rFonts w:ascii="Arial" w:cs="Arial" w:eastAsia="Arial" w:hAnsi="Arial"/>
          <w:sz w:val="16"/>
          <w:szCs w:val="16"/>
          <w:color w:val="auto"/>
        </w:rPr>
        <w:t>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March 31, 2017 was 159 days, and these investments had an average yield of 6.64% per annum. A 10% change in interest rates on our cash and cash equivalents is not expected to have a material impact on our financial position, results of operations or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During the first nine months of fiscal 2017, we had $8.0 million of borrowings outstanding under the SVB Credit Facility that incurred interest at the prime rate plus a spread of 0.50% to 1.50% with such spread determined based on our adjusted quick ratio. During the first nine months of fiscal 2017, our weighted average interest rate was 4.10% and the interest expense on these borrowings was insignificant.</w:t>
      </w:r>
    </w:p>
    <w:p>
      <w:pPr>
        <w:spacing w:after="0" w:line="127" w:lineRule="exact"/>
        <w:rPr>
          <w:sz w:val="20"/>
          <w:szCs w:val="20"/>
          <w:color w:val="auto"/>
        </w:rPr>
      </w:pPr>
    </w:p>
    <w:p>
      <w:pPr>
        <w:jc w:val="both"/>
        <w:ind w:right="180"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Based on management’s evaluation, with participation of our Chief Executive Officer (CEO) and Chief Financial Officer (CFO), as of the end of the period covered by this report, our CEO and CFO have concluded that our disclosure controls and procedures, as defined in Rules 13a-15(e) and 15d-15(e) under the Securities Exchange Act of 1934, as amended (the “Exchange Act”), as of March 31, 2017,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principal executive officer and principal financial officer, as appropriate to allow timely decisions regarding required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There were no changes to our internal control over financial reporting as defined in Rules 13a-15(f) or 15d-15(f) that occurred during our first nine months of fiscal 2017 that have materially affected, or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Our management, including the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46" w:right="259" w:bottom="1440" w:gutter="0" w:footer="0" w:header="0"/>
        </w:sectPr>
      </w:pPr>
    </w:p>
    <w:bookmarkStart w:id="29" w:name="page30"/>
    <w:bookmarkEnd w:id="29"/>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Please refer to Legal Proceedings under Note 11 Commitments and Contingencies of the Notes to Condensed Consolidated Financial Statements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2016 Annual Report on Form 10-K filed with the SEC on September 9, 2016.</w:t>
      </w:r>
    </w:p>
    <w:p>
      <w:pPr>
        <w:spacing w:after="0" w:line="12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2016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9360"/>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93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set forth on the Exhibit Index (following the Signature section of this report) and is included, or incorporated by reference, in this Form 10-Q.</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904" w:right="25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Eric Chang</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Vice President, Corporate Controller and Principal Accounting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accounting officer and duly authorized officer)</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79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20" w:type="dxa"/>
            <w:vAlign w:val="bottom"/>
            <w:gridSpan w:val="3"/>
          </w:tcPr>
          <w:p>
            <w:pPr>
              <w:ind w:left="50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399"/>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160" w:type="dxa"/>
            <w:vAlign w:val="bottom"/>
          </w:tcPr>
          <w:p>
            <w:pPr>
              <w:ind w:left="4700"/>
              <w:spacing w:after="0"/>
              <w:rPr>
                <w:sz w:val="20"/>
                <w:szCs w:val="20"/>
                <w:color w:val="auto"/>
              </w:rPr>
            </w:pPr>
            <w:r>
              <w:rPr>
                <w:rFonts w:ascii="Arial" w:cs="Arial" w:eastAsia="Arial" w:hAnsi="Arial"/>
                <w:sz w:val="14"/>
                <w:szCs w:val="14"/>
                <w:b w:val="1"/>
                <w:bCs w:val="1"/>
                <w:color w:val="auto"/>
              </w:rPr>
              <w:t>Descriptions</w:t>
            </w:r>
          </w:p>
        </w:tc>
      </w:tr>
      <w:tr>
        <w:trPr>
          <w:trHeight w:val="228"/>
        </w:trPr>
        <w:tc>
          <w:tcPr>
            <w:tcW w:w="1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0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4"/>
              </w:rPr>
              <w:t>Amended and Restated Certificate of Incorporation of Aviat Networks, Inc., as amended (incorporate by reference to Exhibit 3.1 to the</w:t>
            </w: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Report on our Form 10-Q filed with the SEC on February 10, 2017, File No. 001-33278)</w:t>
            </w:r>
          </w:p>
        </w:tc>
      </w:tr>
      <w:tr>
        <w:trPr>
          <w:trHeight w:val="229"/>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Amended and Restated Bylaws of Aviat Networks, Inc. (incorporate by reference to Exhibit 3.2 to the Current Report on Form 8-K filed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with the SEC on October 2, 2015, File No. 001-33278)</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29"/>
        </w:trPr>
        <w:tc>
          <w:tcPr>
            <w:tcW w:w="1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Tax Benefit Preservation Plan, dated as of September 6, 2016, by and between Aviat Networks, Inc. and Computershare Inc., as Rights</w:t>
            </w:r>
          </w:p>
        </w:tc>
      </w:tr>
      <w:tr>
        <w:trPr>
          <w:trHeight w:val="216"/>
        </w:trPr>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Agent (incorporated by reference to Exhibit 4.1 to the Current Report on Form 8-K filed with the SEC on September 7, 2016, File No. 011-</w:t>
            </w: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33278)</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Instance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796"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31, 2017,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May 10, 2017</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Ralph Marimon, certify that:</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31, 2017,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May 10, 2017</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/s/ Ralph S. Marimon</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660" w:type="dxa"/>
            <w:vAlign w:val="bottom"/>
          </w:tcPr>
          <w:p>
            <w:pPr>
              <w:ind w:left="200"/>
              <w:spacing w:after="0"/>
              <w:rPr>
                <w:sz w:val="20"/>
                <w:szCs w:val="20"/>
                <w:color w:val="auto"/>
              </w:rPr>
            </w:pPr>
            <w:r>
              <w:rPr>
                <w:rFonts w:ascii="Arial" w:cs="Arial" w:eastAsia="Arial" w:hAnsi="Arial"/>
                <w:sz w:val="18"/>
                <w:szCs w:val="18"/>
                <w:color w:val="auto"/>
              </w:rPr>
              <w:t>Ralph S. Marimon</w:t>
            </w:r>
          </w:p>
        </w:tc>
      </w:tr>
      <w:tr>
        <w:trPr>
          <w:trHeight w:val="256"/>
        </w:trPr>
        <w:tc>
          <w:tcPr>
            <w:tcW w:w="568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660" w:type="dxa"/>
            <w:vAlign w:val="bottom"/>
          </w:tcPr>
          <w:p>
            <w:pPr>
              <w:ind w:left="200"/>
              <w:spacing w:after="0"/>
              <w:rPr>
                <w:sz w:val="20"/>
                <w:szCs w:val="20"/>
                <w:color w:val="auto"/>
              </w:rPr>
            </w:pPr>
            <w:r>
              <w:rPr>
                <w:rFonts w:ascii="Arial" w:cs="Arial" w:eastAsia="Arial" w:hAnsi="Arial"/>
                <w:sz w:val="18"/>
                <w:szCs w:val="18"/>
                <w:color w:val="auto"/>
                <w:w w:val="94"/>
              </w:rPr>
              <w:t>Senior Vice President and Chief Financial Officer, Principal</w:t>
            </w:r>
          </w:p>
        </w:tc>
      </w:tr>
      <w:tr>
        <w:trPr>
          <w:trHeight w:val="230"/>
        </w:trPr>
        <w:tc>
          <w:tcPr>
            <w:tcW w:w="5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March 31, 2017, as filed with the Securities and Exchange Commission on the date hereof (the “Report”), we, Michael A. Pangia, President and Chief Executive Officer of Aviat Networks, and Ralph S. Marimon, Senior Vice President and Chief Financial Officer, Principal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May 10, 2017</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143510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10, 2017</w:t>
      </w:r>
    </w:p>
    <w:p>
      <w:pPr>
        <w:ind w:left="6080"/>
        <w:spacing w:after="0"/>
        <w:rPr>
          <w:sz w:val="20"/>
          <w:szCs w:val="20"/>
          <w:color w:val="auto"/>
        </w:rPr>
      </w:pPr>
      <w:r>
        <w:rPr>
          <w:rFonts w:ascii="Arial" w:cs="Arial" w:eastAsia="Arial" w:hAnsi="Arial"/>
          <w:sz w:val="18"/>
          <w:szCs w:val="18"/>
          <w:color w:val="auto"/>
        </w:rPr>
        <w:t>/s/ 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Ralph S. Marimon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and Chief Financial Officer, Principal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2019-12-29T06:06:16Z</dcterms:created>
  <dcterms:modified xsi:type="dcterms:W3CDTF">2019-12-29T06:06:16Z</dcterms:modified>
</cp:coreProperties>
</file>