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29, 2017</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5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x (Do not check if a smaller reporting company)</w:t>
            </w:r>
          </w:p>
        </w:tc>
        <w:tc>
          <w:tcPr>
            <w:tcW w:w="33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74" w:lineRule="exact"/>
        <w:rPr>
          <w:sz w:val="24"/>
          <w:szCs w:val="24"/>
          <w:color w:val="auto"/>
        </w:rPr>
      </w:pPr>
    </w:p>
    <w:p>
      <w:pPr>
        <w:ind w:right="204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October 30, 2017 was 5,318,218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29, 2017</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17">
              <w:r>
                <w:rPr>
                  <w:rFonts w:ascii="Arial" w:cs="Arial" w:eastAsia="Arial" w:hAnsi="Arial"/>
                  <w:sz w:val="18"/>
                  <w:szCs w:val="18"/>
                  <w:color w:val="auto"/>
                </w:rPr>
                <w:t>Item 2. 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3">
              <w:r>
                <w:rPr>
                  <w:rFonts w:ascii="Arial" w:cs="Arial" w:eastAsia="Arial" w:hAnsi="Arial"/>
                  <w:sz w:val="18"/>
                  <w:szCs w:val="18"/>
                  <w:color w:val="auto"/>
                </w:rPr>
                <w:t>Item 3. Quantitative and Qualitative Disclosures About Market Risk</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4">
              <w:r>
                <w:rPr>
                  <w:rFonts w:ascii="Arial" w:cs="Arial" w:eastAsia="Arial" w:hAnsi="Arial"/>
                  <w:sz w:val="18"/>
                  <w:szCs w:val="18"/>
                  <w:color w:val="auto"/>
                </w:rPr>
                <w:t>Item 4. Controls and Procedures</w:t>
              </w:r>
            </w:hyperlink>
          </w:p>
        </w:tc>
        <w:tc>
          <w:tcPr>
            <w:tcW w:w="5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Part II.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1. Legal Proceedings</w:t>
              </w:r>
            </w:hyperlink>
          </w:p>
        </w:tc>
        <w:tc>
          <w:tcPr>
            <w:tcW w:w="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1A. Risk Factors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2. 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3. Defaults upon Senior Securities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4. Mine Safety Disclosures</w:t>
              </w:r>
            </w:hyperlink>
          </w:p>
        </w:tc>
        <w:tc>
          <w:tcPr>
            <w:tcW w:w="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5.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6. Exhibits</w:t>
              </w:r>
            </w:hyperlink>
          </w:p>
        </w:tc>
        <w:tc>
          <w:tcPr>
            <w:tcW w:w="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Signature</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Exhibit Index</w:t>
              </w:r>
            </w:hyperlink>
          </w:p>
        </w:tc>
        <w:tc>
          <w:tcPr>
            <w:tcW w:w="5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86"/>
        </w:trPr>
        <w:tc>
          <w:tcPr>
            <w:tcW w:w="10460" w:type="dxa"/>
            <w:vAlign w:val="bottom"/>
          </w:tcPr>
          <w:p>
            <w:pPr>
              <w:ind w:left="5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jc w:val="center"/>
              <w:ind w:right="5550"/>
              <w:spacing w:after="0"/>
              <w:rPr>
                <w:sz w:val="20"/>
                <w:szCs w:val="20"/>
                <w:color w:val="auto"/>
              </w:rPr>
            </w:pPr>
            <w:r>
              <w:rPr>
                <w:rFonts w:ascii="Arial" w:cs="Arial" w:eastAsia="Arial" w:hAnsi="Arial"/>
                <w:sz w:val="18"/>
                <w:szCs w:val="18"/>
                <w:b w:val="1"/>
                <w:bCs w:val="1"/>
                <w:color w:val="auto"/>
                <w:w w:val="89"/>
              </w:rPr>
              <w:t>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AVIAT NETWORKS, INC.</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43"/>
        </w:trPr>
        <w:tc>
          <w:tcPr>
            <w:tcW w:w="12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Restructuring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Reserve for uncertain tax positions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97,793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98,236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Equity:</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 shares issued or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858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Common stock, </w:t>
            </w:r>
            <w:r>
              <w:rPr>
                <w:rFonts w:ascii="Arial" w:cs="Arial" w:eastAsia="Arial" w:hAnsi="Arial"/>
                <w:sz w:val="16"/>
                <w:szCs w:val="16"/>
                <w:color w:val="auto"/>
                <w:w w:val="92"/>
              </w:rPr>
              <w:t>$0.01 par value, 300,000,000 shares authorized, 5,318,218 shares issued and outstanding at September 29,</w:t>
            </w:r>
          </w:p>
        </w:tc>
        <w:tc>
          <w:tcPr>
            <w:tcW w:w="160" w:type="dxa"/>
            <w:vAlign w:val="bottom"/>
          </w:tcPr>
          <w:p>
            <w:pPr>
              <w:spacing w:after="0"/>
              <w:rPr>
                <w:sz w:val="20"/>
                <w:szCs w:val="20"/>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8580" w:type="dxa"/>
            <w:vAlign w:val="bottom"/>
            <w:gridSpan w:val="2"/>
          </w:tcPr>
          <w:p>
            <w:pPr>
              <w:ind w:left="600"/>
              <w:spacing w:after="0"/>
              <w:rPr>
                <w:sz w:val="20"/>
                <w:szCs w:val="20"/>
                <w:color w:val="auto"/>
              </w:rPr>
            </w:pPr>
            <w:r>
              <w:rPr>
                <w:rFonts w:ascii="Arial" w:cs="Arial" w:eastAsia="Arial" w:hAnsi="Arial"/>
                <w:sz w:val="16"/>
                <w:szCs w:val="16"/>
                <w:color w:val="auto"/>
              </w:rPr>
              <w:t>2017; 5,317,766 shares issued and outstanding at June 30, 2017</w:t>
            </w: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813,733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(748,861)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(748,204)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Total equity</w:t>
            </w:r>
          </w:p>
        </w:tc>
        <w:tc>
          <w:tcPr>
            <w:tcW w:w="7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54,340</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152,214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35,067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34,724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56,182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13,722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of common stock outstanding, basic and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 net of tax</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uncollectible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40,005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30, 2017.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September 29, 2017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30, 2017.</w:t>
      </w:r>
    </w:p>
    <w:p>
      <w:pPr>
        <w:spacing w:after="0" w:line="112"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consolidated financial statements of the prior period have been reclassified to conform to the presentation for the current period.</w:t>
      </w:r>
    </w:p>
    <w:p>
      <w:pPr>
        <w:spacing w:after="0" w:line="1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quarter of fiscal 2018 and fiscal 2017 included 13 weeks in each quarter. Fiscal year 2018 will be comprised of 52 weeks and will end on June 29,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three months ended September 29, 2017, as compared to the significant accounting policies described in our Annual Report on Form 10-K for the fiscal year ended June 30,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(Topic 740),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 Intra-Entity Transfers of Assets Other than Inventory</w:t>
      </w:r>
      <w:r>
        <w:rPr>
          <w:rFonts w:ascii="Arial" w:cs="Arial" w:eastAsia="Arial" w:hAnsi="Arial"/>
          <w:sz w:val="18"/>
          <w:szCs w:val="18"/>
          <w:color w:val="auto"/>
        </w:rPr>
        <w:t>, which requires that an entity recognizes the tax expense from the sale of intra-entity</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assets, other than inventory, in the seller’s tax jurisdiction when the transfer occurs, even though the pre-tax effects of that transaction are eliminate in consolidation. We adopted this update during the first quarter of fiscal 2018. The adoption had no material impact on our unaudited condensed consolidated financial statements.</w:t>
      </w:r>
    </w:p>
    <w:p>
      <w:pPr>
        <w:spacing w:after="0" w:line="13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In July 2015, the FASB issued ASU 2015-11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We adopted this update prospectively during the first quarter of fiscal 2018. The adoption had no material impact on our unaudited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(ASC Topic 606), Revenue from Contracts with Customers</w:t>
      </w:r>
      <w:r>
        <w:rPr>
          <w:rFonts w:ascii="Arial" w:cs="Arial" w:eastAsia="Arial" w:hAnsi="Arial"/>
          <w:sz w:val="16"/>
          <w:szCs w:val="16"/>
          <w:color w:val="auto"/>
        </w:rPr>
        <w:t>, which along with amendments issued in 2015 and 2016, will supersede nearly all current U.S. GAAP guidance on this topic and eliminate industry-specific guidance. The amendments are based on the principle that revenue should be recognized to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This accounting standard update, as amended, will be effective for us in the first quarter of fiscal year 2019. The new revenue standard may be applied retrospectively to each prior period presented or retrospectively with the cumulative effect recognized in retained earnings as of the date of adoption. We continue to evaluate the impact of the new standard on our Consolidated Financial Statements and disclosures. The ultimate impact on revenue resulting from the application of the new standard will be subject to assessments that are dependent on many variables, including, but not limited to, the terms of our contractual arrangements and our mix of business. We have established a cross-functional implementation team to implement the standard update related to the recognition of revenue from contracts with customers. We have identified and are int he process of evaluating changes to our systems, processes and internal controls to meet the reporting and increased disclosure requirements associated with this standard update. We expect the timing of revenue recognition to change in certain areas, including our services segment’s installation revenue, which upon adoption will be recognized as revenue and costs over a period of time. Also, since we currently expense sales commissions as incurred, the requirement in the new standard to capitalize certain in-scope sales commissions is being evaluated to determine its potential impact in our financial statements in the year of adoption. We expect to adopt the new standard on a modified retrospective basis in the first quarter of fiscal 2019. We are continuing to assess all potential impacts of the guidance on our consolidated financial statements and given normal ongoing business dynamics, preliminary conclusions are subject to change.</w:t>
      </w:r>
    </w:p>
    <w:p>
      <w:pPr>
        <w:spacing w:after="0" w:line="12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consolidated financial statements.</w:t>
      </w:r>
    </w:p>
    <w:p>
      <w:pPr>
        <w:spacing w:after="0" w:line="13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This guidance retains the current accounting for classifying and measuring investments in debt securities and loans, but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standard to have a material impact on our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Net Loss Per Share of Common Stock</w:t>
      </w:r>
    </w:p>
    <w:p>
      <w:pPr>
        <w:spacing w:after="0" w:line="17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Net loss per share is computed using the two-class method, by dividing net loss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However, we incurred a net loss in all periods presented. Undistributed losses are not allocated to unvested restricted shares due to the fact that the unvested restricted shares are not contractually obligated to share our losses. The impact on earnings per share of the participating securities under the two-class method is immaterial.</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equity awards that were excluded from the diluted net loss per share calculations: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80" w:type="dxa"/>
            <w:vAlign w:val="bottom"/>
          </w:tcPr>
          <w:p>
            <w:pPr>
              <w:spacing w:after="0"/>
              <w:rPr>
                <w:sz w:val="13"/>
                <w:szCs w:val="13"/>
                <w:color w:val="auto"/>
              </w:rPr>
            </w:pPr>
          </w:p>
        </w:tc>
        <w:tc>
          <w:tcPr>
            <w:tcW w:w="11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stocks units and performance stock units</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potential shares of common stock excluded</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The following table provides a summary of our cash, cash equivalents, and restricted cash:</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29,</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40,005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net accounts receivable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29,</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566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During the three months ended September 29, 2017 and September 30, 2016, we recorded recovery or charges to adjust our inventory and customer service inventory due to excess and obsolete inventory resulting from lower sales forecast, product transitioning or discontinuance. During the three months ended September 29, 2017, we recorded a recovery of $37 thousand related to previously reserved inventory due to sell through. Such recovery or charges during the three months ended September 29, 2017 and September 30, 2016 were classified in cost of product sales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24"/>
                <w:szCs w:val="2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70,129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4660" w:type="dxa"/>
            <w:vAlign w:val="bottom"/>
          </w:tcPr>
          <w:p>
            <w:pPr>
              <w:jc w:val="right"/>
              <w:ind w:right="269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at the time of sale.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13"/>
                <w:szCs w:val="13"/>
                <w:color w:val="auto"/>
              </w:rPr>
            </w:pPr>
          </w:p>
        </w:tc>
        <w:tc>
          <w:tcPr>
            <w:tcW w:w="120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advanced payments and unearned income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24"/>
                <w:szCs w:val="24"/>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12,965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11,244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September 29, 2017 and June 30, 2017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September 29, 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ind w:left="220"/>
              <w:spacing w:after="0"/>
              <w:rPr>
                <w:sz w:val="20"/>
                <w:szCs w:val="20"/>
                <w:color w:val="auto"/>
              </w:rPr>
            </w:pPr>
            <w:r>
              <w:rPr>
                <w:rFonts w:ascii="Arial" w:cs="Arial" w:eastAsia="Arial" w:hAnsi="Arial"/>
                <w:sz w:val="14"/>
                <w:szCs w:val="14"/>
                <w:b w:val="1"/>
                <w:bCs w:val="1"/>
                <w:color w:val="auto"/>
              </w:rPr>
              <w:t>Valuation Inputs</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96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September 29, 2017 and June 30, 2017, these money market funds were valued at $1.00 net asset value per share.</w:t>
      </w:r>
    </w:p>
    <w:p>
      <w:pPr>
        <w:spacing w:after="0" w:line="11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29, 2017 and June 30, 2017, we did not have any recurring assets or liabilities that were valued using significant unobservable inputs.</w:t>
      </w:r>
    </w:p>
    <w:p>
      <w:pPr>
        <w:spacing w:after="0" w:line="194"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months of fiscal 2018 and 2017,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 In September 2017, the SVB Credit Facility was amended to allow up to 30% of our Singapore subsidiary’s accounts receivable to be included in the calculation of the borrowing base and the inclusion of the accounts receivable of certain high credit quality customers that are aged 90 to 120 days to be included in the calculation of the borrowing base.</w:t>
      </w:r>
    </w:p>
    <w:p>
      <w:pPr>
        <w:spacing w:after="0" w:line="14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outstanding debt under the SVB Credit Facility was $9.0 million as of September 29, 2017 and June 30, 2017. The SVB Credit Facility carries an interest rate computed at the daily prime rate as published in the Wall Street Journal plus a spread of 0.50% to 1.50%, with such spread determined based on our adjusted quick ratio. During the first three months of fiscal year 2017, the weighted average interest rate on our outstanding loan was 4.75%. As of September 29, 2017, available credit under the SVB Credit Facility was $7.9 million reflecting the calculated borrowing base of $19.6 million less existing borrowings of $9.0 million and outstanding letters of credit of $2.7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20" w:firstLine="486"/>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September 29, 2017, we were in compliance with the quarterly financial covenants, as amended, contained in the SVB Credit Facility.</w:t>
      </w:r>
    </w:p>
    <w:p>
      <w:pPr>
        <w:spacing w:after="0" w:line="11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September 29, 2017 and June 30, 2017. The line of credit also provides for the issuance of standby letters of credit and company credit cards, of which $0.1 million was outstanding as of September 29, 2017. This facility may be terminated upon notice, is reviewed annually for renewal or modification, and is supported by a corporate guarantee.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first three months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b w:val="1"/>
                <w:bCs w:val="1"/>
                <w:color w:val="auto"/>
                <w:w w:val="89"/>
              </w:rPr>
              <w:t>Severance and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2015-2016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September 29,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September 29, 2017, $0.8 million of the accrual balance was in short-term restructuring liabilities while $0.2 million was included in other long-term liabilities on the unaudited condensed consolidated balance sheets.</w:t>
      </w:r>
    </w:p>
    <w:p>
      <w:pPr>
        <w:spacing w:after="0" w:line="11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We completed the restructuring activities under each of the plans referenced in the table above. Remaining payments for these plans will be paid through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of September 29, 2017, we had one stock incentive plan for our employees and nonemployee directors, the 2007 Stock Equity Plan, as amended and restated effective November 13, 2015 (the “2007 Stock Plan”). During the first three months of fiscal 2018, we issued 261 shares of common stock under the Employee Stock Purchase Plan (ESPP), and 191 shares of common stock for options exercised.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of September 29, 2017, there was $0.1 million of total unrecognized compensation expense related to nonvested stock options granted under our 2007 Stock Plan. This expense is expected to be recognized over a weighted average period of 0.8 years. As of September 29, 2017, there was $2.8 million of total unrecognized compensation expense related to nonvested stock awards and units granted under our 2007 Stock Plan. This expense is expected to be recognized over a weighted average period of 1.4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months ended September 29, 2017 and September 30, 2016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13,462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56,182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58,207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Motorola Solutions, Inc. (Motorola) and Mobile Telephone Networks Group (MTN Group) accounted for 16% and 14%, respectively, of our accounts receivable as of September 29, 2017. MTN Group also accounted for 26% of our accounts receivable as of June 30, 2017. During the three months ended September 29, 2017 and September 30, 2016, MTN Group accounted for 14% and 10%, respectively, of our total revenue. We have entered into separate and distinct contracts with MTN Group and Motorola, as well as separate arrangements with their various subsidiaries. The loss of all business from MTN Group, Motorola, or any other significant customers, could adversely affect our results of operations, cash flows and financial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certain jurisdictions where we cannot recognize tax benefits on current losses and tax benefit from a foreign tax refund. During interim periods, we accrue tax expenses for jurisdictions that are anticipated to be profitable for fiscal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right="120" w:firstLine="486"/>
        <w:spacing w:after="0" w:line="259" w:lineRule="auto"/>
        <w:rPr>
          <w:sz w:val="20"/>
          <w:szCs w:val="20"/>
          <w:color w:val="auto"/>
        </w:rPr>
      </w:pPr>
      <w:r>
        <w:rPr>
          <w:rFonts w:ascii="Arial" w:cs="Arial" w:eastAsia="Arial" w:hAnsi="Arial"/>
          <w:sz w:val="18"/>
          <w:szCs w:val="18"/>
          <w:color w:val="auto"/>
        </w:rPr>
        <w:t>The determination of our provision for the first three months of fiscal 2018 and 2017 was based on our estimated annual effective tax rate adjusted for losses in certain jurisdictions for which no tax benefit can be recognized. The tax expense for the first three months of fiscal 2018 and 2017 were primarily attributable to tax expense related to profitable subsidiaries, net against the foreign tax refunds received from the Inland Revenue Authority of Singapore (“IRAS”).</w:t>
      </w:r>
    </w:p>
    <w:p>
      <w:pPr>
        <w:spacing w:after="0" w:line="133"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During the fiscal year 2014, we received an assessment letter from IRAS related to deductions claimed in prior years and made a payment of $13.2 million related to tax years 2007 through 2010, reflecting all the taxes incrementally assessed by IRAS. Since the initial assessment, we continued to challenge this assessment. During the first quarter of fiscal 2017, we received an initial refund of $3.7 million from IRAS. During the first quarter of fiscal 2018, we received an additional refund of $1.3 million from IRAS which represents a final settlement. These refunds were recorded as a discrete tax benefit during the quarter the respective payment was received.</w:t>
      </w:r>
    </w:p>
    <w:p>
      <w:pPr>
        <w:spacing w:after="0" w:line="134"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Nigeria and the Ivory Coast. The earliest years that are open and subject to potential audits for these jurisdictions are as follows: U.S. — 2003; Singapore — 2011; Nigeria — 2011, and Ivory Coast — 2016.</w:t>
      </w:r>
    </w:p>
    <w:p>
      <w:pPr>
        <w:spacing w:after="0" w:line="12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months ended September 29, 2017 and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w:t>
      </w:r>
    </w:p>
    <w:p>
      <w:pPr>
        <w:spacing w:after="0" w:line="11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As of September 29, 2017,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(three quarters remaining)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1,443</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908</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2,023</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7,545</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September 29, 2017.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variable price provisions, and do not specify the approximate timing of the transaction, and we have no present intention to cancel or terminate any of these agreements, we currently do not believe that we have any future liability under these agreements. As of September 29, 2017, we had outstanding purchase obligations with our suppliers or contract manufacturers of $21.8 million. In addition, we had contractual obligations of approximately $0.9 million associated with software licenses as of September 29,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29, 2017, we had no guarantees applicable to our debt arrangements.</w:t>
      </w:r>
    </w:p>
    <w:p>
      <w:pPr>
        <w:spacing w:after="0" w:line="11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29, 2017, we had commercial commitments of $45.8 million outstanding that were not recorded in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September 29, 2017,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29, 2017,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2017 Annual Report on Form 10-K filed with the SEC on September 6, 2017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2018 and 2017 Results</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below, our fiscal year ending June 29, 2018 is referred to as “fiscal 2018” or “2018” and our fiscal year ended June 30, 2017 is referred to as “fiscal 2017” or “2017”.</w:t>
      </w:r>
    </w:p>
    <w:p>
      <w:pPr>
        <w:spacing w:after="0" w:line="133"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2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strategic focus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8" w:right="239" w:bottom="1440" w:gutter="0" w:footer="0" w:header="0"/>
        </w:sectPr>
      </w:pPr>
    </w:p>
    <w:bookmarkStart w:id="18" w:name="page19"/>
    <w:bookmarkEnd w:id="18"/>
    <w:p>
      <w:pPr>
        <w:ind w:right="220"/>
        <w:spacing w:after="0" w:line="257" w:lineRule="auto"/>
        <w:rPr>
          <w:sz w:val="20"/>
          <w:szCs w:val="20"/>
          <w:color w:val="auto"/>
        </w:rPr>
      </w:pPr>
      <w:r>
        <w:rPr>
          <w:rFonts w:ascii="Arial" w:cs="Arial" w:eastAsia="Arial" w:hAnsi="Arial"/>
          <w:sz w:val="18"/>
          <w:szCs w:val="18"/>
          <w:color w:val="auto"/>
        </w:rPr>
        <w:t>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34"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during the next twelve months through organic growth and through strategic alternatives. Some of these alternatives have included, and could continue to include, selective acquisitions, divestitures, the sale of assets or securities, a sale or merger of our company or a restructuring of our company. We have also provided, and may from time to time in the future provide, information to interested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continues to be adversely affected by constrained availability of U.S. dollars in countries with economies highly dependent on resource exports, particularly oil. This condition, along with decline in local purchasing power because of currency devaluations relative to the U.S. dollar, limits capital spending and slows payments from customers in those locations.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2017 Annual Report on Form 10-K, a number of factors could prevent us from achieving our objectives, including ongoing pricing pressures attributable to competition and macroeconomic conditions in the geographic markets that we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the three months ended September 29, 2017 and September 30, 2016 and the related changes were shown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29, 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31,002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8.5 %</w:t>
            </w: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Africa and Middle East</w:t>
            </w:r>
          </w:p>
        </w:tc>
        <w:tc>
          <w:tcPr>
            <w:tcW w:w="4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13,462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14,349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(887)</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and Russia</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Latin America and Asia Pacific</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7,272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10,767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(32.5)%</w:t>
            </w: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revenue in North America increased $2.4 million, or 8.5%, during the first three months of fiscal 2018 compared with the same period of fiscal</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2017. North America revenue increased primarily due to completion of various private network projects along with an increase in deliveries to mobile operators.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right="100" w:firstLine="486"/>
        <w:spacing w:after="0" w:line="277" w:lineRule="auto"/>
        <w:rPr>
          <w:sz w:val="20"/>
          <w:szCs w:val="20"/>
          <w:color w:val="auto"/>
        </w:rPr>
      </w:pPr>
      <w:r>
        <w:rPr>
          <w:rFonts w:ascii="Arial" w:cs="Arial" w:eastAsia="Arial" w:hAnsi="Arial"/>
          <w:sz w:val="18"/>
          <w:szCs w:val="18"/>
          <w:color w:val="auto"/>
        </w:rPr>
        <w:t>Our revenue in Africa and the Middle East decreased $0.9 million, or 6.2%, for the first three months of fiscal 2018 compared with the same period of fiscal 2017. The decrease in revenue was primarily due to lower sales volume to our large operator customers in East Africa.</w:t>
      </w:r>
    </w:p>
    <w:p>
      <w:pPr>
        <w:spacing w:after="0" w:line="116"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color w:val="auto"/>
        </w:rPr>
        <w:t>Revenue in Latin America and Asia Pacific decreased $3.5 million, or 32.5%, during the first three months of fiscal 2018 compared with the same period in fiscal 2017. The decrease was primarily due to decreased deliveries to our larger customers in the Asia Pacific region.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29, 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sales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35,067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Services</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23,483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(10.1)%</w:t>
            </w: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revenue from product sales increased $0.3 million, or 1.0%, for the first three months of fiscal 2018 compared with the same period in fiscal 2017. Product volumes were $3.2 million higher in North America, offset by a $2.9 million decrease in other regions. Our services revenue decreased by $2.4 million, or 10.1%, during the first three months of fiscal 2018 compared with the same period of fiscal 2017, due to reduced service activities in most regions except for Europe.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7"/>
              </w:rPr>
              <w:t>September 29, 2017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7"/>
              </w:rPr>
              <w:t>September 30, 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56,182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58,207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38,886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(4.8)%</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17,296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3560" w:type="dxa"/>
            <w:vAlign w:val="bottom"/>
          </w:tcPr>
          <w:p>
            <w:pPr>
              <w:jc w:val="right"/>
              <w:ind w:right="488"/>
              <w:spacing w:after="0"/>
              <w:rPr>
                <w:sz w:val="20"/>
                <w:szCs w:val="20"/>
                <w:color w:val="auto"/>
              </w:rPr>
            </w:pPr>
            <w:r>
              <w:rPr>
                <w:rFonts w:ascii="Arial" w:cs="Arial" w:eastAsia="Arial" w:hAnsi="Arial"/>
                <w:sz w:val="14"/>
                <w:szCs w:val="14"/>
                <w:color w:val="auto"/>
              </w:rPr>
              <w:t>30.8%</w:t>
            </w:r>
          </w:p>
        </w:tc>
        <w:tc>
          <w:tcPr>
            <w:tcW w:w="3980" w:type="dxa"/>
            <w:vAlign w:val="bottom"/>
          </w:tcPr>
          <w:p>
            <w:pPr>
              <w:jc w:val="right"/>
              <w:ind w:right="2968"/>
              <w:spacing w:after="0"/>
              <w:rPr>
                <w:sz w:val="20"/>
                <w:szCs w:val="20"/>
                <w:color w:val="auto"/>
              </w:rPr>
            </w:pPr>
            <w:r>
              <w:rPr>
                <w:rFonts w:ascii="Arial" w:cs="Arial" w:eastAsia="Arial" w:hAnsi="Arial"/>
                <w:sz w:val="14"/>
                <w:szCs w:val="14"/>
                <w:color w:val="auto"/>
              </w:rPr>
              <w:t>29.8%</w:t>
            </w:r>
          </w:p>
        </w:tc>
      </w:tr>
      <w:tr>
        <w:trPr>
          <w:trHeight w:val="276"/>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margin %</w:t>
            </w:r>
          </w:p>
        </w:tc>
        <w:tc>
          <w:tcPr>
            <w:tcW w:w="35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32.5%</w:t>
            </w:r>
          </w:p>
        </w:tc>
        <w:tc>
          <w:tcPr>
            <w:tcW w:w="3980" w:type="dxa"/>
            <w:vAlign w:val="bottom"/>
            <w:shd w:val="clear" w:color="auto" w:fill="CCEEFF"/>
          </w:tcPr>
          <w:p>
            <w:pPr>
              <w:jc w:val="right"/>
              <w:ind w:right="2968"/>
              <w:spacing w:after="0"/>
              <w:rPr>
                <w:sz w:val="20"/>
                <w:szCs w:val="20"/>
                <w:color w:val="auto"/>
              </w:rPr>
            </w:pPr>
            <w:r>
              <w:rPr>
                <w:rFonts w:ascii="Arial" w:cs="Arial" w:eastAsia="Arial" w:hAnsi="Arial"/>
                <w:sz w:val="14"/>
                <w:szCs w:val="14"/>
                <w:color w:val="auto"/>
              </w:rPr>
              <w:t>28.4%</w:t>
            </w:r>
          </w:p>
        </w:tc>
      </w:tr>
      <w:tr>
        <w:trPr>
          <w:trHeight w:val="258"/>
        </w:trPr>
        <w:tc>
          <w:tcPr>
            <w:tcW w:w="3880" w:type="dxa"/>
            <w:vAlign w:val="bottom"/>
          </w:tcPr>
          <w:p>
            <w:pPr>
              <w:ind w:left="200"/>
              <w:spacing w:after="0"/>
              <w:rPr>
                <w:sz w:val="20"/>
                <w:szCs w:val="20"/>
                <w:color w:val="auto"/>
              </w:rPr>
            </w:pPr>
            <w:r>
              <w:rPr>
                <w:rFonts w:ascii="Arial" w:cs="Arial" w:eastAsia="Arial" w:hAnsi="Arial"/>
                <w:sz w:val="14"/>
                <w:szCs w:val="14"/>
                <w:color w:val="auto"/>
              </w:rPr>
              <w:t>Service margin %</w:t>
            </w:r>
          </w:p>
        </w:tc>
        <w:tc>
          <w:tcPr>
            <w:tcW w:w="3560" w:type="dxa"/>
            <w:vAlign w:val="bottom"/>
          </w:tcPr>
          <w:p>
            <w:pPr>
              <w:jc w:val="right"/>
              <w:ind w:right="488"/>
              <w:spacing w:after="0"/>
              <w:rPr>
                <w:sz w:val="20"/>
                <w:szCs w:val="20"/>
                <w:color w:val="auto"/>
              </w:rPr>
            </w:pPr>
            <w:r>
              <w:rPr>
                <w:rFonts w:ascii="Arial" w:cs="Arial" w:eastAsia="Arial" w:hAnsi="Arial"/>
                <w:sz w:val="14"/>
                <w:szCs w:val="14"/>
                <w:color w:val="auto"/>
              </w:rPr>
              <w:t>27.9%</w:t>
            </w:r>
          </w:p>
        </w:tc>
        <w:tc>
          <w:tcPr>
            <w:tcW w:w="3980" w:type="dxa"/>
            <w:vAlign w:val="bottom"/>
          </w:tcPr>
          <w:p>
            <w:pPr>
              <w:jc w:val="right"/>
              <w:ind w:right="2968"/>
              <w:spacing w:after="0"/>
              <w:rPr>
                <w:sz w:val="20"/>
                <w:szCs w:val="20"/>
                <w:color w:val="auto"/>
              </w:rPr>
            </w:pPr>
            <w:r>
              <w:rPr>
                <w:rFonts w:ascii="Arial" w:cs="Arial" w:eastAsia="Arial" w:hAnsi="Arial"/>
                <w:sz w:val="14"/>
                <w:szCs w:val="14"/>
                <w:color w:val="auto"/>
              </w:rPr>
              <w:t>31.9%</w:t>
            </w:r>
          </w:p>
        </w:tc>
      </w:tr>
    </w:tbl>
    <w:p>
      <w:pPr>
        <w:spacing w:after="0" w:line="160"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Gross margin for the three months ended September 29, 2017 decreased by $0.1 million, or 0.4%, compared with the three months ended September 30, 2016. The margin decrease resulted from lower profitability of service projects in all regions which was offset by better product margins coming from reduced supply chain costs.</w:t>
      </w:r>
    </w:p>
    <w:p>
      <w:pPr>
        <w:spacing w:after="0" w:line="127" w:lineRule="exact"/>
        <w:rPr>
          <w:sz w:val="20"/>
          <w:szCs w:val="20"/>
          <w:color w:val="auto"/>
        </w:rPr>
      </w:pPr>
    </w:p>
    <w:p>
      <w:pPr>
        <w:ind w:right="300" w:firstLine="486"/>
        <w:spacing w:after="0" w:line="312" w:lineRule="auto"/>
        <w:rPr>
          <w:sz w:val="20"/>
          <w:szCs w:val="20"/>
          <w:color w:val="auto"/>
        </w:rPr>
      </w:pPr>
      <w:r>
        <w:rPr>
          <w:rFonts w:ascii="Arial" w:cs="Arial" w:eastAsia="Arial" w:hAnsi="Arial"/>
          <w:sz w:val="16"/>
          <w:szCs w:val="16"/>
          <w:color w:val="auto"/>
        </w:rPr>
        <w:t>Gross margin as a percentage of revenue increased in the first three months of fiscal 2018 compared with the same period in fiscal 2017 due to improved product margin and lower supply chain costs. Product margin as a percentage of product revenue increased from the prior year quarter primarily due to lower supply chain costs. Service margin as a percentage of service revenue decreased due to lower profitability of our field services projects.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2017</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4,798</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58"/>
        </w:trPr>
        <w:tc>
          <w:tcPr>
            <w:tcW w:w="552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60"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Our research and development expenses decreased $0.1 million, or 2.9%, in the first three months of fiscal 2018 compared with the same period in fiscal 2017. The decrease was due to a $0.3 million reduction in professional costs, and a $0.1 million reduction in facility costs, offset by a $0.3 million increase in compensation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2017</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Selling and administrative</w:t>
            </w: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13,722</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15,187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58"/>
        </w:trPr>
        <w:tc>
          <w:tcPr>
            <w:tcW w:w="552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60"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Our selling and administrative expenses declined $1.5 million, or 9.6%, in the three months ended September 29, 2017 compared with the same periods in fiscal 2017. The decrease for the first three months of fiscal 2018 compared with the same quarter in fiscal 2017 was primarily due to reduction in compensation costs, professional services expenses and savings under facilities costs due to our relocation to a new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Restructuring Charges</w:t>
            </w:r>
          </w:p>
        </w:tc>
        <w:tc>
          <w:tcPr>
            <w:tcW w:w="64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r>
    </w:tbl>
    <w:p>
      <w:pPr>
        <w:spacing w:after="0" w:line="14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restructuring expenses in the three months ended September 30, 2016 consisted primarily of the facility costs related to our previous headquarters in Santa Clara.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w:t>
            </w:r>
          </w:p>
        </w:tc>
      </w:tr>
      <w:tr>
        <w:trPr>
          <w:trHeight w:val="27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Other expense in the three months ended September 30, 2016 were primarily comprised of a foreign exchange loss on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1,867</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r>
      <w:tr>
        <w:trPr>
          <w:trHeight w:val="258"/>
        </w:trPr>
        <w:tc>
          <w:tcPr>
            <w:tcW w:w="5600" w:type="dxa"/>
            <w:vAlign w:val="bottom"/>
          </w:tcPr>
          <w:p>
            <w:pPr>
              <w:ind w:left="40"/>
              <w:spacing w:after="0"/>
              <w:rPr>
                <w:sz w:val="20"/>
                <w:szCs w:val="20"/>
                <w:color w:val="auto"/>
              </w:rPr>
            </w:pPr>
            <w:r>
              <w:rPr>
                <w:rFonts w:ascii="Arial" w:cs="Arial" w:eastAsia="Arial" w:hAnsi="Arial"/>
                <w:sz w:val="14"/>
                <w:szCs w:val="14"/>
                <w:color w:val="auto"/>
              </w:rPr>
              <w:t>Benefit from income taxes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(2,470)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(74.1)%</w:t>
            </w:r>
          </w:p>
        </w:tc>
      </w:tr>
    </w:tbl>
    <w:p>
      <w:pPr>
        <w:spacing w:after="0" w:line="16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Inland Revenue Authority of Singapore (“IRAS”) related to an assessment we paid in fiscal year 2014 related to deductions claimed in tax years 2007 through 2010. During the first quarter of fiscal 2018, we received an additional refund of $1.3 million from IRAS which represents a final settlement. Both tax refunds were recorded as a discrete tax benefit during the quarter the respective payment was received.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As of September 29, 2017, our total cash, cash equivalents and short-term investments were $39.4 million. Approximately $15.5 million, or 39.3% was held in the United States. The remaining balance of $23.9 million, or 61%, was held by entities outside the United States. Of the amount of cash, cash equivalents and short-term investments held by our foreign subsidiaries as of September 29, 2017, $4.4 million was held in jurisdictions where our undistributed earnings are indefinitely reinvested, and if repatriated, would be subject to U.S. taxes, which would be nominal.</w:t>
      </w:r>
    </w:p>
    <w:p>
      <w:pPr>
        <w:spacing w:after="0" w:line="11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Cash provided by operating activities was $4.9 million in the first three months of fiscal 2018 as compared to cash provided by operating activities of $3.3 million in the first three months of fiscal 2017. Cash provided by operating activities is presented as net loss adjusted for non-cash items and changes in operating assets and liabilities. Net contribution of non-cash items to cash provided by operating activities decreased by $0.4 million and net contribution of changes in operating assets and liabilities to cash provided by operating activities increased by $2.0 million for the first three months of fiscal 2018 as compared to the same period in fiscal 2017.</w:t>
      </w:r>
    </w:p>
    <w:p>
      <w:pPr>
        <w:spacing w:after="0" w:line="134" w:lineRule="exact"/>
        <w:rPr>
          <w:sz w:val="20"/>
          <w:szCs w:val="20"/>
          <w:color w:val="auto"/>
        </w:rPr>
      </w:pPr>
    </w:p>
    <w:p>
      <w:pPr>
        <w:ind w:right="280" w:firstLine="486"/>
        <w:spacing w:after="0" w:line="312" w:lineRule="auto"/>
        <w:rPr>
          <w:sz w:val="20"/>
          <w:szCs w:val="20"/>
          <w:color w:val="auto"/>
        </w:rPr>
      </w:pPr>
      <w:r>
        <w:rPr>
          <w:rFonts w:ascii="Arial" w:cs="Arial" w:eastAsia="Arial" w:hAnsi="Arial"/>
          <w:sz w:val="16"/>
          <w:szCs w:val="16"/>
          <w:color w:val="auto"/>
        </w:rPr>
        <w:t>The $0.4 million decrease in the net contribution of non-cash items to cash provided by operating activities was primarily due to a $0.6 million decrease in charges for inventory write-downs, a $0.1 million decrease in bad debt expense, a $0.4 million decrease in depreciation and amortization of property, plant and equipment, offset by a $0.6 million increase in deferred tax expense, and a $0.1 million increase in share-based compensation expense.</w:t>
      </w:r>
    </w:p>
    <w:p>
      <w:pPr>
        <w:spacing w:after="0" w:line="9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Changes in operating assets and liabilities resulted in a net increase of $2.0 million to cash provided by operating activities for the first three months of fiscal 2018 as compared to the same period in 2017. Accounts receivable and unbilled costs fluctuate from period to period, depending on the amount, timing of sales and billing activities as well as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decrease in customer advance payments and unearned income was due to the timing of payment from customers and revenue recognition. We used $0.7 million in cash during the first three months of fiscal 2018 on expenses related to restructuring liabilities.</w:t>
      </w:r>
    </w:p>
    <w:p>
      <w:pPr>
        <w:spacing w:after="0" w:line="11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During the remainder of fiscal year 2018, we expect to spend approximately $6.0 million for capital expenditures, primarily on equipment for development and manufacturing of new products and to support customer managed services.</w:t>
      </w:r>
    </w:p>
    <w:p>
      <w:pPr>
        <w:spacing w:after="0" w:line="11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September 29, 2017, our principal sources of liquidity consisted of the $39.4 million in cash, cash equivalents and short-term investments, $7.9 million of available credit under our $30.0 million SVB Credit Facility which expires on June 30, 2018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9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200" w:firstLine="486"/>
        <w:spacing w:after="0" w:line="342" w:lineRule="auto"/>
        <w:rPr>
          <w:sz w:val="20"/>
          <w:szCs w:val="20"/>
          <w:color w:val="auto"/>
        </w:rPr>
      </w:pPr>
      <w:r>
        <w:rPr>
          <w:rFonts w:ascii="Arial" w:cs="Arial" w:eastAsia="Arial" w:hAnsi="Arial"/>
          <w:sz w:val="16"/>
          <w:szCs w:val="16"/>
          <w:color w:val="auto"/>
        </w:rPr>
        <w:t>We had liabilities for restructuring activities totaling $1.1 million as of September 29, 2017, $0.8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amounts disclosed in our fiscal 2017 Annual Report on Form 10-K filed with the SEC on September 6, 2017 include our commercial commitments and contractual obligations. During the first three months of fiscal 2018,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2017 Annual Report on Form 10-K. Please refer to Note 10 Commitments and Contingencies of the Notes to Condensed Consolidated Financial Statements (Unaudited)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2017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As of September 29, 2017, we had foreign currency forward contracts outstanding with a total notional amount of $1.8 million consisting of three different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04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554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Great Britain pound</w:t>
            </w:r>
          </w:p>
        </w:tc>
        <w:tc>
          <w:tcPr>
            <w:tcW w:w="5540" w:type="dxa"/>
            <w:vAlign w:val="bottom"/>
            <w:gridSpan w:val="3"/>
          </w:tcPr>
          <w:p>
            <w:pPr>
              <w:jc w:val="right"/>
              <w:ind w:right="128"/>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554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350</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57"/>
        </w:trPr>
        <w:tc>
          <w:tcPr>
            <w:tcW w:w="4400" w:type="dxa"/>
            <w:vAlign w:val="bottom"/>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40" w:type="dxa"/>
            <w:vAlign w:val="bottom"/>
            <w:vMerge w:val="restart"/>
          </w:tcPr>
          <w:p>
            <w:pPr>
              <w:jc w:val="right"/>
              <w:ind w:right="23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3" w:name="page24"/>
    <w:bookmarkEnd w:id="23"/>
    <w:p>
      <w:pPr>
        <w:ind w:right="180" w:firstLine="486"/>
        <w:spacing w:after="0" w:line="277" w:lineRule="auto"/>
        <w:rPr>
          <w:sz w:val="20"/>
          <w:szCs w:val="20"/>
          <w:color w:val="auto"/>
        </w:rPr>
      </w:pPr>
      <w:r>
        <w:rPr>
          <w:rFonts w:ascii="Arial" w:cs="Arial" w:eastAsia="Arial" w:hAnsi="Arial"/>
          <w:sz w:val="18"/>
          <w:szCs w:val="18"/>
          <w:color w:val="auto"/>
        </w:rPr>
        <w:t>Net foreign exchange income (loss) recorded in our unaudited condensed consolidated statements of operations during the first three months of fiscal 2018 and 2017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September 29, 2017 would have an impact of approximately $0.2 million on the fair value of such instruments.</w:t>
      </w:r>
    </w:p>
    <w:p>
      <w:pPr>
        <w:spacing w:after="0" w:line="11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2018 was $0.1 million and was included as a component of stockholders’ equity. As of September 29, 2017 and June 30, 2017, the cumulative translation adjustment decreased our stockholders’ equity by $11.7 million and $11.8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 and Short-term Investments</w:t>
      </w:r>
    </w:p>
    <w:p>
      <w:pPr>
        <w:spacing w:after="0" w:line="171"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We had $39.4 million in total cash, cash equivalents and short-term investments as of September 29, 2017. Cash equivalents and short-term investments totaled $17.4 million as of September 29, 2017 and were comprised of money market funds and bank certificates of deposit. Cash equivalents and short-term investments have been recorded at fair value on our balance sheet.</w:t>
      </w:r>
    </w:p>
    <w:p>
      <w:pPr>
        <w:spacing w:after="0" w:line="12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and short-term investments held as of September 29, 2017 was 155 days, and these investments had an average yield of 6.81% per annum. A 10% change in interest rates on our cash equivalents and short-term investments is not expected to have a material impact on our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During the first three months of fiscal 2018, we had $9.0 million of borrowings outstanding under the SVB Credit Facility that incurred interest at the prime rate plus a spread of 0.50% to 1.50% with such spread determined based on our adjusted quick ratio. During the first three months of fiscal 2018, our weighted average interest rate was 4.75% and the interest expense on these borrowings was insignificant.</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September 29, 2017, are effective to provide reasonable assurance that the information required to be disclosed in reports that we file or submit under the Exchange Act is recorded, processed, summarized and reported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460"/>
        <w:spacing w:after="0" w:line="342" w:lineRule="auto"/>
        <w:rPr>
          <w:sz w:val="20"/>
          <w:szCs w:val="20"/>
          <w:color w:val="auto"/>
        </w:rPr>
      </w:pPr>
      <w:r>
        <w:rPr>
          <w:rFonts w:ascii="Arial" w:cs="Arial" w:eastAsia="Arial" w:hAnsi="Arial"/>
          <w:sz w:val="16"/>
          <w:szCs w:val="16"/>
          <w:color w:val="auto"/>
        </w:rPr>
        <w:t>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our first three months of fiscal 2018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746" w:right="379" w:bottom="1440" w:gutter="0" w:footer="0" w:header="0"/>
        </w:sectPr>
      </w:pPr>
    </w:p>
    <w:bookmarkStart w:id="25" w:name="page26"/>
    <w:bookmarkEnd w:id="25"/>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Please refer to Legal Proceedings under Note 10 Commitments and Contingencies of the Notes to Condensed Consolidated Financial Statements (Unaudited)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2017 Annual Report on Form 10-K filed with the SEC on September 6, 2017.</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2017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904" w:right="2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79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2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16"/>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160" w:type="dxa"/>
            <w:vAlign w:val="bottom"/>
            <w:gridSpan w:val="11"/>
          </w:tcPr>
          <w:p>
            <w:pPr>
              <w:ind w:left="70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9720" w:type="dxa"/>
            <w:vAlign w:val="bottom"/>
            <w:tcBorders>
              <w:top w:val="single" w:sz="8" w:color="auto"/>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Certificate of Incorporation of Aviat Networks, Inc., as amended (incorporate by reference to Exhibit 3.1 to the</w:t>
              </w:r>
            </w:hyperlink>
          </w:p>
        </w:tc>
        <w:tc>
          <w:tcPr>
            <w:tcW w:w="40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Current Report on Form 10-Q filed with the SEC on February 10, 2017, File No. 001-33278)</w:t>
              </w:r>
            </w:hyperlink>
          </w:p>
        </w:tc>
        <w:tc>
          <w:tcPr>
            <w:tcW w:w="342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10"/>
          </w:tcPr>
          <w:p>
            <w:pPr>
              <w:spacing w:after="0" w:line="202"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Bylaws of Aviat Networks, Inc. (incorporate by reference to Exhibit 3.2 to the Current Report on Form 8-K filed</w:t>
              </w:r>
            </w:hyperlink>
          </w:p>
        </w:tc>
        <w:tc>
          <w:tcPr>
            <w:tcW w:w="30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with the SEC on October 2, 2015,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33278)</w:t>
              </w:r>
            </w:hyperlink>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Amendment No. 8 to Second Amended and Restated Loan and Security Agreement, dated as of September 21, 2017, by and among Aviat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1"/>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Networks, Inc., Aviat U.S., Inc., Aviat Networks (S) Pte. Ltd. and Silicon Valley Bank (incorporated by reference to Exhibit 10.1 to the</w:t>
              </w:r>
            </w:hyperlink>
          </w:p>
        </w:tc>
        <w:tc>
          <w:tcPr>
            <w:tcW w:w="22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Current Report on Form 8-K filed with the SEC on September 22, 2017, File No. 001-33278)</w:t>
              </w:r>
            </w:hyperlink>
          </w:p>
        </w:tc>
        <w:tc>
          <w:tcPr>
            <w:tcW w:w="400" w:type="dxa"/>
            <w:vAlign w:val="bottom"/>
            <w:gridSpan w:val="4"/>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29">
              <w:r>
                <w:rPr>
                  <w:rFonts w:ascii="Arial" w:cs="Arial" w:eastAsia="Arial" w:hAnsi="Arial"/>
                  <w:sz w:val="18"/>
                  <w:szCs w:val="18"/>
                  <w:color w:val="0000FF"/>
                  <w:w w:val="92"/>
                </w:rPr>
                <w:t>Rule 13a-14(a)/15d-14(a) Certification of Chief Executive Officer</w:t>
              </w:r>
            </w:hyperlink>
          </w:p>
        </w:tc>
        <w:tc>
          <w:tcPr>
            <w:tcW w:w="53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Rule 13a-14(a)/15d-14(a) Certification of Chief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120" w:type="dxa"/>
            <w:vAlign w:val="bottom"/>
            <w:gridSpan w:val="13"/>
            <w:shd w:val="clear" w:color="auto" w:fill="CCEEFF"/>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Section 1350 Certification of Chief Executive Officer and Chief Financial Officer</w:t>
              </w:r>
            </w:hyperlink>
          </w:p>
        </w:tc>
      </w:tr>
      <w:tr>
        <w:trPr>
          <w:trHeight w:val="243"/>
        </w:trPr>
        <w:tc>
          <w:tcPr>
            <w:tcW w:w="12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top w:val="single" w:sz="8" w:color="CCEEFF"/>
            </w:tcBorders>
          </w:tcPr>
          <w:p>
            <w:pPr>
              <w:spacing w:after="0"/>
              <w:rPr>
                <w:sz w:val="21"/>
                <w:szCs w:val="21"/>
                <w:color w:val="auto"/>
              </w:rPr>
            </w:pPr>
          </w:p>
        </w:tc>
        <w:tc>
          <w:tcPr>
            <w:tcW w:w="58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240" w:type="dxa"/>
            <w:vAlign w:val="bottom"/>
            <w:tcBorders>
              <w:top w:val="single" w:sz="8" w:color="CCEEFF"/>
            </w:tcBorders>
            <w:gridSpan w:val="8"/>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4"/>
          </w:tcPr>
          <w:p>
            <w:pPr>
              <w:jc w:val="right"/>
              <w:ind w:right="128"/>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29,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13, 2017</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29,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13, 2017</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29, 2017,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13, 2017</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13, 2017</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5" Type="http://schemas.openxmlformats.org/officeDocument/2006/relationships/hyperlink" Target="http://www.sec.gov/Archives/edgar/data/1377789/000137778917000022/avnwexhibit31amendedandres.htm" TargetMode="External"/><Relationship Id="rId16" Type="http://schemas.openxmlformats.org/officeDocument/2006/relationships/hyperlink" Target="http://www.sec.gov/Archives/edgar/data/1377789/000137778915000082/exhibit_aviatamendedandres.htm" TargetMode="External"/><Relationship Id="rId17" Type="http://schemas.openxmlformats.org/officeDocument/2006/relationships/hyperlink" Target="http://www.sec.gov/Archives/edgar/data/1377789/000119312516702547/d254391dex41.htm" TargetMode="External"/><Relationship Id="rId18" Type="http://schemas.openxmlformats.org/officeDocument/2006/relationships/hyperlink" Target="http://www.sec.gov/Archives/edgar/data/1377789/000137778917000047/exhibit101_no8amendmentto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2019-12-29T02:42:43Z</dcterms:created>
  <dcterms:modified xsi:type="dcterms:W3CDTF">2019-12-29T02:42:43Z</dcterms:modified>
</cp:coreProperties>
</file>