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3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 the quarterly period ended December 27, 2019</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3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414020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AVIAT NETWORKS,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714"/>
              <w:spacing w:after="0"/>
              <w:rPr>
                <w:sz w:val="20"/>
                <w:szCs w:val="20"/>
                <w:color w:val="auto"/>
              </w:rPr>
            </w:pPr>
            <w:r>
              <w:rPr>
                <w:rFonts w:ascii="Arial" w:cs="Arial" w:eastAsia="Arial" w:hAnsi="Arial"/>
                <w:sz w:val="18"/>
                <w:szCs w:val="18"/>
                <w:b w:val="1"/>
                <w:bCs w:val="1"/>
                <w:color w:val="auto"/>
              </w:rPr>
              <w:t>20-5961564</w:t>
            </w:r>
          </w:p>
        </w:tc>
      </w:tr>
      <w:tr>
        <w:trPr>
          <w:trHeight w:val="251"/>
        </w:trPr>
        <w:tc>
          <w:tcPr>
            <w:tcW w:w="5480" w:type="dxa"/>
            <w:vAlign w:val="bottom"/>
          </w:tcPr>
          <w:p>
            <w:pPr>
              <w:jc w:val="center"/>
              <w:ind w:right="1214"/>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98"/>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0"/>
              </w:rPr>
              <w:t>200 Parker Dr., Suite C100A, Austin, Texas</w:t>
            </w:r>
          </w:p>
        </w:tc>
        <w:tc>
          <w:tcPr>
            <w:tcW w:w="3780" w:type="dxa"/>
            <w:vAlign w:val="bottom"/>
          </w:tcPr>
          <w:p>
            <w:pPr>
              <w:jc w:val="right"/>
              <w:ind w:right="934"/>
              <w:spacing w:after="0"/>
              <w:rPr>
                <w:sz w:val="20"/>
                <w:szCs w:val="20"/>
                <w:color w:val="auto"/>
              </w:rPr>
            </w:pPr>
            <w:r>
              <w:rPr>
                <w:rFonts w:ascii="Arial" w:cs="Arial" w:eastAsia="Arial" w:hAnsi="Arial"/>
                <w:sz w:val="18"/>
                <w:szCs w:val="18"/>
                <w:b w:val="1"/>
                <w:bCs w:val="1"/>
                <w:color w:val="auto"/>
              </w:rPr>
              <w:t>78728</w:t>
            </w:r>
          </w:p>
        </w:tc>
      </w:tr>
      <w:tr>
        <w:trPr>
          <w:trHeight w:val="251"/>
        </w:trPr>
        <w:tc>
          <w:tcPr>
            <w:tcW w:w="5480" w:type="dxa"/>
            <w:vAlign w:val="bottom"/>
          </w:tcPr>
          <w:p>
            <w:pPr>
              <w:jc w:val="center"/>
              <w:ind w:right="119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6"/>
              </w:rPr>
              <w:t>(Zip Code)</w:t>
            </w:r>
          </w:p>
        </w:tc>
      </w:tr>
    </w:tbl>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860 N. McCarthy Blvd., Suite 200, Milpitas, California 95035</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9" w:lineRule="exact"/>
        <w:rPr>
          <w:sz w:val="24"/>
          <w:szCs w:val="24"/>
          <w:color w:val="auto"/>
        </w:rPr>
      </w:pPr>
    </w:p>
    <w:p>
      <w:pPr>
        <w:ind w:right="420"/>
        <w:spacing w:after="0" w:line="222"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60" w:type="dxa"/>
            <w:vAlign w:val="bottom"/>
          </w:tcPr>
          <w:p>
            <w:pPr>
              <w:ind w:left="400"/>
              <w:spacing w:after="0"/>
              <w:rPr>
                <w:sz w:val="20"/>
                <w:szCs w:val="20"/>
                <w:color w:val="auto"/>
              </w:rPr>
            </w:pPr>
            <w:r>
              <w:rPr>
                <w:rFonts w:ascii="Arial" w:cs="Arial" w:eastAsia="Arial" w:hAnsi="Arial"/>
                <w:sz w:val="18"/>
                <w:szCs w:val="18"/>
                <w:color w:val="auto"/>
              </w:rPr>
              <w:t>o</w:t>
            </w:r>
          </w:p>
        </w:tc>
        <w:tc>
          <w:tcPr>
            <w:tcW w:w="50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60" w:type="dxa"/>
            <w:vAlign w:val="bottom"/>
          </w:tcPr>
          <w:p>
            <w:pPr>
              <w:ind w:left="400"/>
              <w:spacing w:after="0"/>
              <w:rPr>
                <w:sz w:val="20"/>
                <w:szCs w:val="20"/>
                <w:color w:val="auto"/>
              </w:rPr>
            </w:pPr>
            <w:r>
              <w:rPr>
                <w:rFonts w:ascii="Arial" w:cs="Arial" w:eastAsia="Arial" w:hAnsi="Arial"/>
                <w:sz w:val="18"/>
                <w:szCs w:val="18"/>
                <w:color w:val="auto"/>
              </w:rPr>
              <w:t>x</w:t>
            </w:r>
          </w:p>
        </w:tc>
        <w:tc>
          <w:tcPr>
            <w:tcW w:w="50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600"/>
              <w:spacing w:after="0"/>
              <w:rPr>
                <w:sz w:val="20"/>
                <w:szCs w:val="20"/>
                <w:color w:val="auto"/>
              </w:rPr>
            </w:pPr>
            <w:r>
              <w:rPr>
                <w:rFonts w:ascii="Arial" w:cs="Arial" w:eastAsia="Arial" w:hAnsi="Arial"/>
                <w:sz w:val="18"/>
                <w:szCs w:val="18"/>
                <w:color w:val="auto"/>
                <w:w w:val="88"/>
              </w:rPr>
              <w:t>x</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60" w:type="dxa"/>
            <w:vAlign w:val="bottom"/>
          </w:tcPr>
          <w:p>
            <w:pPr>
              <w:ind w:left="400"/>
              <w:spacing w:after="0"/>
              <w:rPr>
                <w:sz w:val="20"/>
                <w:szCs w:val="20"/>
                <w:color w:val="auto"/>
              </w:rPr>
            </w:pPr>
            <w:r>
              <w:rPr>
                <w:rFonts w:ascii="Arial" w:cs="Arial" w:eastAsia="Arial" w:hAnsi="Arial"/>
                <w:sz w:val="18"/>
                <w:szCs w:val="18"/>
                <w:color w:val="auto"/>
              </w:rPr>
              <w:t>o</w:t>
            </w:r>
          </w:p>
        </w:tc>
        <w:tc>
          <w:tcPr>
            <w:tcW w:w="506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2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tabs>
          <w:tab w:leader="none" w:pos="8340" w:val="left"/>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tab/>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066"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registered pursuant to Section 12(b) of the Act:</w:t>
      </w:r>
    </w:p>
    <w:p>
      <w:pPr>
        <w:sectPr>
          <w:pgSz w:w="11900" w:h="16838" w:orient="portrait"/>
          <w:cols w:equalWidth="0" w:num="1">
            <w:col w:w="10900"/>
          </w:cols>
          <w:pgMar w:left="240" w:top="1030" w:right="759" w:bottom="1440" w:gutter="0" w:footer="0" w:header="0"/>
        </w:sectPr>
      </w:pP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90" w:lineRule="exact"/>
        <w:rPr>
          <w:sz w:val="20"/>
          <w:szCs w:val="20"/>
          <w:color w:val="auto"/>
        </w:rPr>
      </w:pPr>
    </w:p>
    <w:p>
      <w:pPr>
        <w:sectPr>
          <w:pgSz w:w="11900" w:h="16838" w:orient="portrait"/>
          <w:cols w:equalWidth="0" w:num="3">
            <w:col w:w="3720" w:space="720"/>
            <w:col w:w="2220" w:space="720"/>
            <w:col w:w="3520"/>
          </w:cols>
          <w:pgMar w:left="240" w:top="1030" w:right="759" w:bottom="1440" w:gutter="0" w:footer="0" w:header="0"/>
          <w:type w:val="continuous"/>
        </w:sectPr>
      </w:pPr>
    </w:p>
    <w:p>
      <w:pPr>
        <w:ind w:left="1160"/>
        <w:spacing w:after="0"/>
        <w:tabs>
          <w:tab w:leader="none" w:pos="4860" w:val="left"/>
          <w:tab w:leader="none" w:pos="7900" w:val="left"/>
        </w:tabs>
        <w:rPr>
          <w:sz w:val="20"/>
          <w:szCs w:val="20"/>
          <w:color w:val="auto"/>
        </w:rPr>
      </w:pPr>
      <w:r>
        <w:rPr>
          <w:rFonts w:ascii="Arial" w:cs="Arial" w:eastAsia="Arial" w:hAnsi="Arial"/>
          <w:sz w:val="18"/>
          <w:szCs w:val="18"/>
          <w:color w:val="auto"/>
        </w:rPr>
        <w:t>Common Stock</w:t>
      </w:r>
      <w:r>
        <w:rPr>
          <w:sz w:val="20"/>
          <w:szCs w:val="20"/>
          <w:color w:val="auto"/>
        </w:rPr>
        <w:tab/>
      </w:r>
      <w:r>
        <w:rPr>
          <w:rFonts w:ascii="Arial" w:cs="Arial" w:eastAsia="Arial" w:hAnsi="Arial"/>
          <w:sz w:val="18"/>
          <w:szCs w:val="18"/>
          <w:color w:val="auto"/>
        </w:rPr>
        <w:t>AVNW</w:t>
      </w:r>
      <w:r>
        <w:rPr>
          <w:sz w:val="20"/>
          <w:szCs w:val="20"/>
          <w:color w:val="auto"/>
        </w:rPr>
        <w:tab/>
      </w:r>
      <w:r>
        <w:rPr>
          <w:rFonts w:ascii="Arial" w:cs="Arial" w:eastAsia="Arial" w:hAnsi="Arial"/>
          <w:sz w:val="16"/>
          <w:szCs w:val="16"/>
          <w:color w:val="auto"/>
        </w:rPr>
        <w:t>The Nasdaq Global Select Market</w:t>
      </w:r>
    </w:p>
    <w:p>
      <w:pPr>
        <w:sectPr>
          <w:pgSz w:w="11900" w:h="16838" w:orient="portrait"/>
          <w:cols w:equalWidth="0" w:num="1">
            <w:col w:w="10900"/>
          </w:cols>
          <w:pgMar w:left="240" w:top="1030" w:right="7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January 31, 2020 was 5,397,283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1030" w:right="7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27, 2019</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Financial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Item 1. Financial Statements</w:t>
              </w:r>
            </w:hyperlink>
          </w:p>
        </w:tc>
        <w:tc>
          <w:tcPr>
            <w:tcW w:w="54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Operations (Unaudited)</w:t>
              </w:r>
            </w:hyperlink>
          </w:p>
        </w:tc>
        <w:tc>
          <w:tcPr>
            <w:tcW w:w="54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(Loss) Income (Unaudited)</w:t>
            </w:r>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Cash Flows (Unaudited)</w:t>
              </w:r>
            </w:hyperlink>
          </w:p>
        </w:tc>
        <w:tc>
          <w:tcPr>
            <w:tcW w:w="54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Equity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10">
              <w:r>
                <w:rPr>
                  <w:rFonts w:ascii="Arial" w:cs="Arial" w:eastAsia="Arial" w:hAnsi="Arial"/>
                  <w:sz w:val="18"/>
                  <w:szCs w:val="18"/>
                  <w:color w:val="auto"/>
                </w:rPr>
                <w:t>Notes to Condensed Consolidated Financial Statements (Unaudited)</w:t>
              </w:r>
            </w:hyperlink>
          </w:p>
        </w:tc>
        <w:tc>
          <w:tcPr>
            <w:tcW w:w="540" w:type="dxa"/>
            <w:vAlign w:val="bottom"/>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4">
              <w:r>
                <w:rPr>
                  <w:rFonts w:ascii="Arial" w:cs="Arial" w:eastAsia="Arial" w:hAnsi="Arial"/>
                  <w:sz w:val="18"/>
                  <w:szCs w:val="18"/>
                  <w:color w:val="auto"/>
                </w:rPr>
                <w:t>Item 2. Management’s Discussion and Analysis of Financial Condition and Results of Operations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Item 3. Quantitative and Qualitative Disclosures About Market Risk</w:t>
              </w:r>
            </w:hyperlink>
          </w:p>
        </w:tc>
        <w:tc>
          <w:tcPr>
            <w:tcW w:w="54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4. Controls and Procedures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43"/>
        </w:trPr>
        <w:tc>
          <w:tcPr>
            <w:tcW w:w="10460" w:type="dxa"/>
            <w:vAlign w:val="bottom"/>
          </w:tcPr>
          <w:p>
            <w:pPr>
              <w:ind w:left="20"/>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Part II. Other Information</w:t>
              </w:r>
            </w:hyperlink>
          </w:p>
        </w:tc>
        <w:tc>
          <w:tcPr>
            <w:tcW w:w="54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1. Legal Proceedings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1A. Risk Factors</w:t>
              </w:r>
            </w:hyperlink>
          </w:p>
        </w:tc>
        <w:tc>
          <w:tcPr>
            <w:tcW w:w="54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2. Unregistered Sales of Equity Securities and Use of Proceeds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3. Defaults upon Senior Securities</w:t>
              </w:r>
            </w:hyperlink>
          </w:p>
        </w:tc>
        <w:tc>
          <w:tcPr>
            <w:tcW w:w="54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4. Mine Safety Disclosures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5. Other Information</w:t>
              </w:r>
            </w:hyperlink>
          </w:p>
        </w:tc>
        <w:tc>
          <w:tcPr>
            <w:tcW w:w="54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4">
              <w:r>
                <w:rPr>
                  <w:rFonts w:ascii="Arial" w:cs="Arial" w:eastAsia="Arial" w:hAnsi="Arial"/>
                  <w:sz w:val="18"/>
                  <w:szCs w:val="18"/>
                  <w:color w:val="auto"/>
                </w:rPr>
                <w:t>Item 6. Exhibits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43"/>
        </w:trPr>
        <w:tc>
          <w:tcPr>
            <w:tcW w:w="10460" w:type="dxa"/>
            <w:vAlign w:val="bottom"/>
          </w:tcPr>
          <w:p>
            <w:pPr>
              <w:ind w:left="2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Signatures</w:t>
              </w:r>
            </w:hyperlink>
          </w:p>
        </w:tc>
        <w:tc>
          <w:tcPr>
            <w:tcW w:w="54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Exhibit Index</w:t>
            </w:r>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432"/>
        </w:trPr>
        <w:tc>
          <w:tcPr>
            <w:tcW w:w="10460" w:type="dxa"/>
            <w:vAlign w:val="bottom"/>
          </w:tcPr>
          <w:p>
            <w:pPr>
              <w:ind w:left="544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r>
    </w:tbl>
    <w:p>
      <w:pPr>
        <w:sectPr>
          <w:pgSz w:w="11900" w:h="16838" w:orient="portrait"/>
          <w:cols w:equalWidth="0" w:num="1">
            <w:col w:w="11000"/>
          </w:cols>
          <w:pgMar w:left="460" w:top="553"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360" w:type="dxa"/>
            <w:vAlign w:val="bottom"/>
          </w:tcPr>
          <w:p>
            <w:pPr>
              <w:jc w:val="center"/>
              <w:ind w:left="155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jc w:val="center"/>
              <w:ind w:right="5490"/>
              <w:spacing w:after="0"/>
              <w:rPr>
                <w:sz w:val="20"/>
                <w:szCs w:val="20"/>
                <w:color w:val="auto"/>
              </w:rPr>
            </w:pPr>
            <w:r>
              <w:rPr>
                <w:rFonts w:ascii="Arial" w:cs="Arial" w:eastAsia="Arial" w:hAnsi="Arial"/>
                <w:sz w:val="18"/>
                <w:szCs w:val="18"/>
                <w:b w:val="1"/>
                <w:bCs w:val="1"/>
                <w:color w:val="auto"/>
                <w:w w:val="89"/>
              </w:rPr>
              <w:t>Financial Statements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4"/>
                <w:szCs w:val="24"/>
                <w:color w:val="auto"/>
              </w:rPr>
            </w:pPr>
          </w:p>
        </w:tc>
        <w:tc>
          <w:tcPr>
            <w:tcW w:w="7360" w:type="dxa"/>
            <w:vAlign w:val="bottom"/>
          </w:tcPr>
          <w:p>
            <w:pPr>
              <w:jc w:val="center"/>
              <w:ind w:left="1550"/>
              <w:spacing w:after="0"/>
              <w:rPr>
                <w:sz w:val="20"/>
                <w:szCs w:val="20"/>
                <w:color w:val="auto"/>
              </w:rPr>
            </w:pPr>
            <w:r>
              <w:rPr>
                <w:rFonts w:ascii="Arial" w:cs="Arial" w:eastAsia="Arial" w:hAnsi="Arial"/>
                <w:sz w:val="18"/>
                <w:szCs w:val="18"/>
                <w:b w:val="1"/>
                <w:bCs w:val="1"/>
                <w:color w:val="auto"/>
              </w:rPr>
              <w:t>AVIAT NETWORKS, INC.</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36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736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7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44,387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Unbilled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43"/>
        </w:trPr>
        <w:tc>
          <w:tcPr>
            <w:tcW w:w="12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7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13,300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service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125,997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17,800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Right of use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7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12,077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179,819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169,193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38,344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35,605</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Short-term lease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Restructuring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82,211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97,677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Common stock, $0.01 par value, 300,000,000 shares authorized, 5,414,480 shares issued and outstanding at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December 27, 2019; 5,359,695 shares issued and outstanding at June 28, 2019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813,867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815,196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(730,998)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71,516</w:t>
            </w:r>
          </w:p>
        </w:tc>
        <w:tc>
          <w:tcPr>
            <w:tcW w:w="0" w:type="dxa"/>
            <w:vAlign w:val="bottom"/>
          </w:tcPr>
          <w:p>
            <w:pPr>
              <w:spacing w:after="0"/>
              <w:rPr>
                <w:sz w:val="1"/>
                <w:szCs w:val="1"/>
                <w:color w:val="auto"/>
              </w:rPr>
            </w:pPr>
          </w:p>
        </w:tc>
      </w:tr>
      <w:tr>
        <w:trPr>
          <w:trHeight w:val="257"/>
        </w:trPr>
        <w:tc>
          <w:tcPr>
            <w:tcW w:w="8580" w:type="dxa"/>
            <w:vAlign w:val="bottom"/>
            <w:gridSpan w:val="2"/>
          </w:tcPr>
          <w:p>
            <w:pPr>
              <w:jc w:val="center"/>
              <w:ind w:right="427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179,819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169,193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20" w:type="dxa"/>
            <w:vAlign w:val="bottom"/>
          </w:tcPr>
          <w:p>
            <w:pPr>
              <w:spacing w:after="0"/>
              <w:rPr>
                <w:sz w:val="18"/>
                <w:szCs w:val="18"/>
                <w:color w:val="auto"/>
              </w:rPr>
            </w:pPr>
          </w:p>
        </w:tc>
        <w:tc>
          <w:tcPr>
            <w:tcW w:w="872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See accompanying Notes to Unaudited Condensed Consolidated Financial Statements.</w:t>
            </w:r>
          </w:p>
        </w:tc>
        <w:tc>
          <w:tcPr>
            <w:tcW w:w="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11420"/>
          </w:cols>
          <w:pgMar w:left="240" w:top="877" w:right="239" w:bottom="1440" w:gutter="0" w:footer="0" w:header="0"/>
        </w:sect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87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34,152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41,956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70,746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81,081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44,511</w:t>
            </w:r>
          </w:p>
        </w:tc>
        <w:tc>
          <w:tcPr>
            <w:tcW w:w="0" w:type="dxa"/>
            <w:vAlign w:val="bottom"/>
          </w:tcPr>
          <w:p>
            <w:pPr>
              <w:spacing w:after="0"/>
              <w:rPr>
                <w:sz w:val="1"/>
                <w:szCs w:val="1"/>
                <w:color w:val="auto"/>
              </w:rPr>
            </w:pP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55,997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65,088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114,611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125,592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22,968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43,790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52,958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32,219</w:t>
            </w:r>
          </w:p>
        </w:tc>
        <w:tc>
          <w:tcPr>
            <w:tcW w:w="0" w:type="dxa"/>
            <w:vAlign w:val="bottom"/>
          </w:tcPr>
          <w:p>
            <w:pPr>
              <w:spacing w:after="0"/>
              <w:rPr>
                <w:sz w:val="1"/>
                <w:szCs w:val="1"/>
                <w:color w:val="auto"/>
              </w:rPr>
            </w:pP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37,678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85,177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40,415</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27,997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40,853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39,046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84"/>
        </w:trPr>
        <w:tc>
          <w:tcPr>
            <w:tcW w:w="5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(loss) income per share of common stock outstanding:</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59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15"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13"/>
                <w:szCs w:val="13"/>
                <w:color w:val="auto"/>
              </w:rPr>
            </w:pPr>
          </w:p>
        </w:tc>
        <w:tc>
          <w:tcPr>
            <w:tcW w:w="126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w w:val="98"/>
              </w:rPr>
              <w:t>December 28,</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change in cumulative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6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income to net cash provided by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Recovery from uncollectible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taxes payable or receivable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acquisition of property, plant and equipment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Repayments of borrowings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repurchase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taxes related to net settlement of equity awards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37,764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December 27, 2019</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23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16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12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3"/>
                <w:szCs w:val="13"/>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3780" w:type="dxa"/>
            <w:vAlign w:val="bottom"/>
          </w:tcPr>
          <w:p>
            <w:pPr>
              <w:ind w:left="40"/>
              <w:spacing w:after="0"/>
              <w:rPr>
                <w:sz w:val="20"/>
                <w:szCs w:val="20"/>
                <w:color w:val="auto"/>
              </w:rPr>
            </w:pPr>
            <w:r>
              <w:rPr>
                <w:rFonts w:ascii="Arial" w:cs="Arial" w:eastAsia="Arial" w:hAnsi="Arial"/>
                <w:sz w:val="13"/>
                <w:szCs w:val="13"/>
                <w:b w:val="1"/>
                <w:bCs w:val="1"/>
                <w:color w:val="auto"/>
              </w:rPr>
              <w:t>(In thousands, except share amounts)</w:t>
            </w: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September 27, 2019</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5,444,671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814,113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(730,944)</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(13,249)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69,974</w:t>
            </w: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(1,671)</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 net of tax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Issuance of common stock under employee stock plans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15,896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repurchase</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43"/>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27, 2019</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5,414,480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813,867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(732,615)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68,467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7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December 28, 2018</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23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16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12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3"/>
                <w:szCs w:val="13"/>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3780" w:type="dxa"/>
            <w:vAlign w:val="bottom"/>
          </w:tcPr>
          <w:p>
            <w:pPr>
              <w:ind w:left="40"/>
              <w:spacing w:after="0"/>
              <w:rPr>
                <w:sz w:val="20"/>
                <w:szCs w:val="20"/>
                <w:color w:val="auto"/>
              </w:rPr>
            </w:pPr>
            <w:r>
              <w:rPr>
                <w:rFonts w:ascii="Arial" w:cs="Arial" w:eastAsia="Arial" w:hAnsi="Arial"/>
                <w:sz w:val="13"/>
                <w:szCs w:val="13"/>
                <w:b w:val="1"/>
                <w:bCs w:val="1"/>
                <w:color w:val="auto"/>
              </w:rPr>
              <w:t>(In thousands, except share amounts)</w:t>
            </w: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September 28, 2018</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5,349,778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816,483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(741,487)</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(12,725)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62,324</w:t>
            </w: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2,310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2,310</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net of tax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Issuance of common stock under employee stock plans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152,051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Shares withheld for taxes related to vesting of equity awards</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Stock repurchase</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(68,006)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Balance as of December 28, 2018</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5,399,357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815,392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(739,177)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63,326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Six Months Ended December 27, 2019</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restart"/>
          </w:tcPr>
          <w:p>
            <w:pPr>
              <w:jc w:val="right"/>
              <w:ind w:right="340"/>
              <w:spacing w:after="0" w:line="139" w:lineRule="exact"/>
              <w:rPr>
                <w:sz w:val="20"/>
                <w:szCs w:val="20"/>
                <w:color w:val="auto"/>
              </w:rPr>
            </w:pPr>
            <w:r>
              <w:rPr>
                <w:rFonts w:ascii="Arial" w:cs="Arial" w:eastAsia="Arial" w:hAnsi="Arial"/>
                <w:sz w:val="14"/>
                <w:szCs w:val="14"/>
                <w:b w:val="1"/>
                <w:bCs w:val="1"/>
                <w:color w:val="auto"/>
              </w:rPr>
              <w:t>Accumulated</w:t>
            </w:r>
          </w:p>
        </w:tc>
        <w:tc>
          <w:tcPr>
            <w:tcW w:w="100" w:type="dxa"/>
            <w:vAlign w:val="bottom"/>
            <w:vMerge w:val="restart"/>
          </w:tcPr>
          <w:p>
            <w:pPr>
              <w:spacing w:after="0"/>
              <w:rPr>
                <w:sz w:val="4"/>
                <w:szCs w:val="4"/>
                <w:color w:val="auto"/>
              </w:rPr>
            </w:pPr>
          </w:p>
        </w:tc>
        <w:tc>
          <w:tcPr>
            <w:tcW w:w="146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10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Amount</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 except share amounts)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5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shd w:val="clear" w:color="auto" w:fill="CCEEFF"/>
          </w:tcPr>
          <w:p>
            <w:pPr>
              <w:spacing w:after="0"/>
              <w:rPr>
                <w:sz w:val="22"/>
                <w:szCs w:val="22"/>
                <w:color w:val="auto"/>
              </w:rPr>
            </w:pPr>
          </w:p>
        </w:tc>
        <w:tc>
          <w:tcPr>
            <w:tcW w:w="37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Balance as of June 28,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5,359,695</w:t>
            </w: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54</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815,196</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(730,998)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(12,736)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71,516</w:t>
            </w:r>
          </w:p>
        </w:tc>
        <w:tc>
          <w:tcPr>
            <w:tcW w:w="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tcPr>
          <w:p>
            <w:pPr>
              <w:ind w:left="1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tcPr>
          <w:p>
            <w:pPr>
              <w:ind w:left="160"/>
              <w:spacing w:after="0"/>
              <w:rPr>
                <w:sz w:val="20"/>
                <w:szCs w:val="20"/>
                <w:color w:val="auto"/>
              </w:rPr>
            </w:pPr>
            <w:r>
              <w:rPr>
                <w:rFonts w:ascii="Arial" w:cs="Arial" w:eastAsia="Arial" w:hAnsi="Arial"/>
                <w:sz w:val="14"/>
                <w:szCs w:val="14"/>
                <w:color w:val="auto"/>
              </w:rPr>
              <w:t>Issuance of common stock under employee stock plans</w:t>
            </w:r>
          </w:p>
        </w:tc>
        <w:tc>
          <w:tcPr>
            <w:tcW w:w="920" w:type="dxa"/>
            <w:vAlign w:val="bottom"/>
          </w:tcPr>
          <w:p>
            <w:pPr>
              <w:jc w:val="right"/>
              <w:spacing w:after="0"/>
              <w:rPr>
                <w:sz w:val="20"/>
                <w:szCs w:val="20"/>
                <w:color w:val="auto"/>
              </w:rPr>
            </w:pPr>
            <w:r>
              <w:rPr>
                <w:rFonts w:ascii="Arial" w:cs="Arial" w:eastAsia="Arial" w:hAnsi="Arial"/>
                <w:sz w:val="14"/>
                <w:szCs w:val="14"/>
                <w:color w:val="auto"/>
              </w:rPr>
              <w:t>208,708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5"/>
              </w:rPr>
              <w:t>Shares withheld for taxes related to vesting of equity awards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(52,384)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tcPr>
          <w:p>
            <w:pPr>
              <w:ind w:left="160"/>
              <w:spacing w:after="0"/>
              <w:rPr>
                <w:sz w:val="20"/>
                <w:szCs w:val="20"/>
                <w:color w:val="auto"/>
              </w:rPr>
            </w:pPr>
            <w:r>
              <w:rPr>
                <w:rFonts w:ascii="Arial" w:cs="Arial" w:eastAsia="Arial" w:hAnsi="Arial"/>
                <w:sz w:val="14"/>
                <w:szCs w:val="14"/>
                <w:color w:val="auto"/>
              </w:rPr>
              <w:t>Stock repurchase</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(101,539)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CCEEFF"/>
          </w:tcPr>
          <w:p>
            <w:pPr>
              <w:spacing w:after="0"/>
              <w:rPr>
                <w:sz w:val="6"/>
                <w:szCs w:val="6"/>
                <w:color w:val="auto"/>
              </w:rPr>
            </w:pPr>
          </w:p>
        </w:tc>
        <w:tc>
          <w:tcPr>
            <w:tcW w:w="3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tcBorders>
              <w:bottom w:val="single" w:sz="8" w:color="auto"/>
            </w:tcBorders>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gridSpan w:val="3"/>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gridSpan w:val="2"/>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27, 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5,414,480</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813,867</w:t>
            </w:r>
          </w:p>
        </w:tc>
        <w:tc>
          <w:tcPr>
            <w:tcW w:w="100" w:type="dxa"/>
            <w:vAlign w:val="bottom"/>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(732,615)</w:t>
            </w:r>
          </w:p>
        </w:tc>
        <w:tc>
          <w:tcPr>
            <w:tcW w:w="1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(12,839)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68,467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Six Months Ended December 28, 2018</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right"/>
              <w:ind w:right="280"/>
              <w:spacing w:after="0" w:line="13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right"/>
              <w:ind w:right="220"/>
              <w:spacing w:after="0" w:line="139"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4"/>
                <w:szCs w:val="4"/>
                <w:color w:val="auto"/>
              </w:rPr>
            </w:pPr>
          </w:p>
        </w:tc>
        <w:tc>
          <w:tcPr>
            <w:tcW w:w="1460" w:type="dxa"/>
            <w:vAlign w:val="bottom"/>
            <w:gridSpan w:val="3"/>
            <w:vMerge w:val="restart"/>
          </w:tcPr>
          <w:p>
            <w:pPr>
              <w:ind w:left="60"/>
              <w:spacing w:after="0" w:line="139"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100" w:type="dxa"/>
            <w:vAlign w:val="bottom"/>
            <w:gridSpan w:val="2"/>
            <w:vMerge w:val="restart"/>
          </w:tcPr>
          <w:p>
            <w:pPr>
              <w:jc w:val="center"/>
              <w:ind w:right="160"/>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Amount</w:t>
            </w:r>
          </w:p>
        </w:tc>
        <w:tc>
          <w:tcPr>
            <w:tcW w:w="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thousands, except share amounts)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Comprehensive 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Balance as of June 29, 2018</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5,351,155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816,426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(746,359)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57,516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tcPr>
          <w:p>
            <w:pPr>
              <w:ind w:left="160"/>
              <w:spacing w:after="0"/>
              <w:rPr>
                <w:sz w:val="20"/>
                <w:szCs w:val="20"/>
                <w:color w:val="auto"/>
              </w:rPr>
            </w:pPr>
            <w:r>
              <w:rPr>
                <w:rFonts w:ascii="Arial" w:cs="Arial" w:eastAsia="Arial" w:hAnsi="Arial"/>
                <w:sz w:val="14"/>
                <w:szCs w:val="14"/>
                <w:color w:val="auto"/>
              </w:rPr>
              <w:t>Cumulative-effect adjustment for ASC Topic 606</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5,622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1,560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tcPr>
          <w:p>
            <w:pPr>
              <w:ind w:left="16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Issuance of common stock under employee stock plans</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174,253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6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Shares withheld for taxes related to vesting of equity</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60" w:type="dxa"/>
            <w:vAlign w:val="bottom"/>
            <w:gridSpan w:val="2"/>
          </w:tcPr>
          <w:p>
            <w:pPr>
              <w:ind w:left="320"/>
              <w:spacing w:after="0"/>
              <w:rPr>
                <w:sz w:val="20"/>
                <w:szCs w:val="20"/>
                <w:color w:val="auto"/>
              </w:rPr>
            </w:pPr>
            <w:r>
              <w:rPr>
                <w:rFonts w:ascii="Arial" w:cs="Arial" w:eastAsia="Arial" w:hAnsi="Arial"/>
                <w:sz w:val="14"/>
                <w:szCs w:val="14"/>
                <w:color w:val="auto"/>
              </w:rPr>
              <w:t>awards</w:t>
            </w:r>
          </w:p>
        </w:tc>
        <w:tc>
          <w:tcPr>
            <w:tcW w:w="920" w:type="dxa"/>
            <w:vAlign w:val="bottom"/>
          </w:tcPr>
          <w:p>
            <w:pPr>
              <w:jc w:val="right"/>
              <w:spacing w:after="0"/>
              <w:rPr>
                <w:sz w:val="20"/>
                <w:szCs w:val="20"/>
                <w:color w:val="auto"/>
              </w:rPr>
            </w:pPr>
            <w:r>
              <w:rPr>
                <w:rFonts w:ascii="Arial" w:cs="Arial" w:eastAsia="Arial" w:hAnsi="Arial"/>
                <w:sz w:val="14"/>
                <w:szCs w:val="14"/>
                <w:color w:val="auto"/>
              </w:rPr>
              <w:t>(34,466)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Stock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(91,585)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(1,435)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Share-based compensation</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938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28, 2018</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5,399,357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815,392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(739,177)</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63,326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49" w:right="239" w:bottom="1440" w:gutter="0" w:footer="0" w:header="0"/>
        </w:sectPr>
      </w:pPr>
    </w:p>
    <w:bookmarkStart w:id="9" w:name="page10"/>
    <w:bookmarkEnd w:id="9"/>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June 28, 2019.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six months ended December 27, 2019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28, 2019.</w:t>
      </w:r>
    </w:p>
    <w:p>
      <w:pPr>
        <w:spacing w:after="0" w:line="14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w:t>
      </w:r>
    </w:p>
    <w:p>
      <w:pPr>
        <w:spacing w:after="0" w:line="11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operate on a 52-week or 53-week year ending on the Friday closest to June 30. The first two quarters of fiscal 2020 and fiscal 2019 included 13 weeks in each quarter. Fiscal year 2020 will be comprised of 53 weeks and will end on July 3,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lease liabilities, restructuring obligations, product warranty obligations, share-based awards, contingencies, recoverability of long-lived assets and useful lives of property, plant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There have been no material changes in our significant accounting policies as of and for the six months ended December 27, 2019, as compared to the significant accounting policies described in our Annual Report on Form 10-K for the fiscal year ended June 28, 2019, with the exception of our adoption of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(“ASC 842”). See Note 4, “Leases” to the Notes to unaudited condensed consolidated financial statements for discussion of the impact of the adoption of this standard on our policies for leases.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February 2016, the Financial Accounting Standards Board (“FASB”) issued ASC 842,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We adopted ASC 842, effective June 29, 2019, using the modified retrospective transition method with the cumulative effect recognized as an adjustment to the opening balance of our accumulated deficit. Prior-period financial statements were not retrospectively restated. We elected the package of practical expedients permitted under the transition guidance, which allowed us to carryforward our historical lease classification, assessment of whether a contract was or contains a lease, and initial direct costs for leases that existed prior to June 28, 2019. We also elected not to recognize right-of-use (“ROU”) assets and lease liabilities for leases with an initial term of 12 months or less. We elected not to apply the hindsight practical expedient when determining lease term and assessing impairment of ROU assets. See Note 4, “Leases” to the Notes to our unaudited condensed consolidated financial statements for more information.</w:t>
      </w:r>
    </w:p>
    <w:p>
      <w:pPr>
        <w:spacing w:after="0" w:line="11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Compensation-Stock Compensation: Improvement to Nonemployees Share-Based Payment Accounting</w:t>
      </w:r>
      <w:r>
        <w:rPr>
          <w:rFonts w:ascii="Arial" w:cs="Arial" w:eastAsia="Arial" w:hAnsi="Arial"/>
          <w:sz w:val="17"/>
          <w:szCs w:val="17"/>
          <w:color w:val="auto"/>
        </w:rPr>
        <w:t xml:space="preserve"> (ASU 2018-07), which expands the scope of Topic 718 to include all share-based payment transactions for acquiring goods and services from 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This ASU is effective for fiscal years beginning after December 15, 2018. We adopted this update during the first quarter of fiscal 2020. The adoption had no material impact on our unaudited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This guidance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ASU 2018-15 will be effective for us in our first quarter of fiscal 2021, with early adoption permitted. The standard can be adopted either using the prospective or retrospective transition approach. We are evaluating the effect the adoption of the standard will have on our unaudited condensed consolidated financial statements.</w:t>
      </w:r>
    </w:p>
    <w:p>
      <w:pPr>
        <w:spacing w:after="0" w:line="13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update eliminates, adds, and modifies certain disclosure requirements for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ASU 2018-13 will be effective for us in our first quarter of fiscal 2021 and early adoption is permitted of the entire standard or only the provisions that eliminate or modify disclosure requirements. We are evaluating the impact the adoption of ASU 2018-13 will have on our unaudited condensed consolidated financial statements.</w:t>
      </w:r>
    </w:p>
    <w:p>
      <w:pPr>
        <w:spacing w:after="0" w:line="202" w:lineRule="exact"/>
        <w:rPr>
          <w:sz w:val="20"/>
          <w:szCs w:val="20"/>
          <w:color w:val="auto"/>
        </w:rPr>
      </w:pPr>
    </w:p>
    <w:p>
      <w:pPr>
        <w:jc w:val="both"/>
        <w:ind w:firstLine="513"/>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and also issued subsequent amendments to the initial guidance: ASU 2018-19, ASU 2019-04, and ASU 2019-05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Topic 326). Topic 326 requires measurement and recognition of expected credit losses for financial assets held. Topic 326 will be effective for us in our first quarter of fiscal 2024, and earlier adoption is permitted. We are evaluating the impact the adoption of Topic 326 will have on our unaudited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Income Per Share of Common Stock</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Net (loss) income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9" w:right="239" w:bottom="1440" w:gutter="0" w:footer="0" w:header="0"/>
        </w:sectPr>
      </w:pPr>
    </w:p>
    <w:bookmarkStart w:id="11" w:name="page12"/>
    <w:bookmarkEnd w:id="11"/>
    <w:p>
      <w:pPr>
        <w:ind w:left="500"/>
        <w:spacing w:after="0"/>
        <w:rPr>
          <w:sz w:val="20"/>
          <w:szCs w:val="20"/>
          <w:color w:val="auto"/>
        </w:rPr>
      </w:pPr>
      <w:r>
        <w:rPr>
          <w:rFonts w:ascii="Arial" w:cs="Arial" w:eastAsia="Arial" w:hAnsi="Arial"/>
          <w:sz w:val="18"/>
          <w:szCs w:val="18"/>
          <w:color w:val="auto"/>
        </w:rPr>
        <w:t>The following table presents the computation of basic and diluted net (loss) income per share attributable to our common stockholders: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311"/>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basic</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Effect of potentially dilutive equivalent shares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diluted</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5,427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5,387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per share of common stock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(loss) income per share calculations since they were anti-dilutive: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27,</w:t>
            </w: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December 28,</w:t>
            </w: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December 27,</w:t>
            </w:r>
          </w:p>
        </w:tc>
        <w:tc>
          <w:tcPr>
            <w:tcW w:w="124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Restricted stock units and performance stock units</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shares of common stock excluded</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8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product sales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Revenue from services includes certain installation, extended warranty, customer support, consulting, training, and education. Maintenance and support services are generally offered to our customers over a specified period of time and from sales and subsequent renewals of maintenance and support contracts. The services noted are recognized based on an over-time recognition model using the cost input method.</w:t>
      </w:r>
    </w:p>
    <w:p>
      <w:pPr>
        <w:spacing w:after="0" w:line="16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Revenues related to certain contracts for customized network solutions are recognized over time using the cost input method. In using this input method, we generally apply the cost-to-cost method of accounting where sales and profits are recorded based on the ratio of costs incurred to estimated total costs at completion. Recognition of profit on these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19"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on the unaudited condensed consolidated balance sheet.</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Contracts and customer purchase orders are used to determine the existence of an arrangement. 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 authorities on a net basis.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Bill-and-Hold Sales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70" w:lineRule="exact"/>
        <w:rPr>
          <w:sz w:val="20"/>
          <w:szCs w:val="20"/>
          <w:color w:val="auto"/>
        </w:rPr>
      </w:pPr>
    </w:p>
    <w:p>
      <w:pPr>
        <w:jc w:val="both"/>
        <w:ind w:right="20" w:firstLine="486"/>
        <w:spacing w:after="0" w:line="258" w:lineRule="auto"/>
        <w:rPr>
          <w:sz w:val="20"/>
          <w:szCs w:val="20"/>
          <w:color w:val="auto"/>
        </w:rPr>
      </w:pPr>
      <w:r>
        <w:rPr>
          <w:rFonts w:ascii="Arial" w:cs="Arial" w:eastAsia="Arial" w:hAnsi="Arial"/>
          <w:sz w:val="18"/>
          <w:szCs w:val="18"/>
          <w:color w:val="auto"/>
        </w:rPr>
        <w:t>Variable consideration estimates will be re-assessed at each reporting period until a final outcome is determined. The changes to the original transaction price due to a change in estimated variable consideration will be applied on a retrospective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basis, with the adjustment recorded in the period in which the change occurs. Changes to variable consideration will be tracked and material changes disclosed.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Stand-alone Selling Price</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When allocating on a relative stand-alone selling price basis, any discount provided in the contract is allocated proportionately to all of the performance obligations in the contract.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3" w:name="page14"/>
    <w:bookmarkEnd w:id="13"/>
    <w:p>
      <w:pPr>
        <w:jc w:val="both"/>
        <w:ind w:firstLine="486"/>
        <w:spacing w:after="0" w:line="259" w:lineRule="auto"/>
        <w:rPr>
          <w:sz w:val="20"/>
          <w:szCs w:val="20"/>
          <w:color w:val="auto"/>
        </w:rPr>
      </w:pPr>
      <w:r>
        <w:rPr>
          <w:rFonts w:ascii="Arial" w:cs="Arial" w:eastAsia="Arial" w:hAnsi="Arial"/>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unaudited condensed consolidated statements of operations because they are also included in revenue that we bill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assessed the treatment of costs to obtain or fulfill a contract with a customer.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elected the practical expedient to expense sales commissions as incurred when the amortization period of the related asset is one year or less. These costs are recorded as sales and marketing expense and included on our unaudited condensed consolidated balance sheet as accrued expenses until paid. Our amortization expense was not material for the three and six months ended December 27,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Performance Obligations, and Backlog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receivables and liabilities from contracts with customers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27, 2019</w:t>
            </w:r>
          </w:p>
        </w:tc>
        <w:tc>
          <w:tcPr>
            <w:tcW w:w="200" w:type="dxa"/>
            <w:vAlign w:val="bottom"/>
          </w:tcPr>
          <w:p>
            <w:pPr>
              <w:spacing w:after="0"/>
              <w:rPr>
                <w:sz w:val="16"/>
                <w:szCs w:val="16"/>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June 28, 2019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Contract Assets</w:t>
            </w:r>
          </w:p>
        </w:tc>
        <w:tc>
          <w:tcPr>
            <w:tcW w:w="4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51,937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Unbilled receivables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27,780</w:t>
            </w:r>
          </w:p>
        </w:tc>
      </w:tr>
      <w:tr>
        <w:trPr>
          <w:trHeight w:val="27"/>
        </w:trPr>
        <w:tc>
          <w:tcPr>
            <w:tcW w:w="8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commissions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unearned revenue</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13,962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Unearned revenue, long-term</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9,662</w:t>
            </w:r>
          </w:p>
        </w:tc>
      </w:tr>
    </w:tbl>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Significant changes in contract balances may arise as a result of recognition over time for services, transfer of control for equipment, and periodic payments (both in arrears and in advance).</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33"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As of December 27, 2019, we had $27.9 million in advance payments and unearned revenue and long-term unearned revenue, of which approximately 45% is expected to be recognized as revenue in fiscal 2020 and the remainder thereafter. During the three and six months ended December 27, 2019 we recognized approximately $2.4 million and $5.6 million, respectively, in maintenance service revenue which was included in advance payments and unearned revenue at the beginning of the reporting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3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aggregate amount of transaction price allocated to our unsatisfied performance obligations (or partially unsatisfied) was approximately $73.8 million at December 27, 2019. Of this amount, we expect to recognize approximately 70% as revenue during the next 12 months, with the remaining amount to be recognized as revenue within two to five years.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Leases</w:t>
      </w:r>
    </w:p>
    <w:p>
      <w:pPr>
        <w:spacing w:after="0" w:line="17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June 29, 2019, the first day of our fiscal 2020, we adopted ASC 842 using the modified retrospective transition method, which requires a cumulative-effect adjustment, if any, to the opening balance of accumulated deficit to be recognized on the date of adoption with prior periods not restated.</w:t>
      </w:r>
    </w:p>
    <w:p>
      <w:pPr>
        <w:spacing w:after="0" w:line="70"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We lease facilities under non-cancelable operating lease agreements. These leases have varying terms that range from one to 20 years and contain leasehold improvement incentives, rent holidays and escalation clauses. In addition, some of these leases have renewal options for up to 3 years.</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determine if an arrangement contains a lease at inception. These operating leases are included in "Right of use assets" on our December 27, 2019 unaudited condensed consolidated balance sheets and represent our right to use the underlying asset for the lease term. Our obligation to make lease payments are included in "Short-term lease liabilities" and "Long-term lease liabilities" on our December 27, 2019 unaudited condensed consolidated balance sheets. We did not enter into any finance leases during the six months ended December 27, 2019.</w:t>
      </w:r>
    </w:p>
    <w:p>
      <w:pPr>
        <w:spacing w:after="0" w:line="13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Operating lease ROU assets and lease liabilities are recognized based on the present value of the future minimum lease payments over the lease term at commencement date. As most of our leases do not provide an implicit rate, we used 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 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1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Leases with an initial term of 12 months or less are not recorded on our balance sheet. We recognize lease expense for these leases on a straight-line basis over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842</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Upon our adoption of ASC 842, we recorded total ROU assets of $7.9 million, with corresponding liabilities of $8.3 million, on our unaudited condensed consolidated balance sheets. The ROU assets include adjustments for prepayments and accrued lease payments. The adoption did not impact our prior year condensed consolidated statements of operations and statements of cash flows. As of December 27, 2019, total ROU assets were approximately $5.6 million, and short-term lease liabilities and long-term lease liabilities were approximately $3.3 million and $2.6 million, respectively. Cash paid for lease liabilities was $1.3 million and $2.5 million for the three and six months ended December 27, 2019, respectively. During the three and six months ended December 27, 2019, we obtained $0.1 million of right-of-use assets in exchange for new operating lease obligations.</w:t>
      </w:r>
    </w:p>
    <w:p>
      <w:pPr>
        <w:spacing w:after="0" w:line="1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summarizes our lease costs, lease term and discount rate for the three and six months ended December 27, 2019 (in thousands, except for weighted average):</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27, 2019</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December 27, 2019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80" w:type="dxa"/>
            <w:vAlign w:val="bottom"/>
            <w:gridSpan w:val="4"/>
          </w:tcPr>
          <w:p>
            <w:pPr>
              <w:jc w:val="right"/>
              <w:ind w:right="1414"/>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2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8"/>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28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Total lease costs</w:t>
            </w:r>
          </w:p>
        </w:tc>
        <w:tc>
          <w:tcPr>
            <w:tcW w:w="28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22"/>
                <w:szCs w:val="22"/>
                <w:color w:val="auto"/>
              </w:rPr>
            </w:pPr>
          </w:p>
        </w:tc>
      </w:tr>
      <w:tr>
        <w:trPr>
          <w:trHeight w:val="20"/>
        </w:trPr>
        <w:tc>
          <w:tcPr>
            <w:tcW w:w="40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4080" w:type="dxa"/>
            <w:vAlign w:val="bottom"/>
            <w:gridSpan w:val="2"/>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2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 years</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2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800" w:type="dxa"/>
            <w:vAlign w:val="bottom"/>
          </w:tcPr>
          <w:p>
            <w:pPr>
              <w:jc w:val="right"/>
              <w:ind w:right="133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02" w:right="239" w:bottom="1440" w:gutter="0" w:footer="0" w:header="0"/>
        </w:sectPr>
      </w:pPr>
    </w:p>
    <w:bookmarkStart w:id="15" w:name="page16"/>
    <w:bookmarkEnd w:id="15"/>
    <w:p>
      <w:pPr>
        <w:ind w:right="400" w:firstLine="486"/>
        <w:spacing w:after="0" w:line="277" w:lineRule="auto"/>
        <w:rPr>
          <w:sz w:val="20"/>
          <w:szCs w:val="20"/>
          <w:color w:val="auto"/>
        </w:rPr>
      </w:pPr>
      <w:r>
        <w:rPr>
          <w:rFonts w:ascii="Arial" w:cs="Arial" w:eastAsia="Arial" w:hAnsi="Arial"/>
          <w:sz w:val="18"/>
          <w:szCs w:val="18"/>
          <w:color w:val="auto"/>
        </w:rPr>
        <w:t>As of December 27, 2019, our future minimum lease payments under all non-cancelable operating leases with an initial term in excess of one year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Amount</w:t>
            </w:r>
          </w:p>
        </w:tc>
      </w:tr>
      <w:tr>
        <w:trPr>
          <w:trHeight w:val="244"/>
        </w:trPr>
        <w:tc>
          <w:tcPr>
            <w:tcW w:w="9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533"/>
              <w:spacing w:after="0"/>
              <w:rPr>
                <w:sz w:val="20"/>
                <w:szCs w:val="20"/>
                <w:color w:val="auto"/>
              </w:rPr>
            </w:pPr>
            <w:r>
              <w:rPr>
                <w:rFonts w:ascii="Arial" w:cs="Arial" w:eastAsia="Arial" w:hAnsi="Arial"/>
                <w:sz w:val="14"/>
                <w:szCs w:val="14"/>
                <w:color w:val="auto"/>
              </w:rPr>
              <w:t>(In thousands)</w:t>
            </w:r>
          </w:p>
        </w:tc>
      </w:tr>
      <w:tr>
        <w:trPr>
          <w:trHeight w:val="255"/>
        </w:trPr>
        <w:tc>
          <w:tcPr>
            <w:tcW w:w="9360" w:type="dxa"/>
            <w:vAlign w:val="bottom"/>
          </w:tcPr>
          <w:p>
            <w:pPr>
              <w:ind w:left="40"/>
              <w:spacing w:after="0"/>
              <w:rPr>
                <w:sz w:val="20"/>
                <w:szCs w:val="20"/>
                <w:color w:val="auto"/>
              </w:rPr>
            </w:pPr>
            <w:r>
              <w:rPr>
                <w:rFonts w:ascii="Arial" w:cs="Arial" w:eastAsia="Arial" w:hAnsi="Arial"/>
                <w:sz w:val="18"/>
                <w:szCs w:val="18"/>
                <w:color w:val="auto"/>
              </w:rPr>
              <w:t>Remainder of 2020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2,708</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502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232</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2,016</w:t>
            </w:r>
          </w:p>
        </w:tc>
      </w:tr>
      <w:tr>
        <w:trPr>
          <w:trHeight w:val="237"/>
        </w:trPr>
        <w:tc>
          <w:tcPr>
            <w:tcW w:w="936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3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7,239</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interest</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57"/>
        </w:trPr>
        <w:tc>
          <w:tcPr>
            <w:tcW w:w="9360" w:type="dxa"/>
            <w:vAlign w:val="bottom"/>
          </w:tcPr>
          <w:p>
            <w:pPr>
              <w:ind w:left="180"/>
              <w:spacing w:after="0"/>
              <w:rPr>
                <w:sz w:val="20"/>
                <w:szCs w:val="20"/>
                <w:color w:val="auto"/>
              </w:rPr>
            </w:pPr>
            <w:r>
              <w:rPr>
                <w:rFonts w:ascii="Arial" w:cs="Arial" w:eastAsia="Arial" w:hAnsi="Arial"/>
                <w:sz w:val="18"/>
                <w:szCs w:val="18"/>
                <w:color w:val="auto"/>
              </w:rPr>
              <w:t>Present value of lease liabilities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5,900</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Prior to our adoption of the new lease accounting standard, as of June 28, 2019, our future minimum lease payments under all non-cancelable operating leases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534"/>
              <w:spacing w:after="0"/>
              <w:rPr>
                <w:sz w:val="20"/>
                <w:szCs w:val="20"/>
                <w:color w:val="auto"/>
              </w:rPr>
            </w:pPr>
            <w:r>
              <w:rPr>
                <w:rFonts w:ascii="Arial" w:cs="Arial" w:eastAsia="Arial" w:hAnsi="Arial"/>
                <w:sz w:val="14"/>
                <w:szCs w:val="14"/>
                <w:color w:val="auto"/>
              </w:rPr>
              <w:t>(In thousands)</w:t>
            </w: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1,268</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243</w:t>
            </w:r>
          </w:p>
        </w:tc>
      </w:tr>
      <w:tr>
        <w:trPr>
          <w:trHeight w:val="27"/>
        </w:trPr>
        <w:tc>
          <w:tcPr>
            <w:tcW w:w="9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2,090</w:t>
            </w:r>
          </w:p>
        </w:tc>
      </w:tr>
      <w:tr>
        <w:trPr>
          <w:trHeight w:val="27"/>
        </w:trPr>
        <w:tc>
          <w:tcPr>
            <w:tcW w:w="9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6,358</w:t>
            </w:r>
          </w:p>
        </w:tc>
      </w:tr>
      <w:tr>
        <w:trPr>
          <w:trHeight w:val="20"/>
        </w:trPr>
        <w:tc>
          <w:tcPr>
            <w:tcW w:w="9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a summary of our cash, cash equivalents, and restricted cash reported within our unaudited condensed consolidated balance sheets that reconciles to the corresponding amount in our unaudited condensed consolidated statement of cash flows: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w:t>
            </w:r>
          </w:p>
        </w:tc>
        <w:tc>
          <w:tcPr>
            <w:tcW w:w="240" w:type="dxa"/>
            <w:vAlign w:val="bottom"/>
          </w:tcPr>
          <w:p>
            <w:pPr>
              <w:spacing w:after="0"/>
              <w:rPr>
                <w:sz w:val="14"/>
                <w:szCs w:val="14"/>
                <w:color w:val="auto"/>
              </w:rPr>
            </w:pPr>
          </w:p>
        </w:tc>
        <w:tc>
          <w:tcPr>
            <w:tcW w:w="102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31,946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cash equivalents, and restricted cash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38,323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32,201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62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net accounts receivable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27,</w:t>
            </w:r>
          </w:p>
        </w:tc>
        <w:tc>
          <w:tcPr>
            <w:tcW w:w="240" w:type="dxa"/>
            <w:vAlign w:val="bottom"/>
          </w:tcPr>
          <w:p>
            <w:pPr>
              <w:spacing w:after="0"/>
              <w:rPr>
                <w:sz w:val="14"/>
                <w:szCs w:val="14"/>
                <w:color w:val="auto"/>
              </w:rPr>
            </w:pPr>
          </w:p>
        </w:tc>
        <w:tc>
          <w:tcPr>
            <w:tcW w:w="102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June 28,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53,539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44,387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0" w:type="dxa"/>
            <w:vAlign w:val="bottom"/>
          </w:tcPr>
          <w:p>
            <w:pPr>
              <w:ind w:left="500"/>
              <w:spacing w:after="0"/>
              <w:rPr>
                <w:sz w:val="20"/>
                <w:szCs w:val="20"/>
                <w:color w:val="auto"/>
              </w:rPr>
            </w:pPr>
            <w:r>
              <w:rPr>
                <w:rFonts w:ascii="Arial" w:cs="Arial" w:eastAsia="Arial" w:hAnsi="Arial"/>
                <w:sz w:val="18"/>
                <w:szCs w:val="18"/>
                <w:color w:val="auto"/>
              </w:rPr>
              <w:t>Our inventories are summarized below:</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27,</w:t>
            </w:r>
          </w:p>
        </w:tc>
        <w:tc>
          <w:tcPr>
            <w:tcW w:w="240" w:type="dxa"/>
            <w:vAlign w:val="bottom"/>
          </w:tcPr>
          <w:p>
            <w:pPr>
              <w:spacing w:after="0"/>
              <w:rPr>
                <w:sz w:val="24"/>
                <w:szCs w:val="24"/>
                <w:color w:val="auto"/>
              </w:rPr>
            </w:pPr>
          </w:p>
        </w:tc>
        <w:tc>
          <w:tcPr>
            <w:tcW w:w="102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June 28,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13,300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record recovery or charges to adjust our inventory and customer service inventory due to excess and obsolete inventory resulting from lower sales forecast, product transitioning, or discontinuance. The recovery or charges during the three and six months ended December 27, 2019 and December 28, 2018 were classified in cost of product sales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35"/>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52"/>
        </w:trPr>
        <w:tc>
          <w:tcPr>
            <w:tcW w:w="5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2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 (recovery)</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inventory charges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3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20" w:type="dxa"/>
            <w:vAlign w:val="bottom"/>
          </w:tcPr>
          <w:p>
            <w:pPr>
              <w:ind w:left="500"/>
              <w:spacing w:after="0"/>
              <w:rPr>
                <w:sz w:val="20"/>
                <w:szCs w:val="20"/>
                <w:color w:val="auto"/>
              </w:rPr>
            </w:pPr>
            <w:r>
              <w:rPr>
                <w:rFonts w:ascii="Arial" w:cs="Arial" w:eastAsia="Arial" w:hAnsi="Arial"/>
                <w:sz w:val="18"/>
                <w:szCs w:val="18"/>
                <w:color w:val="auto"/>
                <w:w w:val="95"/>
              </w:rPr>
              <w:t>Our property, plant and equipment, net are summarized below:</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11,688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11,668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17,556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52,027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49,733</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gross</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82,105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79,667</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(62,412)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property, plant and equipment, net</w:t>
            </w: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19" w:right="239" w:bottom="1440" w:gutter="0" w:footer="0" w:header="0"/>
        </w:sectPr>
      </w:pPr>
    </w:p>
    <w:bookmarkStart w:id="17" w:name="page18"/>
    <w:bookmarkEnd w:id="17"/>
    <w:p>
      <w:pPr>
        <w:jc w:val="both"/>
        <w:ind w:firstLine="486"/>
        <w:spacing w:after="0" w:line="264" w:lineRule="auto"/>
        <w:rPr>
          <w:sz w:val="20"/>
          <w:szCs w:val="20"/>
          <w:color w:val="auto"/>
        </w:rPr>
      </w:pPr>
      <w:r>
        <w:rPr>
          <w:rFonts w:ascii="Arial" w:cs="Arial" w:eastAsia="Arial" w:hAnsi="Arial"/>
          <w:sz w:val="18"/>
          <w:szCs w:val="18"/>
          <w:color w:val="auto"/>
        </w:rPr>
        <w:t>Included in the total plant, property and equipment above were $3.6 million and $2.8 million of assets in progress which have not been placed in service as of December 27, 2019 and June 28, 2019, respectively. Depreciation and amortization expense related to property, plant and equipment, including amortization of software developed for internal use, was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December 27,</w:t>
            </w: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4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68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80" w:type="dxa"/>
            <w:vAlign w:val="bottom"/>
          </w:tcPr>
          <w:p>
            <w:pPr>
              <w:ind w:left="500"/>
              <w:spacing w:after="0"/>
              <w:rPr>
                <w:sz w:val="20"/>
                <w:szCs w:val="20"/>
                <w:color w:val="auto"/>
              </w:rPr>
            </w:pPr>
            <w:r>
              <w:rPr>
                <w:rFonts w:ascii="Arial" w:cs="Arial" w:eastAsia="Arial" w:hAnsi="Arial"/>
                <w:sz w:val="18"/>
                <w:szCs w:val="18"/>
                <w:color w:val="auto"/>
              </w:rPr>
              <w:t>Our accrued expenses are summarized below:</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27,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28,</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Accrued agent commissions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9,184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22,071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accrued expenses in our unaudited condensed consolidated balance sheets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37"/>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52"/>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3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Warranty provision recorded during the period</w:t>
            </w:r>
          </w:p>
        </w:tc>
        <w:tc>
          <w:tcPr>
            <w:tcW w:w="20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Consumption during the period</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7"/>
        </w:trPr>
        <w:tc>
          <w:tcPr>
            <w:tcW w:w="5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 Payments and Unearned Revenue</w:t>
            </w: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20" w:type="dxa"/>
            <w:vAlign w:val="bottom"/>
          </w:tcPr>
          <w:p>
            <w:pPr>
              <w:ind w:left="500"/>
              <w:spacing w:after="0"/>
              <w:rPr>
                <w:sz w:val="20"/>
                <w:szCs w:val="20"/>
                <w:color w:val="auto"/>
              </w:rPr>
            </w:pPr>
            <w:r>
              <w:rPr>
                <w:rFonts w:ascii="Arial" w:cs="Arial" w:eastAsia="Arial" w:hAnsi="Arial"/>
                <w:sz w:val="18"/>
                <w:szCs w:val="18"/>
                <w:color w:val="auto"/>
                <w:w w:val="94"/>
              </w:rPr>
              <w:t>Our advance payments and unearned revenue are summarized below:</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16,964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advance payments and unearned revenue</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19,137</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13,962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Excluded from the balances above are $8.7 million and $9.7 million in long-term unearned revenue as of December 27, 2019 and June 28, 2019,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7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December 27, 2019 and June 28, 2019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December 27, 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June 28, 2019</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4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 Inputs</w:t>
            </w: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December 27, 2019 and June 28, 2019, these money market funds were valued at $1.00 net asset value per share.</w:t>
      </w:r>
    </w:p>
    <w:p>
      <w:pPr>
        <w:spacing w:after="0" w:line="11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27, 2019 and June 28, 2019, we did not have any recurring assets or liabilities that were valued using significant unobservable inputs.</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six months of fiscal 2020 and 2019,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Facility and Debt</w:t>
      </w:r>
    </w:p>
    <w:p>
      <w:pPr>
        <w:spacing w:after="0" w:line="17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On June 10, 2019, we entered into Amendment No. 2 to Third Amended and Restated Loan and Security Agreement with Silicon Valley Bank (the “SVB Credit Facility”). The SVB Credit Facility expires on June 29, 2020. The SVB Credit Facility provides for a $25.0 million accounts receivable formula-based revolving credit facility that can be borrowed by our U.S. company, with a $25.0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December 27, 2019, available credit under the SVB Credit Facility was $14.5 million, reflecting the calculated borrowing base of $25.0 million less existing borrowings of $9.0 million and outstanding letters of credit of $1.5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69" w:right="239" w:bottom="1440" w:gutter="0" w:footer="0" w:header="0"/>
        </w:sectPr>
      </w:pPr>
    </w:p>
    <w:bookmarkStart w:id="19" w:name="page20"/>
    <w:bookmarkEnd w:id="19"/>
    <w:p>
      <w:pPr>
        <w:jc w:val="both"/>
        <w:ind w:firstLine="486"/>
        <w:spacing w:after="0" w:line="255" w:lineRule="auto"/>
        <w:rPr>
          <w:sz w:val="20"/>
          <w:szCs w:val="20"/>
          <w:color w:val="auto"/>
        </w:rPr>
      </w:pPr>
      <w:r>
        <w:rPr>
          <w:rFonts w:ascii="Arial" w:cs="Arial" w:eastAsia="Arial" w:hAnsi="Arial"/>
          <w:sz w:val="18"/>
          <w:szCs w:val="18"/>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the first six months of fiscal 2020, the weighted-average interest rate on our outstanding loan was 5.46%. As of December 27, 2019 and June 28, 2019, our outstanding debt balance under the SVB Credit Facility was $9.0 million, and the interest rate was 5.25% and 6.00%, respectively.</w:t>
      </w:r>
    </w:p>
    <w:p>
      <w:pPr>
        <w:spacing w:after="0" w:line="13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December 27, 2019, we were in compliance with the quarterly financial covenants, as amended, contained in the SVB Credit Facility. The $9.0 million borrowing was classified as a current liability as of December 27, 2019 and June 28, 2019, and repaid in January 2020 and July 2019, respectively.</w:t>
      </w:r>
    </w:p>
    <w:p>
      <w:pPr>
        <w:spacing w:after="0" w:line="12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September 28, 2018, we entered into Amendment No. 1 (the “Amendment”) to the Third Amended and Restated Loan and Security Agreement with Silicon Valley Bank. Among other things, the Amendment provides for the definition of Quick Assets set forth in the Agreement to be modified to include up to the lesser of (a) 50% of unbilled accounts receivable or (b) $7.0 million.</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have a short-term line of credit for up to $0.3 million from a bank in New Zealand to support the operations of our subsidiary located there. This line of credit provides for up to $0.2 million in short-term advances at various interest rates, all of which was available as of December 27, 2019 and June 28, 2019. The line of credit also provides for the issuance of standby letters of credit and company credit cards, of which $0.1 million was outstanding as of December 27, 2019. This line of credit may be terminated upon notice, is reviewed annually for renewal or modification, and is supported by a corporate guarantee.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restructuring-related activities during the six months ended December 27,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Severance and Benefits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Facilities and</w:t>
            </w:r>
          </w:p>
        </w:tc>
        <w:tc>
          <w:tcPr>
            <w:tcW w:w="160" w:type="dxa"/>
            <w:vAlign w:val="bottom"/>
          </w:tcPr>
          <w:p>
            <w:pPr>
              <w:spacing w:after="0"/>
              <w:rPr>
                <w:sz w:val="14"/>
                <w:szCs w:val="14"/>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2020</w:t>
            </w:r>
          </w:p>
        </w:tc>
        <w:tc>
          <w:tcPr>
            <w:tcW w:w="14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2018-2019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5"/>
              </w:rPr>
              <w:t>2016-2017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2015-2016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Plan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June 28,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Charges (recovery), net</w:t>
            </w: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September 27, 2019</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1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Accrual balance, December 27,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27, 2019, $1.7 million of the accrual balance was in short-term restructuring liabilities while $0.2 million was included in other long-term liabilities on our unaudited condensed consolidated balance sheets.</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are expected to be fully paid in fiscal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19" w:right="239" w:bottom="1440" w:gutter="0" w:footer="0" w:header="0"/>
        </w:sectPr>
      </w:pPr>
    </w:p>
    <w:bookmarkStart w:id="20" w:name="page21"/>
    <w:bookmarkEnd w:id="20"/>
    <w:p>
      <w:pPr>
        <w:ind w:left="500"/>
        <w:spacing w:after="0"/>
        <w:rPr>
          <w:sz w:val="20"/>
          <w:szCs w:val="20"/>
          <w:color w:val="auto"/>
        </w:rPr>
      </w:pPr>
      <w:r>
        <w:rPr>
          <w:rFonts w:ascii="Arial" w:cs="Arial" w:eastAsia="Arial" w:hAnsi="Arial"/>
          <w:sz w:val="17"/>
          <w:szCs w:val="17"/>
          <w:color w:val="auto"/>
        </w:rPr>
        <w:t>We completed the restructuring activities under our fiscal 2018-2019 restructuring plan (the “Fiscal 2018-2019 Plan”) by the end of fiscal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Payments related to the accrued restructuring liability balance for this plan are expected to be fully paid by the end of fiscal 2020.</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further information, see “Note 7. Restructuring Activities” in Part II, Item 8 of our 2019 Form 10-K.</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May 2018, our board of directors approved a repurchase program, which does not have an expiration date, for the repurchase of up to $7.5 million of our common stock.</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repurchases of our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share amounts)</w:t>
            </w:r>
          </w:p>
        </w:tc>
        <w:tc>
          <w:tcPr>
            <w:tcW w:w="16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27, 2019</w:t>
            </w:r>
          </w:p>
        </w:tc>
        <w:tc>
          <w:tcPr>
            <w:tcW w:w="160" w:type="dxa"/>
            <w:vAlign w:val="bottom"/>
          </w:tcPr>
          <w:p>
            <w:pPr>
              <w:spacing w:after="0"/>
              <w:rPr>
                <w:sz w:val="13"/>
                <w:szCs w:val="13"/>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28, 2018</w:t>
            </w:r>
          </w:p>
        </w:tc>
        <w:tc>
          <w:tcPr>
            <w:tcW w:w="180" w:type="dxa"/>
            <w:vAlign w:val="bottom"/>
          </w:tcPr>
          <w:p>
            <w:pPr>
              <w:spacing w:after="0"/>
              <w:rPr>
                <w:sz w:val="13"/>
                <w:szCs w:val="13"/>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27, 2019</w:t>
            </w:r>
          </w:p>
        </w:tc>
        <w:tc>
          <w:tcPr>
            <w:tcW w:w="240" w:type="dxa"/>
            <w:vAlign w:val="bottom"/>
          </w:tcPr>
          <w:p>
            <w:pPr>
              <w:spacing w:after="0"/>
              <w:rPr>
                <w:sz w:val="13"/>
                <w:szCs w:val="13"/>
                <w:color w:val="auto"/>
              </w:rPr>
            </w:pPr>
          </w:p>
        </w:tc>
        <w:tc>
          <w:tcPr>
            <w:tcW w:w="136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repurchased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101,539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91,585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Aggregate purchase price, including commissions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repurchased shares were retired. As of December 27, 2019, $3.8 million remained available under our stock repurchase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December 27, 2019, we had two stock incentive plans for our employees and nonemployee directors, the 2018 Incentive Plan and the 2007 Stock Equity Plan, as amended and restated effective November 13, 2015. During the three months ended December 27, 2019, we granted restricted stock units for the issuance of 21,172 shares of our common stock. During the six months ended December 27, 2019, we granted restricted stock units for the issuance of 84,202 shares of our common stock, performance restricted stock units for the issuance of 51,706 shares of our common stock and options to purchase 126,118 shares of our common stock.</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8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8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7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Cost of revenues</w:t>
            </w:r>
          </w:p>
        </w:tc>
        <w:tc>
          <w:tcPr>
            <w:tcW w:w="40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ind w:right="35"/>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80" w:type="dxa"/>
            <w:vAlign w:val="bottom"/>
            <w:gridSpan w:val="3"/>
          </w:tcPr>
          <w:p>
            <w:pPr>
              <w:ind w:left="140"/>
              <w:spacing w:after="0"/>
              <w:rPr>
                <w:sz w:val="20"/>
                <w:szCs w:val="20"/>
                <w:color w:val="auto"/>
              </w:rPr>
            </w:pPr>
            <w:r>
              <w:rPr>
                <w:rFonts w:ascii="Arial" w:cs="Arial" w:eastAsia="Arial" w:hAnsi="Arial"/>
                <w:sz w:val="18"/>
                <w:szCs w:val="18"/>
                <w:color w:val="auto"/>
              </w:rPr>
              <w:t>Selling and administrative</w:t>
            </w:r>
          </w:p>
        </w:tc>
        <w:tc>
          <w:tcPr>
            <w:tcW w:w="2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58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80" w:type="dxa"/>
            <w:vAlign w:val="bottom"/>
            <w:gridSpan w:val="3"/>
          </w:tcPr>
          <w:p>
            <w:pPr>
              <w:ind w:left="140"/>
              <w:spacing w:after="0"/>
              <w:rPr>
                <w:sz w:val="20"/>
                <w:szCs w:val="20"/>
                <w:color w:val="auto"/>
              </w:rPr>
            </w:pPr>
            <w:r>
              <w:rPr>
                <w:rFonts w:ascii="Arial" w:cs="Arial" w:eastAsia="Arial" w:hAnsi="Arial"/>
                <w:sz w:val="18"/>
                <w:szCs w:val="18"/>
                <w:color w:val="auto"/>
              </w:rPr>
              <w:t>Restricted and performance stock awards and units</w:t>
            </w:r>
          </w:p>
        </w:tc>
        <w:tc>
          <w:tcPr>
            <w:tcW w:w="2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As of December 27, 2019, there was approximately $1.3 million of total unrecognized compensation expense related to non-vested stock options granted which are expected to be recognized over a weighted-average period of 2.3 years. As of December 27, 2019, there was $2.1 million of total unrecognized compensation expense related to non-vested stock awards which are expected to be recognized over a weighted-average period of 2.2 years.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1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operate in one reportable business segment: the design, manufacturing, and sale of a range of wireless networking products, solutions, and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regularly reviewed by our chief operating decision maker who is our chief executive officer.</w:t>
      </w:r>
    </w:p>
    <w:p>
      <w:pPr>
        <w:spacing w:after="0" w:line="1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and six months ended December 27, 2019 and December 28, 2018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28, 2018</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3"/>
                <w:szCs w:val="13"/>
                <w:color w:val="auto"/>
              </w:rPr>
            </w:pPr>
          </w:p>
        </w:tc>
        <w:tc>
          <w:tcPr>
            <w:tcW w:w="110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65,079</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Africa and the Middle East</w:t>
            </w:r>
          </w:p>
        </w:tc>
        <w:tc>
          <w:tcPr>
            <w:tcW w:w="2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13,832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19,449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27,979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8,251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13,098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25,589</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55,997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65,088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114,611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125,592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During the three months ended December 27, 2019, no customer accounted for over 10% of our total revenue. During the six months ended December 27, 2019, Motorola Solutions, Inc. accounted for 10% of our total revenue. During both the three and six months ended December 28, 2018, Mobile Telephone Networks Group (MTN Group) accounted for 12% of our total revenue. As of December 27, 2019, MTN Group accounted for 13% of our accounts receivable. As of June 28, 2019, MTN Group and Globe Telecom, Inc. (Globe) accounted for 10% and 11% of our accounts receivable, respectively. We have entered into separate and distinct contracts with Globe and MTN Group, as well as separate arrangements with their various subsidiaries. The loss of a significant portion of business from Globe and MTN Group, or any other significant customers, could adversely affect our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effective tax rate varies from the U.S. federal statutory rate of 21% due to results of foreign operations that are subject to income taxes at different statutory rates and certain jurisdictions where we cannot recognize tax benefits on current losses. During interim periods, we accrue tax expenses for jurisdictions that are anticipated to be profitable for fiscal 2020.</w:t>
      </w:r>
    </w:p>
    <w:p>
      <w:pPr>
        <w:spacing w:after="0" w:line="12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determination of our income taxes for the six months ended December 27, 2019 and December 28, 2018 was based on our estimated annual effective tax rate adjusted for losses in certain jurisdictions for which no tax benefit can be recognized. Our tax expense for the six months ended December 27, 2019 was primarily due to tax expense related to profitable subsidiaries and a $0.6 million increase in our reserves for uncertain tax positions. The tax benefit for the six months ended December 28, 2018 was primarily due to tax expense related to profitable subsidiaries, net against the $1.6 million release of valuation allowance due to the potential foreign tax refund to be received from the Department of Federal Revenue of Brazil.</w:t>
      </w:r>
    </w:p>
    <w:p>
      <w:pPr>
        <w:spacing w:after="0" w:line="1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(benefit) and a material increase or decrease in net income in the period in which we change our judgment. During the second quarter of fiscal 2020, we did not record any adjustment to valuation allowance on our U.S. deferred tax assets.</w:t>
      </w:r>
    </w:p>
    <w:p>
      <w:pPr>
        <w:spacing w:after="0" w:line="13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entered into a tax sharing agreement with Harris Corporation (Harris) effective on January 26, 2007, the acquisition date of Stratex. The tax sharing agreement addresses, among other things, the settlement process associated with pre-merger tax liabilities and tax attributes that were attributable to the Microwave Communication Division when it was a division of Harris. There have been no settlement payments recorded since the acquisition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48" w:right="239" w:bottom="1440" w:gutter="0" w:footer="0" w:header="0"/>
        </w:sectPr>
      </w:pPr>
    </w:p>
    <w:bookmarkStart w:id="22" w:name="page23"/>
    <w:bookmarkEnd w:id="22"/>
    <w:p>
      <w:pPr>
        <w:jc w:val="both"/>
        <w:ind w:firstLine="486"/>
        <w:spacing w:after="0" w:line="264" w:lineRule="auto"/>
        <w:rPr>
          <w:sz w:val="20"/>
          <w:szCs w:val="20"/>
          <w:color w:val="auto"/>
        </w:rPr>
      </w:pPr>
      <w:r>
        <w:rPr>
          <w:rFonts w:ascii="Arial" w:cs="Arial" w:eastAsia="Arial" w:hAnsi="Arial"/>
          <w:sz w:val="18"/>
          <w:szCs w:val="18"/>
          <w:color w:val="auto"/>
        </w:rPr>
        <w:t>We have a number of open income tax audits covering various tax years, which vary from jurisdiction to jurisdiction. Our major tax jurisdictions where audits are pending include Singapore, Nigeria, and Saudi Arabia. The earliest years that are open and subject to potential audits are as follows: U.S. - 2003; Singapore - 2011; Nigeria - 2006: Saudi Arabia - 2010, and Ivory Coast - 2016.</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and six months ended December 27, 2019 and December 28,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December 27, 2019, we had outstanding purchase obligations with our suppliers or contract manufacturers of $18.6 million. In addition, we had contractual obligations of approximately $2.1 million associated with software licenses as of December 27,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December 27, 2019, we had no guarantees applicable to our debt arrangements.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27, 2019, we had commercial commitments of $61.2 million outstanding that were not recorded on our unaudited condensed consolidated balance sheets. We do not believe, based on historical experience and information currently available, that it is probable that any significant amounts will be required to be paid on the performance guarantees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December 27, 2019,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December 27, 2019,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approximately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March 2016, an enforcement action by the Indian Department of Revenue, Ministry of Finance was brought against Aviat Networks (India) Private Limited (Aviat India) relating to the non-realization of intercompany receivables and non-payment of intercompany payables, which originated from 1999 to 2012, within the time frames dictated by the Indian regulations 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9" w:right="239" w:bottom="1440" w:gutter="0" w:footer="0" w:header="0"/>
        </w:sectPr>
      </w:pPr>
    </w:p>
    <w:bookmarkStart w:id="23" w:name="page24"/>
    <w:bookmarkEnd w:id="23"/>
    <w:p>
      <w:pPr>
        <w:jc w:val="both"/>
        <w:spacing w:after="0" w:line="272" w:lineRule="auto"/>
        <w:rPr>
          <w:sz w:val="20"/>
          <w:szCs w:val="20"/>
          <w:color w:val="auto"/>
        </w:rPr>
      </w:pPr>
      <w:r>
        <w:rPr>
          <w:rFonts w:ascii="Arial" w:cs="Arial" w:eastAsia="Arial" w:hAnsi="Arial"/>
          <w:sz w:val="17"/>
          <w:szCs w:val="17"/>
          <w:color w:val="auto"/>
        </w:rPr>
        <w:t>the Foreign Exchange Management Act ("FEMA"). In November 2017, the Indian Department of Revenue, Ministry of Finance also initiated a similar action against Telsima Communications Private Limited (Telsima India)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19" w:right="239" w:bottom="1440" w:gutter="0" w:footer="0" w:header="0"/>
        </w:sectPr>
      </w:pPr>
    </w:p>
    <w:bookmarkStart w:id="24" w:name="page25"/>
    <w:bookmarkEnd w:id="24"/>
    <w:p>
      <w:pPr>
        <w:jc w:val="both"/>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implement our stock repurchase program or that it will enhance long-term stockholder value.</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2019 Annual Report on Form 10-K filed with the SEC on August 27, 2019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2020 and 2019 Results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July 3, 2020 is referred to as “fiscal 2020” or “2020” and our fiscal year ended June 28, 2019 is referred to as “fiscal 2019” or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ind w:firstLine="513"/>
        <w:spacing w:after="0" w:line="271" w:lineRule="auto"/>
        <w:rPr>
          <w:sz w:val="20"/>
          <w:szCs w:val="20"/>
          <w:color w:val="auto"/>
        </w:rPr>
      </w:pPr>
      <w:r>
        <w:rPr>
          <w:rFonts w:ascii="Arial" w:cs="Arial" w:eastAsia="Arial" w:hAnsi="Arial"/>
          <w:sz w:val="17"/>
          <w:szCs w:val="17"/>
          <w:color w:val="auto"/>
        </w:rPr>
        <w:t>We anticipate our overall revenue in fiscal 2020 to be higher in North America, offset by lower revenue from our international regions. This expectation is based on actual order volumes in fiscal 2019 and our observation of customer spending patterns going into fiscal 2020. In the first six months of fiscal 2020, we added to the healthy backlog we had entering fiscal 2020 for our North America private network projects and we anticipate continuing our strong momentum across these verticals. We have made inroads into the U.S. rural broadband and wireless internet service provider areas and there is evidence now of investment to support 5G deployments with our U.S. service provider customers. Internationally, we took a more conservative view of our revenue opportunity based on a variety of factors that have led to an overall capital spending decline and increased competitive intensity, especially from vendors based in China. While there is an attractive pipeline of international revenue opportunity, it has less clarity on timing and we are maintaining our lower international expectations with respect to fiscal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243" w:lineRule="exact"/>
        <w:rPr>
          <w:sz w:val="20"/>
          <w:szCs w:val="20"/>
          <w:color w:val="auto"/>
        </w:rPr>
      </w:pPr>
    </w:p>
    <w:p>
      <w:pPr>
        <w:jc w:val="both"/>
        <w:ind w:firstLine="513"/>
        <w:spacing w:after="0" w:line="270" w:lineRule="auto"/>
        <w:rPr>
          <w:sz w:val="20"/>
          <w:szCs w:val="20"/>
          <w:color w:val="auto"/>
        </w:rPr>
      </w:pPr>
      <w:r>
        <w:rPr>
          <w:rFonts w:ascii="Arial" w:cs="Arial" w:eastAsia="Arial" w:hAnsi="Arial"/>
          <w:sz w:val="17"/>
          <w:szCs w:val="17"/>
          <w:color w:val="auto"/>
        </w:rPr>
        <w:t>The market for mobile backhaul continues to be our primary addressable market segment globally in fiscal 2020.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2019 Annual Report on Form 10-K, a number of factors could prevent us from achieving our objectives, including ongoing pricing pressures attributable to competition and macroeconomic conditions in the geographic markets that we service.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and six months ended December 27, 2019 and December 28, 2018 and the related changes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(In thousands, except percentages)</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36,472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37,316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76,239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65,079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11,160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Africa and the Middle East</w:t>
            </w:r>
          </w:p>
        </w:tc>
        <w:tc>
          <w:tcPr>
            <w:tcW w:w="12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8,856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13,832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(4,976)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19,449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27,979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(8,530)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and Russia</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Latin America and Asia Pacific</w:t>
            </w:r>
          </w:p>
        </w:tc>
        <w:tc>
          <w:tcPr>
            <w:tcW w:w="12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8,251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10,707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(2,456)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25,589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(12,491)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33"/>
        </w:trPr>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55,997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65,088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114,611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125,592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(10,981)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in North America decreased by $0.8 million, or 2.3%, during the second quarter of fiscal 2020 compared with the same quarter of fiscal 2019. Revenue in North America increased by $11.2 million, or 17.1%, during the first six months of fiscal 2020 compared with the same period of fiscal 2019. The increase in North America revenue during the first six months of fiscal 2020 was due to an increase in private network projects as well as an increase in mobile operator sales compared to fiscal 2019.</w:t>
      </w:r>
    </w:p>
    <w:p>
      <w:pPr>
        <w:spacing w:after="0" w:line="13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Our revenue in Africa and the Middle East decreased by $5.0 million, or 36.0%, for the second quarter of fiscal 2020 compared with the same quarter of fiscal 2019. Revenue in Africa and the Middle East decreased by $8.5 million, or 30.5%, during the first six months of fiscal 2020 compared with the same period of fiscal 2019. The decrease in revenue was primarily due to decreased sales to our large mobile operator customers in the region.</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in Europe and Russia decreased by $0.8 million, or 25.2%, for the second quarter of fiscal 2020 compared with the same quarter of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Revenue in Europe and Russia decreased by $1.1 million, or 16.1%, during the first six months of fiscal 2020 compared with the same period of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The decrease was due to lower sales to mobile operator customers in the region.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69" w:right="239" w:bottom="1440" w:gutter="0" w:footer="0" w:header="0"/>
        </w:sectPr>
      </w:pPr>
    </w:p>
    <w:bookmarkStart w:id="26" w:name="page27"/>
    <w:bookmarkEnd w:id="26"/>
    <w:p>
      <w:pPr>
        <w:jc w:val="both"/>
        <w:ind w:firstLine="486"/>
        <w:spacing w:after="0" w:line="286" w:lineRule="auto"/>
        <w:rPr>
          <w:sz w:val="20"/>
          <w:szCs w:val="20"/>
          <w:color w:val="auto"/>
        </w:rPr>
      </w:pPr>
      <w:r>
        <w:rPr>
          <w:rFonts w:ascii="Arial" w:cs="Arial" w:eastAsia="Arial" w:hAnsi="Arial"/>
          <w:sz w:val="17"/>
          <w:szCs w:val="17"/>
          <w:color w:val="auto"/>
        </w:rPr>
        <w:t>Revenue in Latin America and Asia Pacific decreased by $2.5 million, or 22.9%, during the second quarter of fiscal 2020 compared with the same quarter of fiscal 2019. Revenue in Latin America and Asia Pacific decreased by $12.5 million, or 48.8%, during the first six months of fiscal 2020 compared with the same period of fiscal 2019. The decrease was from lower sales to mobile operator customers compared to fiscal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(In thousands, except percentages)</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34,152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41,956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70,746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81,081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(10,335)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Services</w:t>
            </w: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21,845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23,132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43,865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44,511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55,997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65,088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114,611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125,592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(10,981)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from product sales decreased by $7.8 million, or 18.6%, for the second quarter of fiscal 2020 compared with the same quarter of fiscal 2019. Product sales decreased compared to the same quarter in fiscal 2020 in all reporting sectors. Our services revenue decreased by $1.3 million, or 5.6%, during the second quarter of fiscal 2020 compared with the same quarter of fiscal 2019. Lower international service sales were offset in part by increased service sales in North America relative to fiscal 2019.</w:t>
      </w:r>
    </w:p>
    <w:p>
      <w:pPr>
        <w:spacing w:after="0" w:line="1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revenue from product sales decreased by $10.3 million, or 12.7%, for the first six months of fiscal 2020 compared with the same period of fiscal 2019. Increased product sales in North America were offset by a larger volume decrease in international sectors compared to the same period in fiscal 2019. Our services revenue decreased by $0.6 million, or 1.5%, during the first six months of fiscal 2020 compared with the same period of fiscal 2019. Decreased sales in international sectors were offset in part by an increase in North America sales compared to the same period in fiscal 2019.</w:t>
      </w:r>
    </w:p>
    <w:p>
      <w:pPr>
        <w:spacing w:after="0" w:line="17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During the three and six months ended December 27, 2019, our product revenue was adversely impacted by a cyberattack at one of our contract manufacturing vendors, which constrained capacity by approximately three weeks and led to lower than expected results. However, the issue has been fully remediated.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40" w:type="dxa"/>
            <w:vAlign w:val="bottom"/>
          </w:tcPr>
          <w:p>
            <w:pPr>
              <w:spacing w:after="0"/>
              <w:rPr>
                <w:sz w:val="13"/>
                <w:szCs w:val="13"/>
                <w:color w:val="auto"/>
              </w:rPr>
            </w:pPr>
          </w:p>
        </w:tc>
        <w:tc>
          <w:tcPr>
            <w:tcW w:w="114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3"/>
                <w:szCs w:val="13"/>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3"/>
                <w:szCs w:val="13"/>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thousands, except percentages)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55,997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65,088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114,611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125,592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(10,981)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7"/>
        </w:trPr>
        <w:tc>
          <w:tcPr>
            <w:tcW w:w="22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37,678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42,598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(4,920)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73,736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color w:val="auto"/>
              </w:rPr>
              <w:t>85,177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(11,441)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18,319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22,490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40,875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40,415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32.7%</w:t>
            </w:r>
          </w:p>
        </w:tc>
        <w:tc>
          <w:tcPr>
            <w:tcW w:w="2300" w:type="dxa"/>
            <w:vAlign w:val="bottom"/>
          </w:tcPr>
          <w:p>
            <w:pPr>
              <w:jc w:val="right"/>
              <w:ind w:right="1379"/>
              <w:spacing w:after="0"/>
              <w:rPr>
                <w:sz w:val="20"/>
                <w:szCs w:val="20"/>
                <w:color w:val="auto"/>
              </w:rPr>
            </w:pPr>
            <w:r>
              <w:rPr>
                <w:rFonts w:ascii="Arial" w:cs="Arial" w:eastAsia="Arial" w:hAnsi="Arial"/>
                <w:sz w:val="16"/>
                <w:szCs w:val="16"/>
                <w:color w:val="auto"/>
              </w:rPr>
              <w:t>34.6%</w:t>
            </w:r>
          </w:p>
        </w:tc>
        <w:tc>
          <w:tcPr>
            <w:tcW w:w="2320" w:type="dxa"/>
            <w:vAlign w:val="bottom"/>
          </w:tcPr>
          <w:p>
            <w:pPr>
              <w:jc w:val="right"/>
              <w:ind w:right="339"/>
              <w:spacing w:after="0"/>
              <w:rPr>
                <w:sz w:val="20"/>
                <w:szCs w:val="20"/>
                <w:color w:val="auto"/>
              </w:rPr>
            </w:pPr>
            <w:r>
              <w:rPr>
                <w:rFonts w:ascii="Arial" w:cs="Arial" w:eastAsia="Arial" w:hAnsi="Arial"/>
                <w:sz w:val="16"/>
                <w:szCs w:val="16"/>
                <w:color w:val="auto"/>
              </w:rPr>
              <w:t>35.7%</w:t>
            </w:r>
          </w:p>
        </w:tc>
        <w:tc>
          <w:tcPr>
            <w:tcW w:w="2960" w:type="dxa"/>
            <w:vAlign w:val="bottom"/>
          </w:tcPr>
          <w:p>
            <w:pPr>
              <w:jc w:val="right"/>
              <w:ind w:right="2039"/>
              <w:spacing w:after="0"/>
              <w:rPr>
                <w:sz w:val="20"/>
                <w:szCs w:val="20"/>
                <w:color w:val="auto"/>
              </w:rPr>
            </w:pPr>
            <w:r>
              <w:rPr>
                <w:rFonts w:ascii="Arial" w:cs="Arial" w:eastAsia="Arial" w:hAnsi="Arial"/>
                <w:sz w:val="16"/>
                <w:szCs w:val="16"/>
                <w:color w:val="auto"/>
              </w:rPr>
              <w:t>32.2%</w:t>
            </w:r>
          </w:p>
        </w:tc>
      </w:tr>
      <w:tr>
        <w:trPr>
          <w:trHeight w:val="33"/>
        </w:trPr>
        <w:tc>
          <w:tcPr>
            <w:tcW w:w="2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Product margin %</w:t>
            </w:r>
          </w:p>
        </w:tc>
        <w:tc>
          <w:tcPr>
            <w:tcW w:w="16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32.7%</w:t>
            </w:r>
          </w:p>
        </w:tc>
        <w:tc>
          <w:tcPr>
            <w:tcW w:w="230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6"/>
                <w:szCs w:val="16"/>
                <w:color w:val="auto"/>
              </w:rPr>
              <w:t>37.7%</w:t>
            </w:r>
          </w:p>
        </w:tc>
        <w:tc>
          <w:tcPr>
            <w:tcW w:w="23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38.1%</w:t>
            </w:r>
          </w:p>
        </w:tc>
        <w:tc>
          <w:tcPr>
            <w:tcW w:w="2960" w:type="dxa"/>
            <w:vAlign w:val="bottom"/>
            <w:tcBorders>
              <w:bottom w:val="single" w:sz="8" w:color="CCEEFF"/>
            </w:tcBorders>
            <w:shd w:val="clear" w:color="auto" w:fill="CCEEFF"/>
          </w:tcPr>
          <w:p>
            <w:pPr>
              <w:jc w:val="right"/>
              <w:ind w:right="2039"/>
              <w:spacing w:after="0"/>
              <w:rPr>
                <w:sz w:val="20"/>
                <w:szCs w:val="20"/>
                <w:color w:val="auto"/>
              </w:rPr>
            </w:pPr>
            <w:r>
              <w:rPr>
                <w:rFonts w:ascii="Arial" w:cs="Arial" w:eastAsia="Arial" w:hAnsi="Arial"/>
                <w:sz w:val="16"/>
                <w:szCs w:val="16"/>
                <w:color w:val="auto"/>
              </w:rPr>
              <w:t>34.7%</w:t>
            </w:r>
          </w:p>
        </w:tc>
      </w:tr>
      <w:tr>
        <w:trPr>
          <w:trHeight w:val="237"/>
        </w:trPr>
        <w:tc>
          <w:tcPr>
            <w:tcW w:w="2180" w:type="dxa"/>
            <w:vAlign w:val="bottom"/>
          </w:tcPr>
          <w:p>
            <w:pPr>
              <w:ind w:left="200"/>
              <w:spacing w:after="0"/>
              <w:rPr>
                <w:sz w:val="20"/>
                <w:szCs w:val="20"/>
                <w:color w:val="auto"/>
              </w:rPr>
            </w:pPr>
            <w:r>
              <w:rPr>
                <w:rFonts w:ascii="Arial" w:cs="Arial" w:eastAsia="Arial" w:hAnsi="Arial"/>
                <w:sz w:val="16"/>
                <w:szCs w:val="16"/>
                <w:color w:val="auto"/>
              </w:rPr>
              <w:t>Service margin %</w:t>
            </w: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32.7%</w:t>
            </w:r>
          </w:p>
        </w:tc>
        <w:tc>
          <w:tcPr>
            <w:tcW w:w="2300" w:type="dxa"/>
            <w:vAlign w:val="bottom"/>
          </w:tcPr>
          <w:p>
            <w:pPr>
              <w:jc w:val="right"/>
              <w:ind w:right="1379"/>
              <w:spacing w:after="0"/>
              <w:rPr>
                <w:sz w:val="20"/>
                <w:szCs w:val="20"/>
                <w:color w:val="auto"/>
              </w:rPr>
            </w:pPr>
            <w:r>
              <w:rPr>
                <w:rFonts w:ascii="Arial" w:cs="Arial" w:eastAsia="Arial" w:hAnsi="Arial"/>
                <w:sz w:val="16"/>
                <w:szCs w:val="16"/>
                <w:color w:val="auto"/>
              </w:rPr>
              <w:t>28.9%</w:t>
            </w:r>
          </w:p>
        </w:tc>
        <w:tc>
          <w:tcPr>
            <w:tcW w:w="2320" w:type="dxa"/>
            <w:vAlign w:val="bottom"/>
          </w:tcPr>
          <w:p>
            <w:pPr>
              <w:jc w:val="right"/>
              <w:ind w:right="339"/>
              <w:spacing w:after="0"/>
              <w:rPr>
                <w:sz w:val="20"/>
                <w:szCs w:val="20"/>
                <w:color w:val="auto"/>
              </w:rPr>
            </w:pPr>
            <w:r>
              <w:rPr>
                <w:rFonts w:ascii="Arial" w:cs="Arial" w:eastAsia="Arial" w:hAnsi="Arial"/>
                <w:sz w:val="16"/>
                <w:szCs w:val="16"/>
                <w:color w:val="auto"/>
              </w:rPr>
              <w:t>31.7%</w:t>
            </w:r>
          </w:p>
        </w:tc>
        <w:tc>
          <w:tcPr>
            <w:tcW w:w="2960" w:type="dxa"/>
            <w:vAlign w:val="bottom"/>
          </w:tcPr>
          <w:p>
            <w:pPr>
              <w:jc w:val="right"/>
              <w:ind w:right="2039"/>
              <w:spacing w:after="0"/>
              <w:rPr>
                <w:sz w:val="20"/>
                <w:szCs w:val="20"/>
                <w:color w:val="auto"/>
              </w:rPr>
            </w:pPr>
            <w:r>
              <w:rPr>
                <w:rFonts w:ascii="Arial" w:cs="Arial" w:eastAsia="Arial" w:hAnsi="Arial"/>
                <w:sz w:val="16"/>
                <w:szCs w:val="16"/>
                <w:color w:val="auto"/>
              </w:rPr>
              <w:t>27.6%</w:t>
            </w:r>
          </w:p>
        </w:tc>
      </w:tr>
    </w:tbl>
    <w:p>
      <w:pPr>
        <w:spacing w:after="0" w:line="18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Gross margin for the second quarter of fiscal 2020 decreased by $4.2 million, or 18.5% compared with the same quarter of fiscal 2019. Our gross margin decreased from the prior-year quarter, primarily due to lower mix of product revenue and increased supply chain costs. Gross margin for the first six months of fiscal 2020 increased by $0.5 million, or 1.1%. For the first six months of fiscal 2020, gross margin improved over the same period in fiscal 2019 primarily due to a higher volume of business in North America and improved profit margin in that sector, offset in part by increased supply chain costs.</w:t>
      </w:r>
    </w:p>
    <w:p>
      <w:pPr>
        <w:spacing w:after="0" w:line="15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Product margin as a percentage of product revenue decreased in the second quarter of fiscal 2020 compared with the same quarter of fiscal 2019 primarily due to lower mix of product revenue and increased supply chain costs. Service margin as a percentage of service revenue increased in the second quarter of fiscal 2020 compared with the same period in fiscal 2019 due to higher margin rates for certain projects in our North America and international sectors.</w:t>
      </w:r>
    </w:p>
    <w:p>
      <w:pPr>
        <w:spacing w:after="0" w:line="18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Product margin and service margin as a percentage of product revenue improved in the first six months of fiscal 2020 compared with the same quarter of fiscal 2019 due to higher volume of business in North America and higher margin rates for certain projects, offset in part by increased supply chain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1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(In thousands, except percentages)</w:t>
            </w: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74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20" w:type="dxa"/>
            <w:vAlign w:val="bottom"/>
          </w:tcPr>
          <w:p>
            <w:pPr>
              <w:spacing w:after="0"/>
              <w:rPr>
                <w:sz w:val="13"/>
                <w:szCs w:val="13"/>
                <w:color w:val="auto"/>
              </w:rPr>
            </w:pPr>
          </w:p>
        </w:tc>
        <w:tc>
          <w:tcPr>
            <w:tcW w:w="76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100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4,978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5,316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(6.4)%  $</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10,194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10,253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226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research and development expenses decreased by $0.3 million, or 6.4%, in the second quarter of fiscal 2020 compared with the same quarter of fiscal 2019. The decrease was primarily due to timing of product development activities. Our research and development expenses were relatively flat for the first six months of fiscal 2020 compared to the first six months of fiscal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(In thousands, except percentages)</w:t>
            </w: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20" w:type="dxa"/>
            <w:vAlign w:val="bottom"/>
          </w:tcPr>
          <w:p>
            <w:pPr>
              <w:spacing w:after="0"/>
              <w:rPr>
                <w:sz w:val="13"/>
                <w:szCs w:val="13"/>
                <w:color w:val="auto"/>
              </w:rPr>
            </w:pPr>
          </w:p>
        </w:tc>
        <w:tc>
          <w:tcPr>
            <w:tcW w:w="76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76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96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14,457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14,291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  $</w:t>
            </w:r>
          </w:p>
        </w:tc>
        <w:tc>
          <w:tcPr>
            <w:tcW w:w="10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29,101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27,997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230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selling and administrative expenses increased by $0.2 million, or 1.2%, in the second quarter of fiscal 2020 compared with the same period in fiscal 2019. The increase was primarily due to higher variable compensation and other legal related costs. Our selling and administrative expenses increased by $1.1 million, or 3.9%, in the first six months of fiscal 2020 compared with the same period in fiscal 2019. The increase was primarily due to higher variable compensation and other legal related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20" w:type="dxa"/>
            <w:vAlign w:val="bottom"/>
          </w:tcPr>
          <w:p>
            <w:pPr>
              <w:spacing w:after="0"/>
              <w:rPr>
                <w:sz w:val="13"/>
                <w:szCs w:val="13"/>
                <w:color w:val="auto"/>
              </w:rPr>
            </w:pPr>
          </w:p>
        </w:tc>
        <w:tc>
          <w:tcPr>
            <w:tcW w:w="76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vMerge w:val="restart"/>
          </w:tcPr>
          <w:p>
            <w:pPr>
              <w:spacing w:after="0"/>
              <w:rPr>
                <w:sz w:val="13"/>
                <w:szCs w:val="13"/>
                <w:color w:val="auto"/>
              </w:rPr>
            </w:pP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76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96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1,558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33"/>
        </w:trPr>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are expected to be fully paid in fiscal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(In thousands, except percentages)</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119.1 %</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bank certificates of deposit.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was primarily related to interest associated with borrowings under the SVB Credit Facility and discounts on customer letters of credit.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1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(In thousands, except percentages)</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28,</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(Loss) income before income taxes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Provision for (benefit from)</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7"/>
                <w:szCs w:val="17"/>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7"/>
                <w:szCs w:val="17"/>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(1,134.3)%</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tax expense for the first six months of fiscal 2020 was primarily due to tax expense related to profitable subsidiaries and a $0.6 million increase in our reserves for uncertain tax positions. During the first quarter of fiscal 2019, we recorded a net discrete tax benefit of $1.6 million for the release of valuation allowance on a deferred tax asset recorded for $1.9 million of refundable withholding tax credit to be received from the Department of Federal Revenue of Brazil, less tax expense of $0.3 million from recognizing an ASC 740-10 reserve previously recorded as a reduction against the deferred tax for the withholding tax credit.</w:t>
      </w:r>
    </w:p>
    <w:p>
      <w:pPr>
        <w:spacing w:after="0" w:line="13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continue to record a partial valuation allowance on our U.S. deferred tax assets which primarily represent future income tax benefits associated with our operating losses. 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(benefit) and a material increase or decrease in net income in the period in which we change our judgment. During the second quarter of fiscal 2020, we did not record any adjustment to valuation allowance on our U.S.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27, 2019, our total cash and cash equivalents were $38.1 million. Approximately $18.7 million, or 49.1%, was held in the United States. The remaining balance of $19.4 million, or 50.9%, was held by entities outside the United States. Of the amount of cash and cash equivalents held by our foreign subsidiaries at December 27, 2019, $18.7 million was held in jurisdictions where our undistributed earnings are indefinitely reinvested, and if repatriated, would be subject to foreign withholding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Cash provided by or used in operating activities is presented as net (loss) income adjusted for non-cash items and changes in operating assets and liabilities. Net cash provided by operating activities was $10.8 million for the first six months of fiscal 2020, compared to cash used in operating activities of $0.6 million for the first six months of fiscal 2019 primarily related to a net change in deferred tax expense. The net contribution of non-cash items decreased cash by $0.6 million and net changes in operating assets and liabilities increased cash by $15.1 million for the first six months of fiscal 2020 as compared to the same period in fiscal 2019.</w:t>
      </w:r>
    </w:p>
    <w:p>
      <w:pPr>
        <w:spacing w:after="0" w:line="13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Changes in operating assets and liabilities resulted in a net increase of $15.1 million to cash for the first six months of fiscal 2020, compared to the same period in 2019. Accounts receivable and unbilled costs fluctuate from period to period, depending on the amount, timing of sales and billing activities and cash collections. The fluctuations in accounts payable and accrued expenses were primarily due to the timing of liabilities incurred and vendor payments. The change in inventories and in customer service inventories were primarily due to demand and our focus on improving our inventory management. The increase in customer advance payments and unearned revenue was due to the timing of payment from customers and revenue recognition. We used $1.0 million in cash during the first six months of fiscal 2020 on expenses related to restructuring liabilities.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Net cash used in investing activities was $2.4 million and $3.2 million for the first six months of fiscal 2020 and 2019, respectively, which consisted of capital expenditures. During the remainder of fiscal year 2020, we expect to spend approximately $3.6 million for capital expenditures, primarily on equipment for development and manufacturing of new products and to support customer managed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Financing cash flows consist primarily of proceeds and repayments of short-term debt, repurchase of stock and proceeds from sale of share of common stock through employee equity plans. Net cash used in financing activities was $2.1 million for the first six months of fiscal 2020, primarily due to $1.4 million for repurchases of our common stock and a $0.7 million payment for taxes related to the net settlement of equity awards.</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December 27, 2019, our principal sources of liquidity consisted of $38.1 million in cash and cash equivalents; $14.5 million of available credit under our $25.0 million SVB Credit Facility, which expires on June 29, 2020;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29, 2020.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27, 2019, we were in compliance with the quarterly financial covenants, as amended, contained in the SVB Credit Facility. The $9.0 million borrowing was classified as a current liability as of December 27, 2019 and June 28, 2019 and repaid in January 2020 and July 2019, respectively.</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have an uncommitted short-term line of credit of $0.3 million from a bank in New Zealand to support the operations of our subsidiary located there. This line of credit provides for $0.2 million in short-term advances at various interest rates, all of which was available as of December 27, 2019 and June 28, 2019. The line of credit also provides for the issuance of standby letters of credit and company credit cards, of which $0.1 million was outstanding as of December 27, 2019. This facility may be terminated upon notice, is reviewed annually for renewal or modification, and is supported by a corporate guarantee.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liabilities for restructuring activities totaling $1.9 million as of December 27, 2019, $1.7 million of which was classified as current liabilities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amounts disclosed in our fiscal 2019 Annual Report on Form 10-K filed with the SEC on August 27, 2019 include our commercial commitments and contractual obligations. During the first six months of fiscal 2020, no material changes occurred in our contractual obligations to purchase goods and services and to make payments under operating leases or our contingent liabilities on outstanding letters of credit, guarantees, and other arrangements as disclosed in our fiscal 2019 Annual Report on Form 10-K. As of December 27, 2019, we had commercial commitments of $61.2 million outstanding that were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19" w:right="2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recorded on our unaudited condensed consolidated balance sheets. Please refer to “Note 12 Commitments and Contingencies” of the Notes to unaudited condensed consolidated financial statements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2019 Annual Report on Form 10-K other than for the impact of adopting new lease accounting standards.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As a result, the foreign exchange hedges no longer qualified as cash flow hedges. The changes in fair value related to the hedges were recorded in income or expenses line items on our statements of operations.</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27, 2019, we had no foreign currency forward contracts outstanding. Net foreign exchange income (loss), net recorded in our unaudited condensed consolidated statements of operations during the three and six months ended December 27, 2019 and December 28, 2018 was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220" w:type="dxa"/>
            <w:vAlign w:val="bottom"/>
          </w:tcPr>
          <w:p>
            <w:pPr>
              <w:spacing w:after="0"/>
              <w:rPr>
                <w:sz w:val="13"/>
                <w:szCs w:val="13"/>
                <w:color w:val="auto"/>
              </w:rPr>
            </w:pP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for the first six months of fiscal 2020 was $0.1 million and was included as a component of stockholders’ equity. As of December 27, 2019 and June 28, 2019, the cumulative translation adjustment decreased our equity by $12.8 million and $12.7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$38.1 million in total cash and cash equivalents as of December 27, 2019. Cash equivalents totaled $22.7 million as of December 27, 2019 and were comprised of money market funds and bank certificates of deposit. Cash equivalents investments have been recorded at fair value on our balance sheet.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19" w:right="239" w:bottom="1440" w:gutter="0" w:footer="0" w:header="0"/>
        </w:sectPr>
      </w:pPr>
    </w:p>
    <w:bookmarkStart w:id="31" w:name="page32"/>
    <w:bookmarkEnd w:id="31"/>
    <w:p>
      <w:pPr>
        <w:jc w:val="both"/>
        <w:ind w:firstLine="486"/>
        <w:spacing w:after="0" w:line="259" w:lineRule="auto"/>
        <w:rPr>
          <w:sz w:val="20"/>
          <w:szCs w:val="20"/>
          <w:color w:val="auto"/>
        </w:rPr>
      </w:pPr>
      <w:r>
        <w:rPr>
          <w:rFonts w:ascii="Arial" w:cs="Arial" w:eastAsia="Arial" w:hAnsi="Arial"/>
          <w:sz w:val="18"/>
          <w:szCs w:val="18"/>
          <w:color w:val="auto"/>
        </w:rPr>
        <w:t>Our cash equivalents earn interest at fixed rates; therefore, changes in interest rates will not generate a gain or loss on these investments unless they are sold prior to maturity. The weighted-average days to maturity for cash equivalents held as of December 27, 2019 was 26.5 days, and these investments had an average yield of approximately 6.38% per annum. A 10% change in interest rates on our cash equivalents is not expected to have a material impact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borrowings outstanding under the SVB Credit Facility incurred interest at the prime rate plus a spread of 0.50% to 1.50% with such spread determined based on our adjusted quick ratio. During the first six months of fiscal 2020, our weighted-average interest rate was 5.46%, and the interest expense on these borrowings was insignificant.</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Based on management’s evaluation, with participation of our President and Chief Executive Officer (“CEO”), and Chief Operating Officer and Principal Financial Officer (“PFO”), as of the end of the period covered by this report, our CEO and PFO has concluded that our disclosure controls and procedures, as defined in Rules 13a-15(e) and 15d-15(e) under the Exchange Act, as of December 27, 2019,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CEO and PFO, as appropriate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There were no changes to our internal controls over financial reporting as defined in Rules 13a-15(f) or 15d-15(f) that occurred during the quarter ended December 27, 2019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including our CEO and PFO,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19" w:right="239" w:bottom="1440" w:gutter="0" w:footer="0" w:header="0"/>
        </w:sectPr>
      </w:pPr>
    </w:p>
    <w:bookmarkStart w:id="32" w:name="page33"/>
    <w:bookmarkEnd w:id="32"/>
    <w:p>
      <w:pPr>
        <w:jc w:val="center"/>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Please refer to Legal Proceedings under “Note 12 Commitments and Contingencies” of the Notes to unaudited condensed consolidated financial statements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2019 Annual Report on Form 10-K filed with the SEC on August 27, 2019.</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2019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stock repurchases for the three months ended December 27,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Shares Repurchased as</w:t>
            </w: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Repurchased Under</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Average Price Paid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1560" w:type="dxa"/>
            <w:vAlign w:val="bottom"/>
          </w:tcPr>
          <w:p>
            <w:pPr>
              <w:jc w:val="center"/>
              <w:ind w:right="39"/>
              <w:spacing w:after="0" w:line="203"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10"/>
        </w:trPr>
        <w:tc>
          <w:tcPr>
            <w:tcW w:w="4480" w:type="dxa"/>
            <w:vAlign w:val="bottom"/>
            <w:gridSpan w:val="2"/>
          </w:tcPr>
          <w:p>
            <w:pPr>
              <w:ind w:left="1960"/>
              <w:spacing w:after="0"/>
              <w:rPr>
                <w:sz w:val="20"/>
                <w:szCs w:val="20"/>
                <w:color w:val="auto"/>
              </w:rPr>
            </w:pPr>
            <w:r>
              <w:rPr>
                <w:rFonts w:ascii="Arial" w:cs="Arial" w:eastAsia="Arial" w:hAnsi="Arial"/>
                <w:sz w:val="16"/>
                <w:szCs w:val="16"/>
                <w:b w:val="1"/>
                <w:bCs w:val="1"/>
                <w:color w:val="auto"/>
              </w:rPr>
              <w:t>Period</w:t>
            </w:r>
          </w:p>
        </w:tc>
        <w:tc>
          <w:tcPr>
            <w:tcW w:w="1720" w:type="dxa"/>
            <w:vAlign w:val="bottom"/>
          </w:tcPr>
          <w:p>
            <w:pPr>
              <w:jc w:val="right"/>
              <w:ind w:right="319"/>
              <w:spacing w:after="0"/>
              <w:rPr>
                <w:sz w:val="20"/>
                <w:szCs w:val="20"/>
                <w:color w:val="auto"/>
              </w:rPr>
            </w:pPr>
            <w:r>
              <w:rPr>
                <w:rFonts w:ascii="Arial" w:cs="Arial" w:eastAsia="Arial" w:hAnsi="Arial"/>
                <w:sz w:val="16"/>
                <w:szCs w:val="16"/>
                <w:b w:val="1"/>
                <w:bCs w:val="1"/>
                <w:color w:val="auto"/>
              </w:rPr>
              <w:t>Repurchased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per Share</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Announced Program</w:t>
            </w: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28, 2019 through October 25,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17,785</w:t>
            </w:r>
          </w:p>
        </w:tc>
        <w:tc>
          <w:tcPr>
            <w:tcW w:w="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4,187</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October 26, 2019 through November 22, 2019</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15,099</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15,099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3,973</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November 23, 2019 through December 27, 2019</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13,203</w:t>
            </w:r>
          </w:p>
        </w:tc>
        <w:tc>
          <w:tcPr>
            <w:tcW w:w="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3,786</w:t>
            </w:r>
          </w:p>
        </w:tc>
      </w:tr>
      <w:tr>
        <w:trPr>
          <w:trHeight w:val="244"/>
        </w:trPr>
        <w:tc>
          <w:tcPr>
            <w:tcW w:w="448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46,087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Stock Repurchase Programs</w:t>
      </w:r>
    </w:p>
    <w:p>
      <w:pPr>
        <w:spacing w:after="0" w:line="14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May 2018, our board of directors approved a repurchase program, which does not have an expiration date, for the repurchase of up to $7.5 million of our common stock. During the three months ended December 27, 2019, we repurchased $0.7 million of our common stock in the open market. As of December 27, 2019, $3.8 million remained available under our stock repurchase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38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40" w:type="dxa"/>
            <w:vAlign w:val="bottom"/>
            <w:gridSpan w:val="13"/>
          </w:tcPr>
          <w:p>
            <w:pPr>
              <w:ind w:left="180"/>
              <w:spacing w:after="0"/>
              <w:rPr>
                <w:sz w:val="20"/>
                <w:szCs w:val="20"/>
                <w:color w:val="auto"/>
              </w:rPr>
            </w:pPr>
            <w:r>
              <w:rPr>
                <w:rFonts w:ascii="Arial" w:cs="Arial" w:eastAsia="Arial" w:hAnsi="Arial"/>
                <w:sz w:val="14"/>
                <w:szCs w:val="14"/>
                <w:b w:val="1"/>
                <w:bCs w:val="1"/>
                <w:color w:val="auto"/>
              </w:rPr>
              <w:t>Descriptions</w:t>
            </w:r>
          </w:p>
        </w:tc>
      </w:tr>
      <w:tr>
        <w:trPr>
          <w:trHeight w:val="202"/>
        </w:trPr>
        <w:tc>
          <w:tcPr>
            <w:tcW w:w="1160" w:type="dxa"/>
            <w:vAlign w:val="bottom"/>
            <w:tcBorders>
              <w:top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120" w:type="dxa"/>
            <w:vAlign w:val="bottom"/>
            <w:tcBorders>
              <w:top w:val="single" w:sz="8" w:color="auto"/>
            </w:tcBorders>
            <w:gridSpan w:val="17"/>
            <w:shd w:val="clear" w:color="auto" w:fill="CCEEFF"/>
          </w:tcPr>
          <w:p>
            <w:pPr>
              <w:spacing w:after="0" w:line="202" w:lineRule="exact"/>
              <w:rPr>
                <w:rFonts w:ascii="Arial" w:cs="Arial" w:eastAsia="Arial" w:hAnsi="Arial"/>
                <w:sz w:val="18"/>
                <w:szCs w:val="18"/>
                <w:color w:val="0000FF"/>
                <w:w w:val="94"/>
              </w:rPr>
            </w:pPr>
            <w:hyperlink r:id="rId18">
              <w:r>
                <w:rPr>
                  <w:rFonts w:ascii="Arial" w:cs="Arial" w:eastAsia="Arial" w:hAnsi="Arial"/>
                  <w:sz w:val="18"/>
                  <w:szCs w:val="18"/>
                  <w:color w:val="0000FF"/>
                  <w:w w:val="94"/>
                </w:rPr>
                <w:t>Amended and Restated Certificate of Incorporation of Aviat Networks, Inc., as amended (incorporated by reference to Exhibit 3.1 to the</w:t>
              </w:r>
            </w:hyperlink>
          </w:p>
        </w:tc>
      </w:tr>
      <w:tr>
        <w:trPr>
          <w:trHeight w:val="244"/>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70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Current Report on Form 10-Q filed with the SEC on February 10, 2017, File No. 001-33278)</w:t>
              </w:r>
            </w:hyperlink>
          </w:p>
        </w:tc>
        <w:tc>
          <w:tcPr>
            <w:tcW w:w="308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6"/>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202"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Amended and Restated Bylaws of Aviat Networks, Inc. (incorporated by reference to Exhibit 3.2 to the Current Report on Form 8-K filed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with the SEC on October 2, 2015, File No. 001-33278)</w:t>
              </w:r>
            </w:hyperlink>
          </w:p>
        </w:tc>
        <w:tc>
          <w:tcPr>
            <w:tcW w:w="220" w:type="dxa"/>
            <w:vAlign w:val="bottom"/>
            <w:gridSpan w:val="5"/>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2C28FF"/>
            </w:tcBorders>
            <w:gridSpan w:val="16"/>
            <w:shd w:val="clear" w:color="auto" w:fill="CCEEFF"/>
          </w:tcPr>
          <w:p>
            <w:pPr>
              <w:spacing w:after="0" w:line="202" w:lineRule="exact"/>
              <w:rPr>
                <w:sz w:val="20"/>
                <w:szCs w:val="20"/>
                <w:color w:val="auto"/>
              </w:rPr>
            </w:pPr>
            <w:r>
              <w:rPr>
                <w:rFonts w:ascii="Arial" w:cs="Arial" w:eastAsia="Arial" w:hAnsi="Arial"/>
                <w:sz w:val="18"/>
                <w:szCs w:val="18"/>
                <w:color w:val="2C28FF"/>
                <w:w w:val="91"/>
              </w:rPr>
              <w:t>Amendment of the Bylaws of the Company (incorporated by reference to Exhibit 3.1 to the Current Report on Form 8-K filed with the SEC</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7"/>
            <w:shd w:val="clear" w:color="auto" w:fill="CCEEFF"/>
          </w:tcPr>
          <w:p>
            <w:pPr>
              <w:spacing w:after="0" w:line="196" w:lineRule="exact"/>
              <w:rPr>
                <w:sz w:val="20"/>
                <w:szCs w:val="20"/>
                <w:color w:val="auto"/>
              </w:rPr>
            </w:pPr>
            <w:r>
              <w:rPr>
                <w:rFonts w:ascii="Arial" w:cs="Arial" w:eastAsia="Arial" w:hAnsi="Arial"/>
                <w:sz w:val="18"/>
                <w:szCs w:val="18"/>
                <w:color w:val="2C28FF"/>
              </w:rPr>
              <w:t>on September 20, 2019, File No. 001-33278)</w:t>
            </w: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2C28FF"/>
            </w:tcBorders>
            <w:shd w:val="clear" w:color="auto" w:fill="CCEEFF"/>
          </w:tcPr>
          <w:p>
            <w:pPr>
              <w:spacing w:after="0"/>
              <w:rPr>
                <w:sz w:val="4"/>
                <w:szCs w:val="4"/>
                <w:color w:val="auto"/>
              </w:rPr>
            </w:pPr>
          </w:p>
        </w:tc>
        <w:tc>
          <w:tcPr>
            <w:tcW w:w="2720" w:type="dxa"/>
            <w:vAlign w:val="bottom"/>
            <w:tcBorders>
              <w:top w:val="single" w:sz="8" w:color="2C28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0000FF"/>
            </w:tcBorders>
            <w:gridSpan w:val="10"/>
          </w:tcPr>
          <w:p>
            <w:pPr>
              <w:spacing w:after="0" w:line="202"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Tax Benefit Preservation Plan, dated as of September 6, 2016, by and between Aviat Networks, Inc. and Computershare Inc., as Rights</w:t>
              </w:r>
            </w:hyperlink>
          </w:p>
        </w:tc>
        <w:tc>
          <w:tcPr>
            <w:tcW w:w="42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Agent (incorporated by reference to Exhibit 4.1 to the Current Report on Form 8-K filed with the SEC on September 7, 2016, File No. 011-</w:t>
              </w:r>
            </w:hyperlink>
          </w:p>
        </w:tc>
        <w:tc>
          <w:tcPr>
            <w:tcW w:w="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3"/>
          </w:tcPr>
          <w:p>
            <w:pPr>
              <w:ind w:left="40"/>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33278)</w:t>
              </w:r>
            </w:hyperlink>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Aviat Networks, Inc. 2018 Incentive Plan (incorporated by reference to Appendix A to the Registrant’s Proxy Statement on Schedule 14A</w:t>
              </w:r>
            </w:hyperlink>
          </w:p>
        </w:tc>
        <w:tc>
          <w:tcPr>
            <w:tcW w:w="2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7"/>
            <w:shd w:val="clear" w:color="auto" w:fill="CCEEFF"/>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filed with the SEC on February 12, 2018, File No. 001-33278)</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7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4"/>
          </w:tcPr>
          <w:p>
            <w:pPr>
              <w:spacing w:after="0" w:line="202"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Employment Agreement, dated January 2, 2020, between Aviat Networks, Inc. and Peter Smith (incorporated by reference to Exhibit 10.1</w:t>
              </w:r>
            </w:hyperlink>
          </w:p>
        </w:tc>
        <w:tc>
          <w:tcPr>
            <w:tcW w:w="18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to the Current Report on Form 8-K filed with the SEC on January 2, 2020, File No. 001-33278)</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1"/>
              </w:rPr>
            </w:pPr>
            <w:hyperlink w:anchor="page37">
              <w:r>
                <w:rPr>
                  <w:rFonts w:ascii="Arial" w:cs="Arial" w:eastAsia="Arial" w:hAnsi="Arial"/>
                  <w:sz w:val="18"/>
                  <w:szCs w:val="18"/>
                  <w:color w:val="0000FF"/>
                  <w:w w:val="91"/>
                </w:rPr>
                <w:t>Rule 13a-14(a)/15d-14(a) Certification of President and Chief Executive Officer</w:t>
              </w:r>
            </w:hyperlink>
          </w:p>
        </w:tc>
        <w:tc>
          <w:tcPr>
            <w:tcW w:w="4340" w:type="dxa"/>
            <w:vAlign w:val="bottom"/>
            <w:tcBorders>
              <w:bottom w:val="single" w:sz="8" w:color="CCEEFF"/>
            </w:tcBorders>
            <w:gridSpan w:val="12"/>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Rule 13a-14(a)/15d-14(a) Certification of Chief Operating Officer and Principal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7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3"/>
              </w:rPr>
            </w:pPr>
            <w:hyperlink w:anchor="page39">
              <w:r>
                <w:rPr>
                  <w:rFonts w:ascii="Arial" w:cs="Arial" w:eastAsia="Arial" w:hAnsi="Arial"/>
                  <w:sz w:val="18"/>
                  <w:szCs w:val="18"/>
                  <w:color w:val="0000FF"/>
                  <w:w w:val="93"/>
                </w:rPr>
                <w:t>Section 1350 Certification of Chief Executive Officer and Principal Financial Officer</w:t>
              </w:r>
            </w:hyperlink>
          </w:p>
        </w:tc>
        <w:tc>
          <w:tcPr>
            <w:tcW w:w="3980" w:type="dxa"/>
            <w:vAlign w:val="bottom"/>
            <w:tcBorders>
              <w:bottom w:val="single" w:sz="8" w:color="CCEEFF"/>
            </w:tcBorders>
            <w:gridSpan w:val="11"/>
            <w:shd w:val="clear" w:color="auto" w:fill="CCEEFF"/>
          </w:tcPr>
          <w:p>
            <w:pPr>
              <w:spacing w:after="0"/>
              <w:rPr>
                <w:sz w:val="21"/>
                <w:szCs w:val="21"/>
                <w:color w:val="auto"/>
              </w:rPr>
            </w:pP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1"/>
                <w:szCs w:val="21"/>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1"/>
                <w:szCs w:val="21"/>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1"/>
                <w:szCs w:val="21"/>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gridSpan w:val="6"/>
          </w:tcPr>
          <w:p>
            <w:pPr>
              <w:jc w:val="right"/>
              <w:ind w:right="1208"/>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04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Walter Stanley Gallagher, Jr.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Operating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Senior Vice President, Corporate Controller and Principal Accounting</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6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900" w:type="dxa"/>
            <w:vAlign w:val="bottom"/>
            <w:gridSpan w:val="15"/>
          </w:tcPr>
          <w:p>
            <w:pPr>
              <w:jc w:val="center"/>
              <w:ind w:right="4500"/>
              <w:spacing w:after="0"/>
              <w:rPr>
                <w:sz w:val="20"/>
                <w:szCs w:val="20"/>
                <w:color w:val="auto"/>
              </w:rPr>
            </w:pPr>
            <w:r>
              <w:rPr>
                <w:rFonts w:ascii="Arial" w:cs="Arial" w:eastAsia="Arial" w:hAnsi="Arial"/>
                <w:sz w:val="18"/>
                <w:szCs w:val="18"/>
                <w:b w:val="1"/>
                <w:bCs w:val="1"/>
                <w:color w:val="auto"/>
              </w:rPr>
              <w:t>EXHIBIT INDEX</w:t>
            </w:r>
          </w:p>
        </w:tc>
      </w:tr>
      <w:tr>
        <w:trPr>
          <w:trHeight w:val="615"/>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13"/>
          </w:tcPr>
          <w:p>
            <w:pPr>
              <w:ind w:left="180"/>
              <w:spacing w:after="0"/>
              <w:rPr>
                <w:sz w:val="20"/>
                <w:szCs w:val="20"/>
                <w:color w:val="auto"/>
              </w:rPr>
            </w:pPr>
            <w:r>
              <w:rPr>
                <w:rFonts w:ascii="Arial" w:cs="Arial" w:eastAsia="Arial" w:hAnsi="Arial"/>
                <w:sz w:val="14"/>
                <w:szCs w:val="14"/>
                <w:b w:val="1"/>
                <w:bCs w:val="1"/>
                <w:color w:val="auto"/>
              </w:rPr>
              <w:t>Descriptions</w:t>
            </w:r>
          </w:p>
        </w:tc>
      </w:tr>
      <w:tr>
        <w:trPr>
          <w:trHeight w:val="202"/>
        </w:trPr>
        <w:tc>
          <w:tcPr>
            <w:tcW w:w="1160" w:type="dxa"/>
            <w:vAlign w:val="bottom"/>
            <w:tcBorders>
              <w:top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120" w:type="dxa"/>
            <w:vAlign w:val="bottom"/>
            <w:tcBorders>
              <w:top w:val="single" w:sz="8" w:color="auto"/>
            </w:tcBorders>
            <w:gridSpan w:val="17"/>
            <w:shd w:val="clear" w:color="auto" w:fill="CCEEFF"/>
          </w:tcPr>
          <w:p>
            <w:pPr>
              <w:spacing w:after="0" w:line="202" w:lineRule="exact"/>
              <w:rPr>
                <w:rFonts w:ascii="Arial" w:cs="Arial" w:eastAsia="Arial" w:hAnsi="Arial"/>
                <w:sz w:val="18"/>
                <w:szCs w:val="18"/>
                <w:color w:val="0000EE"/>
                <w:w w:val="94"/>
              </w:rPr>
            </w:pPr>
            <w:hyperlink r:id="rId18">
              <w:r>
                <w:rPr>
                  <w:rFonts w:ascii="Arial" w:cs="Arial" w:eastAsia="Arial" w:hAnsi="Arial"/>
                  <w:sz w:val="18"/>
                  <w:szCs w:val="18"/>
                  <w:color w:val="0000EE"/>
                  <w:w w:val="94"/>
                </w:rPr>
                <w:t>Amended and Restated Certificate of Incorporation of Aviat Networks, Inc., as amended (incorporated by reference to Exhibit 3.1 to the</w:t>
              </w:r>
            </w:hyperlink>
          </w:p>
        </w:tc>
      </w:tr>
      <w:tr>
        <w:trPr>
          <w:trHeight w:val="244"/>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70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Current Report on Form 10-Q filed with the SEC on February 10, 2017, File No. 001-33278)</w:t>
              </w:r>
            </w:hyperlink>
          </w:p>
        </w:tc>
        <w:tc>
          <w:tcPr>
            <w:tcW w:w="3080" w:type="dxa"/>
            <w:vAlign w:val="bottom"/>
            <w:tcBorders>
              <w:top w:val="single" w:sz="8" w:color="0000EE"/>
              <w:bottom w:val="single" w:sz="8" w:color="CCEEFF"/>
            </w:tcBorders>
            <w:gridSpan w:val="4"/>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6"/>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202" w:lineRule="exact"/>
              <w:rPr>
                <w:rFonts w:ascii="Arial" w:cs="Arial" w:eastAsia="Arial" w:hAnsi="Arial"/>
                <w:sz w:val="18"/>
                <w:szCs w:val="18"/>
                <w:color w:val="0000EE"/>
                <w:w w:val="93"/>
              </w:rPr>
            </w:pPr>
            <w:hyperlink r:id="rId19">
              <w:r>
                <w:rPr>
                  <w:rFonts w:ascii="Arial" w:cs="Arial" w:eastAsia="Arial" w:hAnsi="Arial"/>
                  <w:sz w:val="18"/>
                  <w:szCs w:val="18"/>
                  <w:color w:val="0000EE"/>
                  <w:w w:val="93"/>
                </w:rPr>
                <w:t>Amended and Restated Bylaws of Aviat Networks, Inc. (incorporated by reference to Exhibit 3.2 to the Current Report on Form 8-K filed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with the SEC on October 2, 2015, File No. 001-33278)</w:t>
              </w:r>
            </w:hyperlink>
          </w:p>
        </w:tc>
        <w:tc>
          <w:tcPr>
            <w:tcW w:w="220" w:type="dxa"/>
            <w:vAlign w:val="bottom"/>
            <w:gridSpan w:val="5"/>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2C28FF"/>
            </w:tcBorders>
            <w:gridSpan w:val="16"/>
            <w:shd w:val="clear" w:color="auto" w:fill="CCEEFF"/>
          </w:tcPr>
          <w:p>
            <w:pPr>
              <w:spacing w:after="0" w:line="202" w:lineRule="exact"/>
              <w:rPr>
                <w:sz w:val="20"/>
                <w:szCs w:val="20"/>
                <w:color w:val="auto"/>
              </w:rPr>
            </w:pPr>
            <w:r>
              <w:rPr>
                <w:rFonts w:ascii="Arial" w:cs="Arial" w:eastAsia="Arial" w:hAnsi="Arial"/>
                <w:sz w:val="18"/>
                <w:szCs w:val="18"/>
                <w:color w:val="2C28FF"/>
                <w:w w:val="91"/>
              </w:rPr>
              <w:t>Amendment of the Bylaws of the Company (incorporated by reference to Exhibit 3.1 to the Current Report on Form 8-K filed with the SEC</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7"/>
            <w:shd w:val="clear" w:color="auto" w:fill="CCEEFF"/>
          </w:tcPr>
          <w:p>
            <w:pPr>
              <w:spacing w:after="0" w:line="196" w:lineRule="exact"/>
              <w:rPr>
                <w:sz w:val="20"/>
                <w:szCs w:val="20"/>
                <w:color w:val="auto"/>
              </w:rPr>
            </w:pPr>
            <w:r>
              <w:rPr>
                <w:rFonts w:ascii="Arial" w:cs="Arial" w:eastAsia="Arial" w:hAnsi="Arial"/>
                <w:sz w:val="18"/>
                <w:szCs w:val="18"/>
                <w:color w:val="2C28FF"/>
              </w:rPr>
              <w:t>on September 20, 2019, File No. 001-33278)</w:t>
            </w: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2C28FF"/>
            </w:tcBorders>
            <w:shd w:val="clear" w:color="auto" w:fill="CCEEFF"/>
          </w:tcPr>
          <w:p>
            <w:pPr>
              <w:spacing w:after="0"/>
              <w:rPr>
                <w:sz w:val="4"/>
                <w:szCs w:val="4"/>
                <w:color w:val="auto"/>
              </w:rPr>
            </w:pPr>
          </w:p>
        </w:tc>
        <w:tc>
          <w:tcPr>
            <w:tcW w:w="2720" w:type="dxa"/>
            <w:vAlign w:val="bottom"/>
            <w:tcBorders>
              <w:top w:val="single" w:sz="8" w:color="2C28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bottom w:val="single" w:sz="8" w:color="2B32FF"/>
            </w:tcBorders>
            <w:gridSpan w:val="10"/>
          </w:tcPr>
          <w:p>
            <w:pPr>
              <w:spacing w:after="0" w:line="202" w:lineRule="exact"/>
              <w:rPr>
                <w:rFonts w:ascii="Arial" w:cs="Arial" w:eastAsia="Arial" w:hAnsi="Arial"/>
                <w:sz w:val="18"/>
                <w:szCs w:val="18"/>
                <w:color w:val="2B32FF"/>
                <w:w w:val="89"/>
              </w:rPr>
            </w:pPr>
            <w:hyperlink r:id="rId20">
              <w:r>
                <w:rPr>
                  <w:rFonts w:ascii="Arial" w:cs="Arial" w:eastAsia="Arial" w:hAnsi="Arial"/>
                  <w:sz w:val="18"/>
                  <w:szCs w:val="18"/>
                  <w:color w:val="2B32FF"/>
                  <w:w w:val="89"/>
                </w:rPr>
                <w:t>Tax Benefit Preservation Plan, dated as of September 6, 2016, by and between Aviat Networks, Inc. and Computershare Inc., as Rights</w:t>
              </w:r>
            </w:hyperlink>
          </w:p>
        </w:tc>
        <w:tc>
          <w:tcPr>
            <w:tcW w:w="42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2B32FF"/>
            </w:tcBorders>
            <w:gridSpan w:val="15"/>
          </w:tcPr>
          <w:p>
            <w:pPr>
              <w:spacing w:after="0" w:line="196" w:lineRule="exact"/>
              <w:rPr>
                <w:rFonts w:ascii="Arial" w:cs="Arial" w:eastAsia="Arial" w:hAnsi="Arial"/>
                <w:sz w:val="18"/>
                <w:szCs w:val="18"/>
                <w:color w:val="2B32FF"/>
                <w:w w:val="91"/>
              </w:rPr>
            </w:pPr>
            <w:hyperlink r:id="rId20">
              <w:r>
                <w:rPr>
                  <w:rFonts w:ascii="Arial" w:cs="Arial" w:eastAsia="Arial" w:hAnsi="Arial"/>
                  <w:sz w:val="18"/>
                  <w:szCs w:val="18"/>
                  <w:color w:val="2B32FF"/>
                  <w:w w:val="91"/>
                </w:rPr>
                <w:t>Agent (incorporated by reference to Exhibit 4.1 to the Current Report on Form 8-K filed with the SEC on September 7, 2016, File No. 011-</w:t>
              </w:r>
            </w:hyperlink>
          </w:p>
        </w:tc>
        <w:tc>
          <w:tcPr>
            <w:tcW w:w="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gridSpan w:val="3"/>
          </w:tcPr>
          <w:p>
            <w:pPr>
              <w:ind w:left="40"/>
              <w:spacing w:after="0" w:line="196" w:lineRule="exact"/>
              <w:rPr>
                <w:rFonts w:ascii="Arial" w:cs="Arial" w:eastAsia="Arial" w:hAnsi="Arial"/>
                <w:sz w:val="18"/>
                <w:szCs w:val="18"/>
                <w:color w:val="2B32FF"/>
              </w:rPr>
            </w:pPr>
            <w:hyperlink r:id="rId20">
              <w:r>
                <w:rPr>
                  <w:rFonts w:ascii="Arial" w:cs="Arial" w:eastAsia="Arial" w:hAnsi="Arial"/>
                  <w:sz w:val="18"/>
                  <w:szCs w:val="18"/>
                  <w:color w:val="2B32FF"/>
                </w:rPr>
                <w:t>33278)</w:t>
              </w:r>
            </w:hyperlink>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2B32FF"/>
            </w:tcBorders>
          </w:tcPr>
          <w:p>
            <w:pPr>
              <w:spacing w:after="0"/>
              <w:rPr>
                <w:sz w:val="4"/>
                <w:szCs w:val="4"/>
                <w:color w:val="auto"/>
              </w:rPr>
            </w:pPr>
          </w:p>
        </w:tc>
        <w:tc>
          <w:tcPr>
            <w:tcW w:w="2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92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Aviat Networks, Inc. 2018 Incentive Plan (incorporated by reference to Appendix A to the Registrant’s Proxy Statement on Schedule 14A</w:t>
              </w:r>
            </w:hyperlink>
          </w:p>
        </w:tc>
        <w:tc>
          <w:tcPr>
            <w:tcW w:w="2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7"/>
            <w:shd w:val="clear" w:color="auto" w:fill="CCEEFF"/>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filed with the SEC on February 12, 2018, File No. 001-33278)</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272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EE"/>
            </w:tcBorders>
            <w:gridSpan w:val="14"/>
          </w:tcPr>
          <w:p>
            <w:pPr>
              <w:spacing w:after="0" w:line="202"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Employment Agreement, dated January 2, 2020, between Aviat Networks, Inc. and Peter Smith (incorporated by reference to Exhibit 10.1</w:t>
              </w:r>
            </w:hyperlink>
          </w:p>
        </w:tc>
        <w:tc>
          <w:tcPr>
            <w:tcW w:w="18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to the Current Report on Form 8-K filed with the SEC on January 2, 2020, File No. 001-33278)</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Rule 13a-14(a)/15d-14(a) Certification of President and Chief Executive Officer</w:t>
              </w:r>
            </w:hyperlink>
          </w:p>
        </w:tc>
        <w:tc>
          <w:tcPr>
            <w:tcW w:w="4340" w:type="dxa"/>
            <w:vAlign w:val="bottom"/>
            <w:tcBorders>
              <w:bottom w:val="single" w:sz="8" w:color="CCEEFF"/>
            </w:tcBorders>
            <w:gridSpan w:val="12"/>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Rule 13a-14(a)/15d-14(a) Certification of Chief Operating Officer and Principal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Section 1350 Certification of Chief Executive Officer and Principal Financial Officer</w:t>
              </w:r>
            </w:hyperlink>
          </w:p>
        </w:tc>
        <w:tc>
          <w:tcPr>
            <w:tcW w:w="3980" w:type="dxa"/>
            <w:vAlign w:val="bottom"/>
            <w:tcBorders>
              <w:bottom w:val="single" w:sz="8" w:color="CCEEFF"/>
            </w:tcBorders>
            <w:gridSpan w:val="11"/>
            <w:shd w:val="clear" w:color="auto" w:fill="CCEEFF"/>
          </w:tcPr>
          <w:p>
            <w:pPr>
              <w:spacing w:after="0"/>
              <w:rPr>
                <w:sz w:val="21"/>
                <w:szCs w:val="21"/>
                <w:color w:val="auto"/>
              </w:rPr>
            </w:pP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1"/>
                <w:szCs w:val="21"/>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1"/>
                <w:szCs w:val="21"/>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1"/>
                <w:szCs w:val="21"/>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gridSpan w:val="6"/>
          </w:tcPr>
          <w:p>
            <w:pPr>
              <w:jc w:val="right"/>
              <w:ind w:right="1208"/>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Peter Smith.,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27, 2019,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300" w:hanging="320"/>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February 6, 2020</w:t>
            </w:r>
          </w:p>
        </w:tc>
        <w:tc>
          <w:tcPr>
            <w:tcW w:w="1120" w:type="dxa"/>
            <w:vAlign w:val="bottom"/>
          </w:tcPr>
          <w:p>
            <w:pPr>
              <w:ind w:left="20"/>
              <w:spacing w:after="0"/>
              <w:rPr>
                <w:sz w:val="20"/>
                <w:szCs w:val="20"/>
                <w:color w:val="auto"/>
              </w:rPr>
            </w:pPr>
            <w:r>
              <w:rPr>
                <w:rFonts w:ascii="Arial" w:cs="Arial" w:eastAsia="Arial" w:hAnsi="Arial"/>
                <w:sz w:val="18"/>
                <w:szCs w:val="18"/>
                <w:color w:val="auto"/>
                <w:w w:val="91"/>
              </w:rPr>
              <w:t>/s/ Peter Smith</w:t>
            </w:r>
          </w:p>
        </w:tc>
        <w:tc>
          <w:tcPr>
            <w:tcW w:w="366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Name:</w:t>
            </w:r>
          </w:p>
        </w:tc>
        <w:tc>
          <w:tcPr>
            <w:tcW w:w="3660" w:type="dxa"/>
            <w:vAlign w:val="bottom"/>
          </w:tcPr>
          <w:p>
            <w:pPr>
              <w:ind w:left="40"/>
              <w:spacing w:after="0"/>
              <w:rPr>
                <w:sz w:val="20"/>
                <w:szCs w:val="20"/>
                <w:color w:val="auto"/>
              </w:rPr>
            </w:pPr>
            <w:r>
              <w:rPr>
                <w:rFonts w:ascii="Arial" w:cs="Arial" w:eastAsia="Arial" w:hAnsi="Arial"/>
                <w:sz w:val="18"/>
                <w:szCs w:val="18"/>
                <w:color w:val="auto"/>
              </w:rPr>
              <w:t>Peter Smith</w:t>
            </w:r>
          </w:p>
        </w:tc>
      </w:tr>
      <w:tr>
        <w:trPr>
          <w:trHeight w:val="270"/>
        </w:trPr>
        <w:tc>
          <w:tcPr>
            <w:tcW w:w="658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Title:</w:t>
            </w:r>
          </w:p>
        </w:tc>
        <w:tc>
          <w:tcPr>
            <w:tcW w:w="366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5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Walter Stanley Gallagher, Jr.,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27, 2019,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February 6, 2020</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Walter Stanley Gallagher, Jr.</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Walter Stanley Gallagher, Jr.</w:t>
            </w:r>
          </w:p>
        </w:tc>
      </w:tr>
      <w:tr>
        <w:trPr>
          <w:trHeight w:val="270"/>
        </w:trPr>
        <w:tc>
          <w:tcPr>
            <w:tcW w:w="568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rPr>
              <w:t>Chief Operating Officer and Principal Financial Officer</w:t>
            </w:r>
          </w:p>
        </w:tc>
      </w:tr>
    </w:tbl>
    <w:p>
      <w:pPr>
        <w:sectPr>
          <w:pgSz w:w="11900" w:h="16838" w:orient="portrait"/>
          <w:cols w:equalWidth="0" w:num="1">
            <w:col w:w="11420"/>
          </w:cols>
          <w:pgMar w:left="240" w:top="55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CERTIFICATIONS OF CHIEF EXECUTIVE OFFICER AND</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PRINCIPAL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TITLE 18 OF THE UNITED STATES CODE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December 27, 2019, as filed with the Securities and Exchange Commission on the date hereof (the “Report”), we, Peter Smith, President and Chief Executive Office of Aviat Networks, and Walter Stanley Gallagher, Jr., Chief Operating Officer and Principal Financial Officer of Aviat Networks, hereby certify, pursuant to Section 906 of the Sarbanes-Oxley Act of 2002, 18 U.S.C. §1350, that:</w:t>
      </w:r>
    </w:p>
    <w:p>
      <w:pPr>
        <w:spacing w:after="0" w:line="14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2020</w:t>
      </w:r>
    </w:p>
    <w:p>
      <w:pPr>
        <w:ind w:left="6080"/>
        <w:spacing w:after="0"/>
        <w:rPr>
          <w:sz w:val="20"/>
          <w:szCs w:val="20"/>
          <w:color w:val="auto"/>
        </w:rPr>
      </w:pPr>
      <w:r>
        <w:rPr>
          <w:rFonts w:ascii="Arial" w:cs="Arial" w:eastAsia="Arial" w:hAnsi="Arial"/>
          <w:sz w:val="18"/>
          <w:szCs w:val="18"/>
          <w:color w:val="auto"/>
        </w:rPr>
        <w:t>/s/ Peter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387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Peter Smith</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6, 2020</w:t>
      </w:r>
    </w:p>
    <w:p>
      <w:pPr>
        <w:ind w:left="6080"/>
        <w:spacing w:after="0"/>
        <w:rPr>
          <w:sz w:val="20"/>
          <w:szCs w:val="20"/>
          <w:color w:val="auto"/>
        </w:rPr>
      </w:pPr>
      <w:r>
        <w:rPr>
          <w:rFonts w:ascii="Arial" w:cs="Arial" w:eastAsia="Arial" w:hAnsi="Arial"/>
          <w:sz w:val="18"/>
          <w:szCs w:val="18"/>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Walter Stanley Gallagher, Jr.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Operating Officer and Principal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18" Type="http://schemas.openxmlformats.org/officeDocument/2006/relationships/hyperlink" Target="http://www.sec.gov/Archives/edgar/data/1377789/000137778917000022/avnwexhibit31amendedandres.htm" TargetMode="External"/><Relationship Id="rId19" Type="http://schemas.openxmlformats.org/officeDocument/2006/relationships/hyperlink" Target="http://www.sec.gov/Archives/edgar/data/1377789/000137778915000082/exhibit_aviatamendedandres.htm" TargetMode="External"/><Relationship Id="rId20" Type="http://schemas.openxmlformats.org/officeDocument/2006/relationships/hyperlink" Target="http://www.sec.gov/Archives/edgar/data/1377789/000119312516702547/d254391dex41.htm" TargetMode="External"/><Relationship Id="rId21" Type="http://schemas.openxmlformats.org/officeDocument/2006/relationships/hyperlink" Target="http://www.sec.gov/Archives/edgar/data/1377789/000137778918000016/aviatannualproxyfy17.htm" TargetMode="External"/><Relationship Id="rId22" Type="http://schemas.openxmlformats.org/officeDocument/2006/relationships/hyperlink" Target="http://www.sec.gov/Archives/edgar/data/1377789/000092189520000006/ex101to8k11093001_0102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2020-02-06T15:16:01Z</dcterms:created>
  <dcterms:modified xsi:type="dcterms:W3CDTF">2020-02-06T15:16:01Z</dcterms:modified>
</cp:coreProperties>
</file>