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42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October 2, 2015</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500" w:right="42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For the transition period from _______ to 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448310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AVIAT NETWORKS, INC.</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89" w:lineRule="exact"/>
        <w:rPr>
          <w:sz w:val="24"/>
          <w:szCs w:val="24"/>
          <w:color w:val="auto"/>
        </w:rPr>
      </w:pPr>
    </w:p>
    <w:tbl>
      <w:tblPr>
        <w:tblLayout w:type="fixed"/>
        <w:tblInd w:w="1480" w:type="dxa"/>
        <w:tblCellMar>
          <w:top w:w="0" w:type="dxa"/>
          <w:left w:w="0" w:type="dxa"/>
          <w:bottom w:w="0" w:type="dxa"/>
          <w:right w:w="0" w:type="dxa"/>
        </w:tblCellMar>
      </w:tblPr>
      <w:tr>
        <w:trPr>
          <w:trHeight w:val="256"/>
        </w:trPr>
        <w:tc>
          <w:tcPr>
            <w:tcW w:w="6340" w:type="dxa"/>
            <w:vAlign w:val="bottom"/>
          </w:tcPr>
          <w:p>
            <w:pPr>
              <w:jc w:val="center"/>
              <w:ind w:right="3590"/>
              <w:spacing w:after="0"/>
              <w:rPr>
                <w:sz w:val="20"/>
                <w:szCs w:val="20"/>
                <w:color w:val="auto"/>
              </w:rPr>
            </w:pPr>
            <w:r>
              <w:rPr>
                <w:rFonts w:ascii="Arial" w:cs="Arial" w:eastAsia="Arial" w:hAnsi="Arial"/>
                <w:sz w:val="20"/>
                <w:szCs w:val="20"/>
                <w:b w:val="1"/>
                <w:bCs w:val="1"/>
                <w:color w:val="auto"/>
                <w:w w:val="88"/>
              </w:rPr>
              <w:t>Delaware</w:t>
            </w:r>
          </w:p>
        </w:tc>
        <w:tc>
          <w:tcPr>
            <w:tcW w:w="1560" w:type="dxa"/>
            <w:vAlign w:val="bottom"/>
          </w:tcPr>
          <w:p>
            <w:pPr>
              <w:jc w:val="right"/>
              <w:ind w:right="72"/>
              <w:spacing w:after="0"/>
              <w:rPr>
                <w:sz w:val="20"/>
                <w:szCs w:val="20"/>
                <w:color w:val="auto"/>
              </w:rPr>
            </w:pPr>
            <w:r>
              <w:rPr>
                <w:rFonts w:ascii="Arial" w:cs="Arial" w:eastAsia="Arial" w:hAnsi="Arial"/>
                <w:sz w:val="20"/>
                <w:szCs w:val="20"/>
                <w:b w:val="1"/>
                <w:bCs w:val="1"/>
                <w:color w:val="auto"/>
              </w:rPr>
              <w:t>20-5961564</w:t>
            </w:r>
          </w:p>
        </w:tc>
      </w:tr>
      <w:tr>
        <w:trPr>
          <w:trHeight w:val="239"/>
        </w:trPr>
        <w:tc>
          <w:tcPr>
            <w:tcW w:w="6340" w:type="dxa"/>
            <w:vAlign w:val="bottom"/>
          </w:tcPr>
          <w:p>
            <w:pPr>
              <w:jc w:val="center"/>
              <w:ind w:right="3590"/>
              <w:spacing w:after="0"/>
              <w:rPr>
                <w:sz w:val="20"/>
                <w:szCs w:val="20"/>
                <w:color w:val="auto"/>
              </w:rPr>
            </w:pPr>
            <w:r>
              <w:rPr>
                <w:rFonts w:ascii="Arial" w:cs="Arial" w:eastAsia="Arial" w:hAnsi="Arial"/>
                <w:sz w:val="16"/>
                <w:szCs w:val="16"/>
                <w:b w:val="1"/>
                <w:bCs w:val="1"/>
                <w:color w:val="auto"/>
                <w:w w:val="91"/>
              </w:rPr>
              <w:t>(State or other jurisdiction of</w:t>
            </w:r>
          </w:p>
        </w:tc>
        <w:tc>
          <w:tcPr>
            <w:tcW w:w="1560" w:type="dxa"/>
            <w:vAlign w:val="bottom"/>
          </w:tcPr>
          <w:p>
            <w:pPr>
              <w:jc w:val="center"/>
              <w:ind w:left="192"/>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6340" w:type="dxa"/>
            <w:vAlign w:val="bottom"/>
          </w:tcPr>
          <w:p>
            <w:pPr>
              <w:jc w:val="center"/>
              <w:ind w:right="3590"/>
              <w:spacing w:after="0"/>
              <w:rPr>
                <w:sz w:val="20"/>
                <w:szCs w:val="20"/>
                <w:color w:val="auto"/>
              </w:rPr>
            </w:pPr>
            <w:r>
              <w:rPr>
                <w:rFonts w:ascii="Arial" w:cs="Arial" w:eastAsia="Arial" w:hAnsi="Arial"/>
                <w:sz w:val="16"/>
                <w:szCs w:val="16"/>
                <w:b w:val="1"/>
                <w:bCs w:val="1"/>
                <w:color w:val="auto"/>
                <w:w w:val="91"/>
              </w:rPr>
              <w:t>incorporation or organization)</w:t>
            </w:r>
          </w:p>
        </w:tc>
        <w:tc>
          <w:tcPr>
            <w:tcW w:w="1560" w:type="dxa"/>
            <w:vAlign w:val="bottom"/>
          </w:tcPr>
          <w:p>
            <w:pPr>
              <w:jc w:val="center"/>
              <w:ind w:left="192"/>
              <w:spacing w:after="0"/>
              <w:rPr>
                <w:sz w:val="20"/>
                <w:szCs w:val="20"/>
                <w:color w:val="auto"/>
              </w:rPr>
            </w:pPr>
            <w:r>
              <w:rPr>
                <w:rFonts w:ascii="Arial" w:cs="Arial" w:eastAsia="Arial" w:hAnsi="Arial"/>
                <w:sz w:val="16"/>
                <w:szCs w:val="16"/>
                <w:b w:val="1"/>
                <w:bCs w:val="1"/>
                <w:color w:val="auto"/>
                <w:w w:val="94"/>
              </w:rPr>
              <w:t>Identification No.)</w:t>
            </w:r>
          </w:p>
        </w:tc>
      </w:tr>
      <w:tr>
        <w:trPr>
          <w:trHeight w:val="402"/>
        </w:trPr>
        <w:tc>
          <w:tcPr>
            <w:tcW w:w="6340" w:type="dxa"/>
            <w:vAlign w:val="bottom"/>
          </w:tcPr>
          <w:p>
            <w:pPr>
              <w:jc w:val="center"/>
              <w:ind w:right="3570"/>
              <w:spacing w:after="0"/>
              <w:rPr>
                <w:sz w:val="20"/>
                <w:szCs w:val="20"/>
                <w:color w:val="auto"/>
              </w:rPr>
            </w:pPr>
            <w:r>
              <w:rPr>
                <w:rFonts w:ascii="Arial" w:cs="Arial" w:eastAsia="Arial" w:hAnsi="Arial"/>
                <w:sz w:val="20"/>
                <w:szCs w:val="20"/>
                <w:b w:val="1"/>
                <w:bCs w:val="1"/>
                <w:color w:val="auto"/>
                <w:w w:val="92"/>
              </w:rPr>
              <w:t>5200 Great America Parkway</w:t>
            </w:r>
          </w:p>
        </w:tc>
        <w:tc>
          <w:tcPr>
            <w:tcW w:w="1560" w:type="dxa"/>
            <w:vAlign w:val="bottom"/>
          </w:tcPr>
          <w:p>
            <w:pPr>
              <w:spacing w:after="0"/>
              <w:rPr>
                <w:sz w:val="24"/>
                <w:szCs w:val="24"/>
                <w:color w:val="auto"/>
              </w:rPr>
            </w:pPr>
          </w:p>
        </w:tc>
      </w:tr>
      <w:tr>
        <w:trPr>
          <w:trHeight w:val="256"/>
        </w:trPr>
        <w:tc>
          <w:tcPr>
            <w:tcW w:w="6340" w:type="dxa"/>
            <w:vAlign w:val="bottom"/>
          </w:tcPr>
          <w:p>
            <w:pPr>
              <w:jc w:val="center"/>
              <w:ind w:right="3590"/>
              <w:spacing w:after="0"/>
              <w:rPr>
                <w:sz w:val="20"/>
                <w:szCs w:val="20"/>
                <w:color w:val="auto"/>
              </w:rPr>
            </w:pPr>
            <w:r>
              <w:rPr>
                <w:rFonts w:ascii="Arial" w:cs="Arial" w:eastAsia="Arial" w:hAnsi="Arial"/>
                <w:sz w:val="20"/>
                <w:szCs w:val="20"/>
                <w:b w:val="1"/>
                <w:bCs w:val="1"/>
                <w:color w:val="auto"/>
                <w:w w:val="92"/>
              </w:rPr>
              <w:t>Santa Clara, California</w:t>
            </w:r>
          </w:p>
        </w:tc>
        <w:tc>
          <w:tcPr>
            <w:tcW w:w="1560" w:type="dxa"/>
            <w:vAlign w:val="bottom"/>
          </w:tcPr>
          <w:p>
            <w:pPr>
              <w:jc w:val="right"/>
              <w:ind w:right="312"/>
              <w:spacing w:after="0"/>
              <w:rPr>
                <w:sz w:val="20"/>
                <w:szCs w:val="20"/>
                <w:color w:val="auto"/>
              </w:rPr>
            </w:pPr>
            <w:r>
              <w:rPr>
                <w:rFonts w:ascii="Arial" w:cs="Arial" w:eastAsia="Arial" w:hAnsi="Arial"/>
                <w:sz w:val="20"/>
                <w:szCs w:val="20"/>
                <w:b w:val="1"/>
                <w:bCs w:val="1"/>
                <w:color w:val="auto"/>
              </w:rPr>
              <w:t>95054</w:t>
            </w:r>
          </w:p>
        </w:tc>
      </w:tr>
      <w:tr>
        <w:trPr>
          <w:trHeight w:val="247"/>
        </w:trPr>
        <w:tc>
          <w:tcPr>
            <w:tcW w:w="6340" w:type="dxa"/>
            <w:vAlign w:val="bottom"/>
          </w:tcPr>
          <w:p>
            <w:pPr>
              <w:jc w:val="center"/>
              <w:ind w:right="357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560" w:type="dxa"/>
            <w:vAlign w:val="bottom"/>
          </w:tcPr>
          <w:p>
            <w:pPr>
              <w:jc w:val="center"/>
              <w:ind w:left="192"/>
              <w:spacing w:after="0"/>
              <w:rPr>
                <w:sz w:val="20"/>
                <w:szCs w:val="20"/>
                <w:color w:val="auto"/>
              </w:rPr>
            </w:pPr>
            <w:r>
              <w:rPr>
                <w:rFonts w:ascii="Arial" w:cs="Arial" w:eastAsia="Arial" w:hAnsi="Arial"/>
                <w:sz w:val="16"/>
                <w:szCs w:val="16"/>
                <w:b w:val="1"/>
                <w:bCs w:val="1"/>
                <w:color w:val="auto"/>
                <w:w w:val="96"/>
              </w:rPr>
              <w:t>(Zip Code)</w:t>
            </w:r>
          </w:p>
        </w:tc>
      </w:tr>
      <w:tr>
        <w:trPr>
          <w:trHeight w:val="357"/>
        </w:trPr>
        <w:tc>
          <w:tcPr>
            <w:tcW w:w="6340" w:type="dxa"/>
            <w:vAlign w:val="bottom"/>
          </w:tcPr>
          <w:p>
            <w:pPr>
              <w:jc w:val="right"/>
              <w:ind w:right="1390"/>
              <w:spacing w:after="0"/>
              <w:rPr>
                <w:sz w:val="20"/>
                <w:szCs w:val="20"/>
                <w:color w:val="auto"/>
              </w:rPr>
            </w:pPr>
            <w:r>
              <w:rPr>
                <w:rFonts w:ascii="Arial" w:cs="Arial" w:eastAsia="Arial" w:hAnsi="Arial"/>
                <w:sz w:val="20"/>
                <w:szCs w:val="20"/>
                <w:b w:val="1"/>
                <w:bCs w:val="1"/>
                <w:color w:val="auto"/>
              </w:rPr>
              <w:t>(408) 567-7000</w:t>
            </w:r>
          </w:p>
        </w:tc>
        <w:tc>
          <w:tcPr>
            <w:tcW w:w="1560" w:type="dxa"/>
            <w:vAlign w:val="bottom"/>
          </w:tcPr>
          <w:p>
            <w:pPr>
              <w:spacing w:after="0"/>
              <w:rPr>
                <w:sz w:val="24"/>
                <w:szCs w:val="24"/>
                <w:color w:val="auto"/>
              </w:rPr>
            </w:pPr>
          </w:p>
        </w:tc>
      </w:tr>
      <w:tr>
        <w:trPr>
          <w:trHeight w:val="210"/>
        </w:trPr>
        <w:tc>
          <w:tcPr>
            <w:tcW w:w="6340" w:type="dxa"/>
            <w:vAlign w:val="bottom"/>
          </w:tcPr>
          <w:p>
            <w:pPr>
              <w:jc w:val="center"/>
              <w:ind w:left="2030"/>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560" w:type="dxa"/>
            <w:vAlign w:val="bottom"/>
          </w:tcPr>
          <w:p>
            <w:pPr>
              <w:spacing w:after="0"/>
              <w:rPr>
                <w:sz w:val="18"/>
                <w:szCs w:val="18"/>
                <w:color w:val="auto"/>
              </w:rPr>
            </w:pPr>
          </w:p>
        </w:tc>
      </w:tr>
    </w:tbl>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 changes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ind w:left="4760"/>
        <w:spacing w:after="0"/>
        <w:rPr>
          <w:sz w:val="20"/>
          <w:szCs w:val="20"/>
          <w:color w:val="auto"/>
        </w:rPr>
      </w:pPr>
      <w:r>
        <w:rPr>
          <w:rFonts w:ascii="Arial" w:cs="Arial" w:eastAsia="Arial" w:hAnsi="Arial"/>
          <w:sz w:val="14"/>
          <w:szCs w:val="14"/>
          <w:color w:val="auto"/>
        </w:rPr>
        <w:t>__________________________</w:t>
      </w:r>
    </w:p>
    <w:p>
      <w:pPr>
        <w:spacing w:after="0" w:line="74" w:lineRule="exact"/>
        <w:rPr>
          <w:sz w:val="24"/>
          <w:szCs w:val="24"/>
          <w:color w:val="auto"/>
        </w:rPr>
      </w:pPr>
    </w:p>
    <w:p>
      <w:pPr>
        <w:ind w:right="520"/>
        <w:spacing w:after="0" w:line="227"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102"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86" w:lineRule="exact"/>
        <w:rPr>
          <w:sz w:val="24"/>
          <w:szCs w:val="24"/>
          <w:color w:val="auto"/>
        </w:rPr>
      </w:pPr>
    </w:p>
    <w:p>
      <w:pPr>
        <w:sectPr>
          <w:pgSz w:w="11900" w:h="16838" w:orient="portrait"/>
          <w:cols w:equalWidth="0" w:num="4">
            <w:col w:w="1700" w:space="720"/>
            <w:col w:w="4280" w:space="720"/>
            <w:col w:w="2800" w:space="720"/>
            <w:col w:w="480"/>
          </w:cols>
          <w:pgMar w:left="240" w:top="110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29" w:lineRule="exact"/>
        <w:rPr>
          <w:sz w:val="24"/>
          <w:szCs w:val="24"/>
          <w:color w:val="auto"/>
        </w:rPr>
      </w:pPr>
    </w:p>
    <w:p>
      <w:pPr>
        <w:sectPr>
          <w:pgSz w:w="11900" w:h="16838" w:orient="portrait"/>
          <w:cols w:equalWidth="0" w:num="4">
            <w:col w:w="1700" w:space="720"/>
            <w:col w:w="4280" w:space="720"/>
            <w:col w:w="2800" w:space="720"/>
            <w:col w:w="480"/>
          </w:cols>
          <w:pgMar w:left="240" w:top="1102" w:right="239" w:bottom="1440" w:gutter="0" w:footer="0" w:header="0"/>
          <w:type w:val="continuous"/>
        </w:sectPr>
      </w:pPr>
    </w:p>
    <w:p>
      <w:pPr>
        <w:spacing w:after="0" w:line="15" w:lineRule="exact"/>
        <w:rPr>
          <w:sz w:val="24"/>
          <w:szCs w:val="24"/>
          <w:color w:val="auto"/>
        </w:rPr>
      </w:pPr>
    </w:p>
    <w:p>
      <w:pPr>
        <w:ind w:right="2040"/>
        <w:spacing w:after="0" w:line="507"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 The number of shares outstanding of the registrant’s Common Stock as of November 2, 2015 was 62,503,541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0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2, 2015</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3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50"/>
        </w:trPr>
        <w:tc>
          <w:tcPr>
            <w:tcW w:w="10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 I. Financial Information</w:t>
            </w: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10340" w:type="dxa"/>
            <w:vAlign w:val="bottom"/>
          </w:tcPr>
          <w:p>
            <w:pPr>
              <w:ind w:left="380"/>
              <w:spacing w:after="0"/>
              <w:rPr>
                <w:rFonts w:ascii="Arial" w:cs="Arial" w:eastAsia="Arial" w:hAnsi="Arial"/>
                <w:sz w:val="18"/>
                <w:szCs w:val="18"/>
                <w:color w:val="auto"/>
              </w:rPr>
            </w:pPr>
            <w:hyperlink w:anchor="page2">
              <w:r>
                <w:rPr>
                  <w:rFonts w:ascii="Arial" w:cs="Arial" w:eastAsia="Arial" w:hAnsi="Arial"/>
                  <w:sz w:val="18"/>
                  <w:szCs w:val="18"/>
                  <w:color w:val="auto"/>
                </w:rPr>
                <w:t>Item 1. Financial Statements</w:t>
              </w:r>
            </w:hyperlink>
          </w:p>
        </w:tc>
        <w:tc>
          <w:tcPr>
            <w:tcW w:w="6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w w:val="96"/>
              </w:rPr>
            </w:pPr>
            <w:hyperlink w:anchor="page3">
              <w:r>
                <w:rPr>
                  <w:rFonts w:ascii="Arial" w:cs="Arial" w:eastAsia="Arial" w:hAnsi="Arial"/>
                  <w:sz w:val="18"/>
                  <w:szCs w:val="18"/>
                  <w:color w:val="auto"/>
                  <w:w w:val="96"/>
                </w:rPr>
                <w:t>Condensed Consolidated Statements of Operations for the Quarter Ended October 2, 2015 and September 26, 2014 (Unaudited)</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43"/>
        </w:trPr>
        <w:tc>
          <w:tcPr>
            <w:tcW w:w="10340" w:type="dxa"/>
            <w:vAlign w:val="bottom"/>
          </w:tcPr>
          <w:p>
            <w:pPr>
              <w:ind w:left="380"/>
              <w:spacing w:after="0"/>
              <w:rPr>
                <w:rFonts w:ascii="Arial" w:cs="Arial" w:eastAsia="Arial" w:hAnsi="Arial"/>
                <w:sz w:val="18"/>
                <w:szCs w:val="18"/>
                <w:color w:val="auto"/>
                <w:w w:val="89"/>
              </w:rPr>
            </w:pPr>
            <w:hyperlink w:anchor="page3">
              <w:r>
                <w:rPr>
                  <w:rFonts w:ascii="Arial" w:cs="Arial" w:eastAsia="Arial" w:hAnsi="Arial"/>
                  <w:sz w:val="18"/>
                  <w:szCs w:val="18"/>
                  <w:color w:val="auto"/>
                  <w:w w:val="89"/>
                </w:rPr>
                <w:t>Condensed Consolidated Statements of Comprehensive Loss for the Quarter Ended October 2, 2015 and September 26, 2014 (Unaudited)</w:t>
              </w:r>
            </w:hyperlink>
          </w:p>
        </w:tc>
        <w:tc>
          <w:tcPr>
            <w:tcW w:w="6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Balance Sheets as of October 2, 2015 and July 3, 2015 (Unaudited)</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243"/>
        </w:trPr>
        <w:tc>
          <w:tcPr>
            <w:tcW w:w="10340" w:type="dxa"/>
            <w:vAlign w:val="bottom"/>
          </w:tcPr>
          <w:p>
            <w:pPr>
              <w:ind w:left="380"/>
              <w:spacing w:after="0"/>
              <w:rPr>
                <w:rFonts w:ascii="Arial" w:cs="Arial" w:eastAsia="Arial" w:hAnsi="Arial"/>
                <w:sz w:val="18"/>
                <w:szCs w:val="18"/>
                <w:color w:val="auto"/>
                <w:w w:val="96"/>
              </w:rPr>
            </w:pPr>
            <w:hyperlink w:anchor="page5">
              <w:r>
                <w:rPr>
                  <w:rFonts w:ascii="Arial" w:cs="Arial" w:eastAsia="Arial" w:hAnsi="Arial"/>
                  <w:sz w:val="18"/>
                  <w:szCs w:val="18"/>
                  <w:color w:val="auto"/>
                  <w:w w:val="96"/>
                </w:rPr>
                <w:t>Condensed Consolidated Statements of Cash Flows for the Quarter Ended October 2, 2015 and September 26, 2014 (Unaudited)</w:t>
              </w:r>
            </w:hyperlink>
          </w:p>
        </w:tc>
        <w:tc>
          <w:tcPr>
            <w:tcW w:w="6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6">
              <w:r>
                <w:rPr>
                  <w:rFonts w:ascii="Arial" w:cs="Arial" w:eastAsia="Arial" w:hAnsi="Arial"/>
                  <w:sz w:val="18"/>
                  <w:szCs w:val="18"/>
                  <w:color w:val="auto"/>
                </w:rPr>
                <w:t>Notes to Condensed Consolidated Financial Statements (Unaudited)</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19">
              <w:r>
                <w:rPr>
                  <w:rFonts w:ascii="Arial" w:cs="Arial" w:eastAsia="Arial" w:hAnsi="Arial"/>
                  <w:sz w:val="18"/>
                  <w:szCs w:val="18"/>
                  <w:color w:val="auto"/>
                </w:rPr>
                <w:t>Item 2. Management’s Discussion and Analysis of Financial Condition and Results of Operations</w:t>
              </w:r>
            </w:hyperlink>
          </w:p>
        </w:tc>
        <w:tc>
          <w:tcPr>
            <w:tcW w:w="64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19</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26">
              <w:r>
                <w:rPr>
                  <w:rFonts w:ascii="Arial" w:cs="Arial" w:eastAsia="Arial" w:hAnsi="Arial"/>
                  <w:sz w:val="18"/>
                  <w:szCs w:val="18"/>
                  <w:color w:val="auto"/>
                </w:rPr>
                <w:t>Item 3. Quantitative and Qualitative Disclosures About Market Risk</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28">
              <w:r>
                <w:rPr>
                  <w:rFonts w:ascii="Arial" w:cs="Arial" w:eastAsia="Arial" w:hAnsi="Arial"/>
                  <w:sz w:val="18"/>
                  <w:szCs w:val="18"/>
                  <w:color w:val="auto"/>
                </w:rPr>
                <w:t>Item 4. Controls and Procedures</w:t>
              </w:r>
            </w:hyperlink>
          </w:p>
        </w:tc>
        <w:tc>
          <w:tcPr>
            <w:tcW w:w="64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31">
              <w:r>
                <w:rPr>
                  <w:rFonts w:ascii="Arial" w:cs="Arial" w:eastAsia="Arial" w:hAnsi="Arial"/>
                  <w:sz w:val="18"/>
                  <w:szCs w:val="18"/>
                  <w:b w:val="1"/>
                  <w:bCs w:val="1"/>
                  <w:color w:val="auto"/>
                </w:rPr>
                <w:t>Part II. Other Information</w:t>
              </w:r>
            </w:hyperlink>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10340" w:type="dxa"/>
            <w:vAlign w:val="bottom"/>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1. Legal Proceedings</w:t>
              </w:r>
            </w:hyperlink>
          </w:p>
        </w:tc>
        <w:tc>
          <w:tcPr>
            <w:tcW w:w="6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1A. Risk Factors</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2. Unregistered Sales of Equity Securities and Use of Proceeds</w:t>
              </w:r>
            </w:hyperlink>
          </w:p>
        </w:tc>
        <w:tc>
          <w:tcPr>
            <w:tcW w:w="6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3. Defaults upon Senior Securities</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4. Mine Safety Disclosures</w:t>
              </w:r>
            </w:hyperlink>
          </w:p>
        </w:tc>
        <w:tc>
          <w:tcPr>
            <w:tcW w:w="6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5. Other Information</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6. Exhibits</w:t>
              </w:r>
            </w:hyperlink>
          </w:p>
        </w:tc>
        <w:tc>
          <w:tcPr>
            <w:tcW w:w="6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33</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Signature</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34</w:t>
              </w:r>
            </w:hyperlink>
          </w:p>
        </w:tc>
      </w:tr>
      <w:tr>
        <w:trPr>
          <w:trHeight w:val="243"/>
        </w:trPr>
        <w:tc>
          <w:tcPr>
            <w:tcW w:w="10340" w:type="dxa"/>
            <w:vAlign w:val="bottom"/>
          </w:tcPr>
          <w:p>
            <w:pPr>
              <w:ind w:left="40"/>
              <w:spacing w:after="0"/>
              <w:rPr>
                <w:rFonts w:ascii="Arial" w:cs="Arial" w:eastAsia="Arial" w:hAnsi="Arial"/>
                <w:sz w:val="18"/>
                <w:szCs w:val="18"/>
                <w:b w:val="1"/>
                <w:bCs w:val="1"/>
                <w:color w:val="auto"/>
              </w:rPr>
            </w:pPr>
            <w:hyperlink w:anchor="page34">
              <w:r>
                <w:rPr>
                  <w:rFonts w:ascii="Arial" w:cs="Arial" w:eastAsia="Arial" w:hAnsi="Arial"/>
                  <w:sz w:val="18"/>
                  <w:szCs w:val="18"/>
                  <w:b w:val="1"/>
                  <w:bCs w:val="1"/>
                  <w:color w:val="auto"/>
                </w:rPr>
                <w:t>Exhibit Index</w:t>
              </w:r>
            </w:hyperlink>
          </w:p>
        </w:tc>
        <w:tc>
          <w:tcPr>
            <w:tcW w:w="64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35</w:t>
              </w:r>
            </w:hyperlink>
          </w:p>
        </w:tc>
      </w:tr>
      <w:tr>
        <w:trPr>
          <w:trHeight w:val="486"/>
        </w:trPr>
        <w:tc>
          <w:tcPr>
            <w:tcW w:w="10340" w:type="dxa"/>
            <w:vAlign w:val="bottom"/>
          </w:tcPr>
          <w:p>
            <w:pPr>
              <w:ind w:left="544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4"/>
                <w:szCs w:val="24"/>
                <w:color w:val="auto"/>
              </w:rPr>
            </w:pPr>
          </w:p>
        </w:tc>
      </w:tr>
    </w:tbl>
    <w:p>
      <w:pPr>
        <w:sectPr>
          <w:pgSz w:w="11900" w:h="16838" w:orient="portrait"/>
          <w:cols w:equalWidth="0" w:num="1">
            <w:col w:w="10980"/>
          </w:cols>
          <w:pgMar w:left="460" w:top="580" w:right="4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640" w:type="dxa"/>
            <w:vAlign w:val="bottom"/>
          </w:tcPr>
          <w:p>
            <w:pPr>
              <w:ind w:left="2840"/>
              <w:spacing w:after="0"/>
              <w:rPr>
                <w:sz w:val="20"/>
                <w:szCs w:val="20"/>
                <w:color w:val="auto"/>
              </w:rPr>
            </w:pPr>
            <w:r>
              <w:rPr>
                <w:rFonts w:ascii="Arial" w:cs="Arial" w:eastAsia="Arial" w:hAnsi="Arial"/>
                <w:sz w:val="18"/>
                <w:szCs w:val="18"/>
                <w:b w:val="1"/>
                <w:bCs w:val="1"/>
                <w:color w:val="auto"/>
              </w:rPr>
              <w:t>PART I.</w:t>
            </w:r>
          </w:p>
        </w:tc>
        <w:tc>
          <w:tcPr>
            <w:tcW w:w="3900" w:type="dxa"/>
            <w:vAlign w:val="bottom"/>
            <w:gridSpan w:val="2"/>
          </w:tcPr>
          <w:p>
            <w:pPr>
              <w:jc w:val="right"/>
              <w:ind w:right="1460"/>
              <w:spacing w:after="0"/>
              <w:rPr>
                <w:sz w:val="20"/>
                <w:szCs w:val="20"/>
                <w:color w:val="auto"/>
              </w:rPr>
            </w:pPr>
            <w:r>
              <w:rPr>
                <w:rFonts w:ascii="Arial" w:cs="Arial" w:eastAsia="Arial" w:hAnsi="Arial"/>
                <w:sz w:val="18"/>
                <w:szCs w:val="18"/>
                <w:b w:val="1"/>
                <w:bCs w:val="1"/>
                <w:color w:val="auto"/>
              </w:rPr>
              <w:t>FINANCIAL INFORMATION</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12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260" w:type="dxa"/>
            <w:vAlign w:val="bottom"/>
          </w:tcPr>
          <w:p>
            <w:pPr>
              <w:spacing w:after="0"/>
              <w:rPr>
                <w:sz w:val="24"/>
                <w:szCs w:val="24"/>
                <w:color w:val="auto"/>
              </w:rPr>
            </w:pPr>
          </w:p>
        </w:tc>
        <w:tc>
          <w:tcPr>
            <w:tcW w:w="7540" w:type="dxa"/>
            <w:vAlign w:val="bottom"/>
            <w:gridSpan w:val="3"/>
          </w:tcPr>
          <w:p>
            <w:pPr>
              <w:jc w:val="center"/>
              <w:ind w:left="1290"/>
              <w:spacing w:after="0"/>
              <w:rPr>
                <w:sz w:val="20"/>
                <w:szCs w:val="20"/>
                <w:color w:val="auto"/>
              </w:rPr>
            </w:pPr>
            <w:r>
              <w:rPr>
                <w:rFonts w:ascii="Arial" w:cs="Arial" w:eastAsia="Arial" w:hAnsi="Arial"/>
                <w:sz w:val="18"/>
                <w:szCs w:val="18"/>
                <w:b w:val="1"/>
                <w:bCs w:val="1"/>
                <w:color w:val="auto"/>
              </w:rPr>
              <w:t>AVIAT NETWORKS, INC.</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40" w:type="dxa"/>
            <w:vAlign w:val="bottom"/>
            <w:gridSpan w:val="3"/>
          </w:tcPr>
          <w:p>
            <w:pPr>
              <w:jc w:val="center"/>
              <w:ind w:left="127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900" w:type="dxa"/>
            <w:vAlign w:val="bottom"/>
            <w:gridSpan w:val="2"/>
          </w:tcPr>
          <w:p>
            <w:pPr>
              <w:jc w:val="center"/>
              <w:ind w:right="2280"/>
              <w:spacing w:after="0"/>
              <w:rPr>
                <w:sz w:val="20"/>
                <w:szCs w:val="20"/>
                <w:color w:val="auto"/>
              </w:rPr>
            </w:pPr>
            <w:r>
              <w:rPr>
                <w:rFonts w:ascii="Arial" w:cs="Arial" w:eastAsia="Arial" w:hAnsi="Arial"/>
                <w:sz w:val="18"/>
                <w:szCs w:val="18"/>
                <w:b w:val="1"/>
                <w:bCs w:val="1"/>
                <w:color w:val="auto"/>
                <w:w w:val="93"/>
              </w:rPr>
              <w:t>(Unaudited)</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8"/>
        </w:trPr>
        <w:tc>
          <w:tcPr>
            <w:tcW w:w="12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4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3"/>
                <w:szCs w:val="13"/>
                <w:color w:val="auto"/>
              </w:rPr>
            </w:pPr>
          </w:p>
        </w:tc>
        <w:tc>
          <w:tcPr>
            <w:tcW w:w="1200" w:type="dxa"/>
            <w:vAlign w:val="bottom"/>
          </w:tcPr>
          <w:p>
            <w:pPr>
              <w:jc w:val="right"/>
              <w:ind w:right="171"/>
              <w:spacing w:after="0" w:line="153" w:lineRule="exact"/>
              <w:rPr>
                <w:sz w:val="20"/>
                <w:szCs w:val="20"/>
                <w:color w:val="auto"/>
              </w:rPr>
            </w:pPr>
            <w:r>
              <w:rPr>
                <w:rFonts w:ascii="Arial" w:cs="Arial" w:eastAsia="Arial" w:hAnsi="Arial"/>
                <w:sz w:val="14"/>
                <w:szCs w:val="14"/>
                <w:b w:val="1"/>
                <w:bCs w:val="1"/>
                <w:color w:val="auto"/>
                <w:w w:val="96"/>
              </w:rPr>
              <w:t>September 26,</w:t>
            </w:r>
          </w:p>
        </w:tc>
        <w:tc>
          <w:tcPr>
            <w:tcW w:w="0" w:type="dxa"/>
            <w:vAlign w:val="bottom"/>
          </w:tcPr>
          <w:p>
            <w:pPr>
              <w:spacing w:after="0"/>
              <w:rPr>
                <w:sz w:val="1"/>
                <w:szCs w:val="1"/>
                <w:color w:val="auto"/>
              </w:rPr>
            </w:pPr>
          </w:p>
        </w:tc>
      </w:tr>
      <w:tr>
        <w:trPr>
          <w:trHeight w:val="192"/>
        </w:trPr>
        <w:tc>
          <w:tcPr>
            <w:tcW w:w="4900" w:type="dxa"/>
            <w:vAlign w:val="bottom"/>
            <w:tcBorders>
              <w:bottom w:val="single" w:sz="8" w:color="CCEEFF"/>
            </w:tcBorders>
            <w:gridSpan w:val="2"/>
            <w:vMerge w:val="continue"/>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4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40"/>
              <w:spacing w:after="0"/>
              <w:rPr>
                <w:sz w:val="20"/>
                <w:szCs w:val="20"/>
                <w:color w:val="auto"/>
              </w:rPr>
            </w:pPr>
            <w:r>
              <w:rPr>
                <w:rFonts w:ascii="Arial" w:cs="Arial" w:eastAsia="Arial" w:hAnsi="Arial"/>
                <w:sz w:val="18"/>
                <w:szCs w:val="18"/>
                <w:color w:val="auto"/>
              </w:rPr>
              <w:t>Revenue from product sales</w:t>
            </w:r>
          </w:p>
        </w:tc>
        <w:tc>
          <w:tcPr>
            <w:tcW w:w="3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4900" w:type="dxa"/>
            <w:vAlign w:val="bottom"/>
            <w:gridSpan w:val="2"/>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7"/>
        </w:trPr>
        <w:tc>
          <w:tcPr>
            <w:tcW w:w="4900" w:type="dxa"/>
            <w:vAlign w:val="bottom"/>
            <w:gridSpan w:val="2"/>
          </w:tcPr>
          <w:p>
            <w:pPr>
              <w:ind w:left="380"/>
              <w:spacing w:after="0"/>
              <w:rPr>
                <w:sz w:val="20"/>
                <w:szCs w:val="20"/>
                <w:color w:val="auto"/>
              </w:rPr>
            </w:pPr>
            <w:r>
              <w:rPr>
                <w:rFonts w:ascii="Arial" w:cs="Arial" w:eastAsia="Arial" w:hAnsi="Arial"/>
                <w:sz w:val="18"/>
                <w:szCs w:val="18"/>
                <w:color w:val="auto"/>
              </w:rPr>
              <w:t>Total revenues</w:t>
            </w:r>
          </w:p>
        </w:tc>
        <w:tc>
          <w:tcPr>
            <w:tcW w:w="36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gridSpan w:val="2"/>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revenues:</w:t>
            </w:r>
          </w:p>
        </w:tc>
        <w:tc>
          <w:tcPr>
            <w:tcW w:w="3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40"/>
              <w:spacing w:after="0"/>
              <w:rPr>
                <w:sz w:val="20"/>
                <w:szCs w:val="20"/>
                <w:color w:val="auto"/>
              </w:rPr>
            </w:pPr>
            <w:r>
              <w:rPr>
                <w:rFonts w:ascii="Arial" w:cs="Arial" w:eastAsia="Arial" w:hAnsi="Arial"/>
                <w:sz w:val="18"/>
                <w:szCs w:val="18"/>
                <w:color w:val="auto"/>
              </w:rPr>
              <w:t>Cost of product sales</w:t>
            </w: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Cost of services</w:t>
            </w:r>
          </w:p>
        </w:tc>
        <w:tc>
          <w:tcPr>
            <w:tcW w:w="3640" w:type="dxa"/>
            <w:vAlign w:val="bottom"/>
            <w:tcBorders>
              <w:bottom w:val="single" w:sz="8" w:color="CCEEFF"/>
            </w:tcBorders>
            <w:shd w:val="clear" w:color="auto" w:fill="CCEEFF"/>
          </w:tcPr>
          <w:p>
            <w:pPr>
              <w:spacing w:after="0"/>
              <w:rPr>
                <w:sz w:val="23"/>
                <w:szCs w:val="23"/>
                <w:color w:val="auto"/>
              </w:rPr>
            </w:pPr>
          </w:p>
        </w:tc>
        <w:tc>
          <w:tcPr>
            <w:tcW w:w="3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7"/>
        </w:trPr>
        <w:tc>
          <w:tcPr>
            <w:tcW w:w="4900" w:type="dxa"/>
            <w:vAlign w:val="bottom"/>
            <w:gridSpan w:val="2"/>
          </w:tcPr>
          <w:p>
            <w:pPr>
              <w:ind w:left="380"/>
              <w:spacing w:after="0"/>
              <w:rPr>
                <w:sz w:val="20"/>
                <w:szCs w:val="20"/>
                <w:color w:val="auto"/>
              </w:rPr>
            </w:pPr>
            <w:r>
              <w:rPr>
                <w:rFonts w:ascii="Arial" w:cs="Arial" w:eastAsia="Arial" w:hAnsi="Arial"/>
                <w:sz w:val="18"/>
                <w:szCs w:val="18"/>
                <w:color w:val="auto"/>
              </w:rPr>
              <w:t>Total cost of revenues</w:t>
            </w:r>
          </w:p>
        </w:tc>
        <w:tc>
          <w:tcPr>
            <w:tcW w:w="36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margin</w:t>
            </w:r>
          </w:p>
        </w:tc>
        <w:tc>
          <w:tcPr>
            <w:tcW w:w="3640" w:type="dxa"/>
            <w:vAlign w:val="bottom"/>
            <w:tcBorders>
              <w:bottom w:val="single" w:sz="8" w:color="CCEEFF"/>
            </w:tcBorders>
            <w:shd w:val="clear" w:color="auto" w:fill="CCEEFF"/>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7"/>
        </w:trPr>
        <w:tc>
          <w:tcPr>
            <w:tcW w:w="49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gridSpan w:val="2"/>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3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900" w:type="dxa"/>
            <w:vAlign w:val="bottom"/>
            <w:gridSpan w:val="2"/>
          </w:tcPr>
          <w:p>
            <w:pPr>
              <w:ind w:left="40"/>
              <w:spacing w:after="0"/>
              <w:rPr>
                <w:sz w:val="20"/>
                <w:szCs w:val="20"/>
                <w:color w:val="auto"/>
              </w:rPr>
            </w:pPr>
            <w:r>
              <w:rPr>
                <w:rFonts w:ascii="Arial" w:cs="Arial" w:eastAsia="Arial" w:hAnsi="Arial"/>
                <w:sz w:val="18"/>
                <w:szCs w:val="18"/>
                <w:color w:val="auto"/>
              </w:rPr>
              <w:t>Selling and administrative expenses</w:t>
            </w: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4900" w:type="dxa"/>
            <w:vAlign w:val="bottom"/>
            <w:gridSpan w:val="2"/>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identifiable intangible assets</w:t>
            </w:r>
          </w:p>
        </w:tc>
        <w:tc>
          <w:tcPr>
            <w:tcW w:w="3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900" w:type="dxa"/>
            <w:vAlign w:val="bottom"/>
            <w:gridSpan w:val="2"/>
          </w:tcPr>
          <w:p>
            <w:pPr>
              <w:ind w:left="40"/>
              <w:spacing w:after="0"/>
              <w:rPr>
                <w:sz w:val="20"/>
                <w:szCs w:val="20"/>
                <w:color w:val="auto"/>
              </w:rPr>
            </w:pPr>
            <w:r>
              <w:rPr>
                <w:rFonts w:ascii="Arial" w:cs="Arial" w:eastAsia="Arial" w:hAnsi="Arial"/>
                <w:sz w:val="18"/>
                <w:szCs w:val="18"/>
                <w:color w:val="auto"/>
              </w:rPr>
              <w:t>Restructuring charges</w:t>
            </w: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gridSpan w:val="2"/>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8"/>
                <w:szCs w:val="18"/>
                <w:b w:val="1"/>
                <w:bCs w:val="1"/>
                <w:color w:val="auto"/>
                <w:w w:val="95"/>
              </w:rPr>
              <w:t>Operating loss</w:t>
            </w:r>
          </w:p>
        </w:tc>
        <w:tc>
          <w:tcPr>
            <w:tcW w:w="36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Interest income</w:t>
            </w:r>
          </w:p>
        </w:tc>
        <w:tc>
          <w:tcPr>
            <w:tcW w:w="364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w w:val="90"/>
              </w:rPr>
              <w:t>Interest expense</w:t>
            </w:r>
          </w:p>
        </w:tc>
        <w:tc>
          <w:tcPr>
            <w:tcW w:w="36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gridSpan w:val="2"/>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3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490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gridSpan w:val="2"/>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w:t>
            </w:r>
          </w:p>
        </w:tc>
        <w:tc>
          <w:tcPr>
            <w:tcW w:w="3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900" w:type="dxa"/>
            <w:vAlign w:val="bottom"/>
            <w:gridSpan w:val="2"/>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364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4900" w:type="dxa"/>
            <w:vAlign w:val="bottom"/>
            <w:gridSpan w:val="2"/>
          </w:tcPr>
          <w:p>
            <w:pPr>
              <w:ind w:left="40"/>
              <w:spacing w:after="0"/>
              <w:rPr>
                <w:sz w:val="20"/>
                <w:szCs w:val="20"/>
                <w:color w:val="auto"/>
              </w:rPr>
            </w:pPr>
            <w:r>
              <w:rPr>
                <w:rFonts w:ascii="Arial" w:cs="Arial" w:eastAsia="Arial" w:hAnsi="Arial"/>
                <w:sz w:val="18"/>
                <w:szCs w:val="18"/>
                <w:color w:val="auto"/>
                <w:w w:val="91"/>
              </w:rPr>
              <w:t>Less: Net income attributable to noncontrolling interests, net of tax</w:t>
            </w: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gridSpan w:val="2"/>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Aviat Networks</w:t>
            </w:r>
          </w:p>
        </w:tc>
        <w:tc>
          <w:tcPr>
            <w:tcW w:w="3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gridSpan w:val="2"/>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Amount attributable to Aviat Networks:</w:t>
            </w:r>
          </w:p>
        </w:tc>
        <w:tc>
          <w:tcPr>
            <w:tcW w:w="3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200"/>
              <w:spacing w:after="0"/>
              <w:rPr>
                <w:sz w:val="20"/>
                <w:szCs w:val="20"/>
                <w:color w:val="auto"/>
              </w:rPr>
            </w:pPr>
            <w:r>
              <w:rPr>
                <w:rFonts w:ascii="Arial" w:cs="Arial" w:eastAsia="Arial" w:hAnsi="Arial"/>
                <w:sz w:val="18"/>
                <w:szCs w:val="18"/>
                <w:color w:val="auto"/>
              </w:rPr>
              <w:t>Loss from continuing operations, net of tax</w:t>
            </w:r>
          </w:p>
        </w:tc>
        <w:tc>
          <w:tcPr>
            <w:tcW w:w="3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900" w:type="dxa"/>
            <w:vAlign w:val="bottom"/>
            <w:gridSpan w:val="2"/>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Income from discontinued operations, net of tax</w:t>
            </w:r>
          </w:p>
        </w:tc>
        <w:tc>
          <w:tcPr>
            <w:tcW w:w="3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97"/>
        </w:trPr>
        <w:tc>
          <w:tcPr>
            <w:tcW w:w="858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per share attributable to Aviat Networks’ common stockholders, basic and diluted:</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200"/>
              <w:spacing w:after="0"/>
              <w:rPr>
                <w:sz w:val="20"/>
                <w:szCs w:val="20"/>
                <w:color w:val="auto"/>
              </w:rPr>
            </w:pPr>
            <w:r>
              <w:rPr>
                <w:rFonts w:ascii="Arial" w:cs="Arial" w:eastAsia="Arial" w:hAnsi="Arial"/>
                <w:sz w:val="18"/>
                <w:szCs w:val="18"/>
                <w:color w:val="auto"/>
              </w:rPr>
              <w:t>Continuing operations</w:t>
            </w:r>
          </w:p>
        </w:tc>
        <w:tc>
          <w:tcPr>
            <w:tcW w:w="3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4900" w:type="dxa"/>
            <w:vAlign w:val="bottom"/>
            <w:gridSpan w:val="2"/>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3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43"/>
        </w:trPr>
        <w:tc>
          <w:tcPr>
            <w:tcW w:w="12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640" w:type="dxa"/>
            <w:vAlign w:val="bottom"/>
          </w:tcPr>
          <w:p>
            <w:pPr>
              <w:spacing w:after="0"/>
              <w:rPr>
                <w:sz w:val="21"/>
                <w:szCs w:val="21"/>
                <w:color w:val="auto"/>
              </w:rPr>
            </w:pPr>
          </w:p>
        </w:tc>
        <w:tc>
          <w:tcPr>
            <w:tcW w:w="3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4900" w:type="dxa"/>
            <w:vAlign w:val="bottom"/>
            <w:gridSpan w:val="2"/>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basic and diluted</w:t>
            </w:r>
          </w:p>
        </w:tc>
        <w:tc>
          <w:tcPr>
            <w:tcW w:w="3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126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90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90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3"/>
                <w:szCs w:val="13"/>
                <w:color w:val="auto"/>
              </w:rPr>
            </w:pPr>
          </w:p>
        </w:tc>
        <w:tc>
          <w:tcPr>
            <w:tcW w:w="120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w w:val="96"/>
              </w:rPr>
              <w:t>September 26,</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hedges: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 in unrealized gain (loss) on cash flow hedges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adjustments for (gain) loss included in net loss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change in unrealized gain (loss) on hedging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change in cumulative translation adjustment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attributable to Aviat Networks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w:t>
            </w:r>
          </w:p>
        </w:tc>
        <w:tc>
          <w:tcPr>
            <w:tcW w:w="280" w:type="dxa"/>
            <w:vAlign w:val="bottom"/>
          </w:tcPr>
          <w:p>
            <w:pPr>
              <w:spacing w:after="0"/>
              <w:rPr>
                <w:sz w:val="14"/>
                <w:szCs w:val="14"/>
                <w:color w:val="auto"/>
              </w:rPr>
            </w:pPr>
          </w:p>
        </w:tc>
        <w:tc>
          <w:tcPr>
            <w:tcW w:w="1080" w:type="dxa"/>
            <w:vAlign w:val="bottom"/>
          </w:tcPr>
          <w:p>
            <w:pPr>
              <w:jc w:val="right"/>
              <w:ind w:right="411"/>
              <w:spacing w:after="0"/>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Unbilled costs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service 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228.0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payments and unearned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uncertain tax positions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(Note 11)</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Aviat Networks stockholders’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paid-in-capital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(717.5)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Aviat Networks stockholders’ equity</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228.0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3"/>
                <w:szCs w:val="13"/>
                <w:color w:val="auto"/>
              </w:rPr>
            </w:pPr>
          </w:p>
        </w:tc>
        <w:tc>
          <w:tcPr>
            <w:tcW w:w="1200" w:type="dxa"/>
            <w:vAlign w:val="bottom"/>
          </w:tcPr>
          <w:p>
            <w:pPr>
              <w:jc w:val="right"/>
              <w:ind w:right="171"/>
              <w:spacing w:after="0" w:line="153" w:lineRule="exact"/>
              <w:rPr>
                <w:sz w:val="20"/>
                <w:szCs w:val="20"/>
                <w:color w:val="auto"/>
              </w:rPr>
            </w:pPr>
            <w:r>
              <w:rPr>
                <w:rFonts w:ascii="Arial" w:cs="Arial" w:eastAsia="Arial" w:hAnsi="Arial"/>
                <w:sz w:val="14"/>
                <w:szCs w:val="14"/>
                <w:b w:val="1"/>
                <w:bCs w:val="1"/>
                <w:color w:val="auto"/>
                <w:w w:val="96"/>
              </w:rPr>
              <w:t>September 26,</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Amortization of identifiable intangible assets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Depreciation and amortization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Provision for receivables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Deferred income tax benefit (expense)</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Charges for inventory and customer service inventory write-downs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Gain on disposition of WiMAX business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Loss on disposition of 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Unbilled costs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Customer service inventories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Advance payments and unearned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Income taxes payable or receivable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Other assets and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Payments for acquisition of property, plant and equipment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Repayments of borrowings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capital lease obligations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by us in accordance with generally accepted accounting principles in the United States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quarter ended October 2, 2015 (the “first quarter of fiscal 2016”)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July 3, 2015.</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condensed consolidated financial statements include the accounts of the Company and its wholly-owned and majority-owned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intercompany transactions and accounts have been eliminated.</w:t>
      </w:r>
    </w:p>
    <w:p>
      <w:pPr>
        <w:spacing w:after="0" w:line="15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We operate on a 52-week or 53-week year ending on the Friday nearest June 30. The first quarter of fiscal 2016 and the first quarter of fiscal 2015 included 13 weeks in each quarter.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preparation of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doubtful accounts, inventory valuation, valuation allowances for deferred tax assets, uncertainties in income taxes, restructuring obligations, product warranty obligations, share-based awards, contingencies and useful lives of property, plant and equipment.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71"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We recorded a $1.2 million reclassification to increase long term unearned income and decrease current advance payments and unearned income as of July 3, 2015. This reclassification had no impact on our total assets, total liabilities, results of operations or cash flows.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There have been no material changes in our significant accounting policies as of and for the first quarter of fiscal 2016, as compared to the significant accounting policies described in our Annual Report on Form 10-K for the fiscal year ended July 3, 2015.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 xml:space="preserve">On May 28, 2014, the Financial Accounting Standards Board (“FASB”) issued Accounting Standards Update (“ASU”) No.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which requires an entity to recognize the amount of revenue to which it expects to be entitled for the transfer of promised goods or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to customers. This ASU is based on the principle that revenue is recognized to depict the transfer of goods or services to customers in an amount that reflects the consideration to which the entity expects to be entitled in exchange for those goods or services. This ASU also requires additional disclosure about the nature, amount, timing and uncertainty of revenue and cash flows arising from customer contracts, including significant judgments and changes in judgments and assets recognized from costs incurred to obtain or fulfill a contract. In July 2015, the FASB deferred the effective date of the new revenue standard from December 15, 2016 to December 15, 2017, with early adoption permitted before annual periods beginning after December 15, 2016. Accordingly, the new standard is effective for us beginning in our fiscal year 2019. The principles may be applied retrospectively to each prior period presented or retrospectively with the cumulative effect recognized as of the date of initial application. We are currently evaluating the transition methods and the effect that this ASU will have on our consolidated financial statements and related disclosures.</w:t>
      </w:r>
    </w:p>
    <w:p>
      <w:pPr>
        <w:spacing w:after="0" w:line="124"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 xml:space="preserve">In July 2015, the FASB issued ASU No. 2015-11 (Subtopic 330), </w:t>
      </w:r>
      <w:r>
        <w:rPr>
          <w:rFonts w:ascii="Arial" w:cs="Arial" w:eastAsia="Arial" w:hAnsi="Arial"/>
          <w:sz w:val="16"/>
          <w:szCs w:val="16"/>
          <w:i w:val="1"/>
          <w:iCs w:val="1"/>
          <w:color w:val="auto"/>
        </w:rPr>
        <w:t>Simplifying the Measurement of Inventory</w:t>
      </w:r>
      <w:r>
        <w:rPr>
          <w:rFonts w:ascii="Arial" w:cs="Arial" w:eastAsia="Arial" w:hAnsi="Arial"/>
          <w:sz w:val="16"/>
          <w:szCs w:val="16"/>
          <w:color w:val="auto"/>
        </w:rPr>
        <w:t>, which provides guidance to companies who account for inventory using either the first-in, first-out (“FIFO”) or average cost methods. The guidance states that companies should measure inventory at the lower of cost and net realizable value. Net realizable value is defined as the estimated selling prices in the ordinary course of business, less reasonably predictable costs of completion, disposal and transportation. This ASU is effective for fiscal years beginning after December 15, 2016. Early adoption is permitted. We are currently evaluating the effect of the adoption of the standard will have on our consolidated financial statements and related disclosures.</w:t>
      </w:r>
    </w:p>
    <w:p>
      <w:pPr>
        <w:spacing w:after="0" w:line="104"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Interest - Imputation of Interest</w:t>
      </w:r>
      <w:r>
        <w:rPr>
          <w:rFonts w:ascii="Arial" w:cs="Arial" w:eastAsia="Arial" w:hAnsi="Arial"/>
          <w:sz w:val="18"/>
          <w:szCs w:val="18"/>
          <w:color w:val="auto"/>
        </w:rPr>
        <w:t xml:space="preserve"> (Subtopic 835-30), </w:t>
      </w:r>
      <w:r>
        <w:rPr>
          <w:rFonts w:ascii="Arial" w:cs="Arial" w:eastAsia="Arial" w:hAnsi="Arial"/>
          <w:sz w:val="18"/>
          <w:szCs w:val="18"/>
          <w:i w:val="1"/>
          <w:iCs w:val="1"/>
          <w:color w:val="auto"/>
        </w:rPr>
        <w:t>Simplifying the Presentation of Debt Issuance</w:t>
      </w:r>
      <w:r>
        <w:rPr>
          <w:rFonts w:ascii="Arial" w:cs="Arial" w:eastAsia="Arial" w:hAnsi="Arial"/>
          <w:sz w:val="18"/>
          <w:szCs w:val="18"/>
          <w:color w:val="auto"/>
        </w:rPr>
        <w:t xml:space="preserve"> </w:t>
      </w:r>
      <w:r>
        <w:rPr>
          <w:rFonts w:ascii="Arial" w:cs="Arial" w:eastAsia="Arial" w:hAnsi="Arial"/>
          <w:sz w:val="18"/>
          <w:szCs w:val="18"/>
          <w:i w:val="1"/>
          <w:iCs w:val="1"/>
          <w:color w:val="auto"/>
        </w:rPr>
        <w:t>Costs</w:t>
      </w:r>
      <w:r>
        <w:rPr>
          <w:rFonts w:ascii="Arial" w:cs="Arial" w:eastAsia="Arial" w:hAnsi="Arial"/>
          <w:sz w:val="18"/>
          <w:szCs w:val="18"/>
          <w:color w:val="auto"/>
        </w:rPr>
        <w:t>, which provides guidance on the balance sheet presentation for debt issuance costs and debt discounts and debt premiums. To simplify the presentation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debt issuance costs, the standard requires that debt issuance costs related to a recognized debt liability be presented in the balance sheet as a direct deduction from the carrying amount of that debt liability, consistent with debt discounts. The standard is effective for annual periods and interim periods within those annual periods beginning after December 15, 2015. We are currently evaluating the effect of the adoption of the standard will have on our consolidated financial statements and related disclosures.</w:t>
      </w:r>
    </w:p>
    <w:p>
      <w:pPr>
        <w:spacing w:after="0" w:line="139"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 xml:space="preserve">In August 2014, FASB issued ASU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which provides guidance on determining when and how to disclose going concern uncertainties in the financial statements. The guidance requires management to perform interim and annual assessments of an entity’s ability to continue as a going concern. This standard is effective for annual reporting periods beginning after December 15, 2016, including interim periods during the annual period. Early application is permitted. We are currently evaluating the effect of the adoption of the standard will have on our consolidated financial statements and related disclosures.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Loss Per Share of Common Stock</w:t>
      </w:r>
    </w:p>
    <w:p>
      <w:pPr>
        <w:spacing w:after="0" w:line="17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We compute net income (loss) per share attributable to the Company’s common stockholders using the two-class method. Basic net income (loss) per share is computed using the weighted average number of common shares and participating securities outstanding during the period. Our unvested restricted shares contain rights to receive non-forfeitable dividends and therefore are considered to be participating securities and would be included in the calculations of net income per basic and diluted common share. However, we incurred a net loss in all periods presented. In accordance with ASC subtopic 260-10, undistributed losses are not allocated to unvested restricted shares due to the fact that the unvested restricted shares are not contractually obligated to share in the losses of the company.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8" w:name="page9"/>
    <w:bookmarkEnd w:id="8"/>
    <w:p>
      <w:pPr>
        <w:ind w:right="160"/>
        <w:spacing w:after="0" w:line="264" w:lineRule="auto"/>
        <w:rPr>
          <w:sz w:val="20"/>
          <w:szCs w:val="20"/>
          <w:color w:val="auto"/>
        </w:rPr>
      </w:pPr>
      <w:r>
        <w:rPr>
          <w:rFonts w:ascii="Arial" w:cs="Arial" w:eastAsia="Arial" w:hAnsi="Arial"/>
          <w:sz w:val="18"/>
          <w:szCs w:val="18"/>
          <w:color w:val="auto"/>
        </w:rPr>
        <w:t>As we incurred a net loss for all periods presented, the effect of outstanding stock options, restricted stocks and units and performance shares and units were anti-dilutive and therefore were excluded from the diluted net loss per share calculations. The following table summarizes the potential shares of common stock that were excluded from the diluted net loss per share calculations: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October 2,</w:t>
            </w:r>
          </w:p>
        </w:tc>
        <w:tc>
          <w:tcPr>
            <w:tcW w:w="180" w:type="dxa"/>
            <w:vAlign w:val="bottom"/>
          </w:tcPr>
          <w:p>
            <w:pPr>
              <w:spacing w:after="0"/>
              <w:rPr>
                <w:sz w:val="13"/>
                <w:szCs w:val="13"/>
                <w:color w:val="auto"/>
              </w:rPr>
            </w:pPr>
          </w:p>
        </w:tc>
        <w:tc>
          <w:tcPr>
            <w:tcW w:w="118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4"/>
          </w:tcPr>
          <w:p>
            <w:pPr>
              <w:jc w:val="right"/>
              <w:ind w:right="957"/>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Restricted stocks and units and performance shares and units</w:t>
            </w:r>
          </w:p>
        </w:tc>
        <w:tc>
          <w:tcPr>
            <w:tcW w:w="22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potential shares of common stock excluded</w:t>
            </w: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b w:val="1"/>
                <w:bCs w:val="1"/>
                <w:color w:val="auto"/>
              </w:rPr>
              <w:t>Note 3. Balance Sheet Components</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ind w:left="420"/>
              <w:spacing w:after="0"/>
              <w:rPr>
                <w:sz w:val="20"/>
                <w:szCs w:val="20"/>
                <w:color w:val="auto"/>
              </w:rPr>
            </w:pPr>
            <w:r>
              <w:rPr>
                <w:rFonts w:ascii="Arial" w:cs="Arial" w:eastAsia="Arial" w:hAnsi="Arial"/>
                <w:sz w:val="18"/>
                <w:szCs w:val="18"/>
                <w:color w:val="auto"/>
              </w:rPr>
              <w:t>Our net accounts receivable as of October 2, 2015 and July 3, 2015 was as follows: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October 2,</w:t>
            </w:r>
          </w:p>
        </w:tc>
        <w:tc>
          <w:tcPr>
            <w:tcW w:w="180" w:type="dxa"/>
            <w:vAlign w:val="bottom"/>
          </w:tcPr>
          <w:p>
            <w:pPr>
              <w:spacing w:after="0"/>
              <w:rPr>
                <w:sz w:val="24"/>
                <w:szCs w:val="24"/>
                <w:color w:val="auto"/>
              </w:rPr>
            </w:pPr>
          </w:p>
        </w:tc>
        <w:tc>
          <w:tcPr>
            <w:tcW w:w="118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July 3,</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4"/>
          </w:tcPr>
          <w:p>
            <w:pPr>
              <w:jc w:val="right"/>
              <w:ind w:right="957"/>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regularly require letters of credit from some customers and, from time to time, we discount these letters of credit issued by customers through various financial institutions. The discounting of letters of credit depends on many factors, including the willingness of financial institutions to discount the letters of credit and the cost of such arrangements. Under these arrangements, collection risk is fully transferred to the financial institutions. We record the financing charges on discounting these letters of credit as interest expense. Total customer letters of credit discounted and related interest expense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80" w:type="dxa"/>
            <w:vAlign w:val="bottom"/>
            <w:tcBorders>
              <w:bottom w:val="single" w:sz="8" w:color="auto"/>
            </w:tcBorders>
          </w:tcPr>
          <w:p>
            <w:pPr>
              <w:spacing w:after="0"/>
              <w:rPr>
                <w:sz w:val="16"/>
                <w:szCs w:val="16"/>
                <w:color w:val="auto"/>
              </w:rPr>
            </w:pPr>
          </w:p>
        </w:tc>
      </w:tr>
      <w:tr>
        <w:trPr>
          <w:trHeight w:val="152"/>
        </w:trPr>
        <w:tc>
          <w:tcPr>
            <w:tcW w:w="8580" w:type="dxa"/>
            <w:vAlign w:val="bottom"/>
          </w:tcPr>
          <w:p>
            <w:pPr>
              <w:spacing w:after="0"/>
              <w:rPr>
                <w:sz w:val="13"/>
                <w:szCs w:val="13"/>
                <w:color w:val="auto"/>
              </w:rPr>
            </w:pPr>
          </w:p>
        </w:tc>
        <w:tc>
          <w:tcPr>
            <w:tcW w:w="10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2,</w:t>
            </w:r>
          </w:p>
        </w:tc>
        <w:tc>
          <w:tcPr>
            <w:tcW w:w="380" w:type="dxa"/>
            <w:vAlign w:val="bottom"/>
          </w:tcPr>
          <w:p>
            <w:pPr>
              <w:spacing w:after="0"/>
              <w:rPr>
                <w:sz w:val="13"/>
                <w:szCs w:val="13"/>
                <w:color w:val="auto"/>
              </w:rPr>
            </w:pPr>
          </w:p>
        </w:tc>
        <w:tc>
          <w:tcPr>
            <w:tcW w:w="14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September 26,</w:t>
            </w:r>
          </w:p>
        </w:tc>
      </w:tr>
      <w:tr>
        <w:trPr>
          <w:trHeight w:val="192"/>
        </w:trPr>
        <w:tc>
          <w:tcPr>
            <w:tcW w:w="8580" w:type="dxa"/>
            <w:vAlign w:val="bottom"/>
          </w:tcPr>
          <w:p>
            <w:pPr>
              <w:spacing w:after="0"/>
              <w:rPr>
                <w:sz w:val="16"/>
                <w:szCs w:val="16"/>
                <w:color w:val="auto"/>
              </w:rPr>
            </w:pP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r>
      <w:tr>
        <w:trPr>
          <w:trHeight w:val="250"/>
        </w:trPr>
        <w:tc>
          <w:tcPr>
            <w:tcW w:w="8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6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w w:val="99"/>
              </w:rPr>
              <w:t>(In millions)</w:t>
            </w:r>
          </w:p>
        </w:tc>
        <w:tc>
          <w:tcPr>
            <w:tcW w:w="880" w:type="dxa"/>
            <w:vAlign w:val="bottom"/>
          </w:tcPr>
          <w:p>
            <w:pPr>
              <w:spacing w:after="0"/>
              <w:rPr>
                <w:sz w:val="21"/>
                <w:szCs w:val="2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letters of credit being discounted</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5"/>
              </w:rPr>
              <w:t>2.7</w:t>
            </w:r>
          </w:p>
        </w:tc>
        <w:tc>
          <w:tcPr>
            <w:tcW w:w="5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000" w:type="dxa"/>
            <w:vAlign w:val="bottom"/>
          </w:tcPr>
          <w:p>
            <w:pPr>
              <w:jc w:val="right"/>
              <w:ind w:right="821"/>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inventories as of October 2, 2015 and July 3, 2015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w:t>
            </w:r>
          </w:p>
        </w:tc>
        <w:tc>
          <w:tcPr>
            <w:tcW w:w="400" w:type="dxa"/>
            <w:vAlign w:val="bottom"/>
          </w:tcPr>
          <w:p>
            <w:pPr>
              <w:spacing w:after="0"/>
              <w:rPr>
                <w:sz w:val="14"/>
                <w:szCs w:val="14"/>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July 3,</w:t>
            </w:r>
          </w:p>
        </w:tc>
      </w:tr>
      <w:tr>
        <w:trPr>
          <w:trHeight w:val="192"/>
        </w:trPr>
        <w:tc>
          <w:tcPr>
            <w:tcW w:w="48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196"/>
        </w:trPr>
        <w:tc>
          <w:tcPr>
            <w:tcW w:w="48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7"/>
                <w:szCs w:val="17"/>
                <w:color w:val="auto"/>
              </w:rPr>
            </w:pPr>
          </w:p>
        </w:tc>
      </w:tr>
      <w:tr>
        <w:trPr>
          <w:trHeight w:val="256"/>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39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3.8</w:t>
            </w: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37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w:t>
            </w:r>
          </w:p>
        </w:tc>
      </w:tr>
      <w:tr>
        <w:trPr>
          <w:trHeight w:val="237"/>
        </w:trPr>
        <w:tc>
          <w:tcPr>
            <w:tcW w:w="48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32.9</w:t>
            </w:r>
          </w:p>
        </w:tc>
      </w:tr>
      <w:tr>
        <w:trPr>
          <w:trHeight w:val="67"/>
        </w:trPr>
        <w:tc>
          <w:tcPr>
            <w:tcW w:w="4880" w:type="dxa"/>
            <w:vAlign w:val="bottom"/>
            <w:tcBorders>
              <w:bottom w:val="single" w:sz="8" w:color="CCEEFF"/>
            </w:tcBorders>
          </w:tcPr>
          <w:p>
            <w:pPr>
              <w:spacing w:after="0"/>
              <w:rPr>
                <w:sz w:val="5"/>
                <w:szCs w:val="5"/>
                <w:color w:val="auto"/>
              </w:rPr>
            </w:pPr>
          </w:p>
        </w:tc>
        <w:tc>
          <w:tcPr>
            <w:tcW w:w="3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revenue included within finished goods</w:t>
            </w:r>
          </w:p>
        </w:tc>
        <w:tc>
          <w:tcPr>
            <w:tcW w:w="39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Consigned inventories included within raw materials</w:t>
            </w:r>
          </w:p>
        </w:tc>
        <w:tc>
          <w:tcPr>
            <w:tcW w:w="39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6.8</w:t>
            </w:r>
          </w:p>
        </w:tc>
      </w:tr>
      <w:tr>
        <w:trPr>
          <w:trHeight w:val="486"/>
        </w:trPr>
        <w:tc>
          <w:tcPr>
            <w:tcW w:w="4880" w:type="dxa"/>
            <w:vAlign w:val="bottom"/>
          </w:tcPr>
          <w:p>
            <w:pPr>
              <w:spacing w:after="0"/>
              <w:rPr>
                <w:sz w:val="24"/>
                <w:szCs w:val="24"/>
                <w:color w:val="auto"/>
              </w:rPr>
            </w:pPr>
          </w:p>
        </w:tc>
        <w:tc>
          <w:tcPr>
            <w:tcW w:w="3700" w:type="dxa"/>
            <w:vAlign w:val="bottom"/>
          </w:tcPr>
          <w:p>
            <w:pPr>
              <w:jc w:val="right"/>
              <w:ind w:right="273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9" w:name="page10"/>
    <w:bookmarkEnd w:id="9"/>
    <w:p>
      <w:pPr>
        <w:jc w:val="both"/>
        <w:ind w:right="120" w:firstLine="405"/>
        <w:spacing w:after="0" w:line="264" w:lineRule="auto"/>
        <w:rPr>
          <w:sz w:val="20"/>
          <w:szCs w:val="20"/>
          <w:color w:val="auto"/>
        </w:rPr>
      </w:pPr>
      <w:r>
        <w:rPr>
          <w:rFonts w:ascii="Arial" w:cs="Arial" w:eastAsia="Arial" w:hAnsi="Arial"/>
          <w:sz w:val="18"/>
          <w:szCs w:val="18"/>
          <w:color w:val="auto"/>
        </w:rPr>
        <w:t>We recorded charges to adjust our inventory and customer service inventory to the lower of cost or market. These charges were primarily due to excess and obsolete inventory resulting from product transitioning and discontinuance. During the first quarter of fiscal 2016 and 2015, such charges incurred were classified in cost of product sales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935"/>
              <w:spacing w:after="0"/>
              <w:rPr>
                <w:sz w:val="20"/>
                <w:szCs w:val="20"/>
                <w:color w:val="auto"/>
              </w:rPr>
            </w:pPr>
            <w:r>
              <w:rPr>
                <w:rFonts w:ascii="Arial" w:cs="Arial" w:eastAsia="Arial" w:hAnsi="Arial"/>
                <w:sz w:val="14"/>
                <w:szCs w:val="14"/>
                <w:b w:val="1"/>
                <w:bCs w:val="1"/>
                <w:color w:val="auto"/>
              </w:rPr>
              <w:t>Quarter Ended</w:t>
            </w:r>
          </w:p>
        </w:tc>
      </w:tr>
      <w:tr>
        <w:trPr>
          <w:trHeight w:val="152"/>
        </w:trPr>
        <w:tc>
          <w:tcPr>
            <w:tcW w:w="8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October 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w w:val="93"/>
              </w:rPr>
              <w:t>September 26,</w:t>
            </w:r>
          </w:p>
        </w:tc>
      </w:tr>
      <w:tr>
        <w:trPr>
          <w:trHeight w:val="192"/>
        </w:trPr>
        <w:tc>
          <w:tcPr>
            <w:tcW w:w="8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8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80" w:type="dxa"/>
            <w:vAlign w:val="bottom"/>
            <w:gridSpan w:val="6"/>
          </w:tcPr>
          <w:p>
            <w:pPr>
              <w:jc w:val="right"/>
              <w:ind w:right="415"/>
              <w:spacing w:after="0"/>
              <w:rPr>
                <w:sz w:val="20"/>
                <w:szCs w:val="20"/>
                <w:color w:val="auto"/>
              </w:rPr>
            </w:pPr>
            <w:r>
              <w:rPr>
                <w:rFonts w:ascii="Arial" w:cs="Arial" w:eastAsia="Arial" w:hAnsi="Arial"/>
                <w:sz w:val="14"/>
                <w:szCs w:val="14"/>
                <w:b w:val="1"/>
                <w:bCs w:val="1"/>
                <w:color w:val="auto"/>
                <w:w w:val="99"/>
              </w:rPr>
              <w:t>(In millions, except percentages)</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charges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1.5</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ind w:left="72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ind w:left="800"/>
              <w:spacing w:after="0"/>
              <w:rPr>
                <w:sz w:val="20"/>
                <w:szCs w:val="20"/>
                <w:color w:val="auto"/>
              </w:rPr>
            </w:pPr>
            <w:r>
              <w:rPr>
                <w:rFonts w:ascii="Arial" w:cs="Arial" w:eastAsia="Arial" w:hAnsi="Arial"/>
                <w:sz w:val="18"/>
                <w:szCs w:val="18"/>
                <w:color w:val="auto"/>
              </w:rPr>
              <w:t>0.6</w:t>
            </w: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2.1</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420" w:type="dxa"/>
            <w:vAlign w:val="bottom"/>
          </w:tcPr>
          <w:p>
            <w:pPr>
              <w:ind w:left="40"/>
              <w:spacing w:after="0"/>
              <w:rPr>
                <w:sz w:val="20"/>
                <w:szCs w:val="20"/>
                <w:color w:val="auto"/>
              </w:rPr>
            </w:pPr>
            <w:r>
              <w:rPr>
                <w:rFonts w:ascii="Arial" w:cs="Arial" w:eastAsia="Arial" w:hAnsi="Arial"/>
                <w:sz w:val="18"/>
                <w:szCs w:val="18"/>
                <w:color w:val="auto"/>
              </w:rPr>
              <w:t>As % of revenue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ind w:left="720"/>
              <w:spacing w:after="0"/>
              <w:rPr>
                <w:sz w:val="20"/>
                <w:szCs w:val="20"/>
                <w:color w:val="auto"/>
              </w:rPr>
            </w:pPr>
            <w:r>
              <w:rPr>
                <w:rFonts w:ascii="Arial" w:cs="Arial" w:eastAsia="Arial" w:hAnsi="Arial"/>
                <w:sz w:val="18"/>
                <w:szCs w:val="18"/>
                <w:color w:val="auto"/>
                <w:w w:val="92"/>
              </w:rPr>
              <w:t>1.3%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ind w:left="800"/>
              <w:spacing w:after="0"/>
              <w:rPr>
                <w:sz w:val="20"/>
                <w:szCs w:val="20"/>
                <w:color w:val="auto"/>
              </w:rPr>
            </w:pPr>
            <w:r>
              <w:rPr>
                <w:rFonts w:ascii="Arial" w:cs="Arial" w:eastAsia="Arial" w:hAnsi="Arial"/>
                <w:sz w:val="18"/>
                <w:szCs w:val="18"/>
                <w:color w:val="auto"/>
                <w:w w:val="97"/>
              </w:rPr>
              <w:t>2.5%</w:t>
            </w:r>
          </w:p>
        </w:tc>
      </w:tr>
      <w:tr>
        <w:trPr>
          <w:trHeight w:val="405"/>
        </w:trPr>
        <w:tc>
          <w:tcPr>
            <w:tcW w:w="8420" w:type="dxa"/>
            <w:vAlign w:val="bottom"/>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8420" w:type="dxa"/>
            <w:vAlign w:val="bottom"/>
          </w:tcPr>
          <w:p>
            <w:pPr>
              <w:ind w:left="440"/>
              <w:spacing w:after="0"/>
              <w:rPr>
                <w:sz w:val="20"/>
                <w:szCs w:val="20"/>
                <w:color w:val="auto"/>
              </w:rPr>
            </w:pPr>
            <w:r>
              <w:rPr>
                <w:rFonts w:ascii="Arial" w:cs="Arial" w:eastAsia="Arial" w:hAnsi="Arial"/>
                <w:sz w:val="18"/>
                <w:szCs w:val="18"/>
                <w:color w:val="auto"/>
              </w:rPr>
              <w:t>Our property, plant and equipment, net as of October 2, 2015 and July 3, 2015 were as follows: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8"/>
        </w:trPr>
        <w:tc>
          <w:tcPr>
            <w:tcW w:w="8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ind w:left="180"/>
              <w:spacing w:after="0"/>
              <w:rPr>
                <w:sz w:val="20"/>
                <w:szCs w:val="20"/>
                <w:color w:val="auto"/>
              </w:rPr>
            </w:pPr>
            <w:r>
              <w:rPr>
                <w:rFonts w:ascii="Arial" w:cs="Arial" w:eastAsia="Arial" w:hAnsi="Arial"/>
                <w:sz w:val="14"/>
                <w:szCs w:val="14"/>
                <w:b w:val="1"/>
                <w:bCs w:val="1"/>
                <w:color w:val="auto"/>
              </w:rPr>
              <w:t>October 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July 3,</w:t>
            </w:r>
          </w:p>
        </w:tc>
      </w:tr>
      <w:tr>
        <w:trPr>
          <w:trHeight w:val="192"/>
        </w:trPr>
        <w:tc>
          <w:tcPr>
            <w:tcW w:w="8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2015</w:t>
            </w:r>
          </w:p>
        </w:tc>
      </w:tr>
      <w:tr>
        <w:trPr>
          <w:trHeight w:val="196"/>
        </w:trPr>
        <w:tc>
          <w:tcPr>
            <w:tcW w:w="8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6"/>
          </w:tcPr>
          <w:p>
            <w:pPr>
              <w:jc w:val="right"/>
              <w:ind w:right="955"/>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9.7</w:t>
            </w: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45.2</w:t>
            </w: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69.2</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(46.6)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24.3</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80" w:type="dxa"/>
            <w:vAlign w:val="bottom"/>
            <w:tcBorders>
              <w:bottom w:val="single" w:sz="8" w:color="auto"/>
            </w:tcBorders>
          </w:tcPr>
          <w:p>
            <w:pPr>
              <w:spacing w:after="0"/>
              <w:rPr>
                <w:sz w:val="16"/>
                <w:szCs w:val="16"/>
                <w:color w:val="auto"/>
              </w:rPr>
            </w:pPr>
          </w:p>
        </w:tc>
      </w:tr>
      <w:tr>
        <w:trPr>
          <w:trHeight w:val="152"/>
        </w:trPr>
        <w:tc>
          <w:tcPr>
            <w:tcW w:w="8580" w:type="dxa"/>
            <w:vAlign w:val="bottom"/>
          </w:tcPr>
          <w:p>
            <w:pPr>
              <w:spacing w:after="0"/>
              <w:rPr>
                <w:sz w:val="13"/>
                <w:szCs w:val="13"/>
                <w:color w:val="auto"/>
              </w:rPr>
            </w:pPr>
          </w:p>
        </w:tc>
        <w:tc>
          <w:tcPr>
            <w:tcW w:w="1000" w:type="dxa"/>
            <w:vAlign w:val="bottom"/>
          </w:tcPr>
          <w:p>
            <w:pPr>
              <w:jc w:val="center"/>
              <w:ind w:left="244"/>
              <w:spacing w:after="0" w:line="153" w:lineRule="exact"/>
              <w:rPr>
                <w:sz w:val="20"/>
                <w:szCs w:val="20"/>
                <w:color w:val="auto"/>
              </w:rPr>
            </w:pPr>
            <w:r>
              <w:rPr>
                <w:rFonts w:ascii="Arial" w:cs="Arial" w:eastAsia="Arial" w:hAnsi="Arial"/>
                <w:sz w:val="14"/>
                <w:szCs w:val="14"/>
                <w:b w:val="1"/>
                <w:bCs w:val="1"/>
                <w:color w:val="auto"/>
                <w:w w:val="92"/>
              </w:rPr>
              <w:t>October 2,</w:t>
            </w:r>
          </w:p>
        </w:tc>
        <w:tc>
          <w:tcPr>
            <w:tcW w:w="380" w:type="dxa"/>
            <w:vAlign w:val="bottom"/>
          </w:tcPr>
          <w:p>
            <w:pPr>
              <w:spacing w:after="0"/>
              <w:rPr>
                <w:sz w:val="13"/>
                <w:szCs w:val="13"/>
                <w:color w:val="auto"/>
              </w:rPr>
            </w:pPr>
          </w:p>
        </w:tc>
        <w:tc>
          <w:tcPr>
            <w:tcW w:w="14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September 26,</w:t>
            </w:r>
          </w:p>
        </w:tc>
      </w:tr>
      <w:tr>
        <w:trPr>
          <w:trHeight w:val="192"/>
        </w:trPr>
        <w:tc>
          <w:tcPr>
            <w:tcW w:w="8580" w:type="dxa"/>
            <w:vAlign w:val="bottom"/>
          </w:tcPr>
          <w:p>
            <w:pPr>
              <w:spacing w:after="0"/>
              <w:rPr>
                <w:sz w:val="16"/>
                <w:szCs w:val="16"/>
                <w:color w:val="auto"/>
              </w:rPr>
            </w:pPr>
          </w:p>
        </w:tc>
        <w:tc>
          <w:tcPr>
            <w:tcW w:w="100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r>
      <w:tr>
        <w:trPr>
          <w:trHeight w:val="196"/>
        </w:trPr>
        <w:tc>
          <w:tcPr>
            <w:tcW w:w="8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7"/>
                <w:szCs w:val="17"/>
                <w:color w:val="auto"/>
              </w:rPr>
            </w:pPr>
          </w:p>
        </w:tc>
      </w:tr>
      <w:tr>
        <w:trPr>
          <w:trHeight w:val="249"/>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w:t>
            </w:r>
          </w:p>
        </w:tc>
      </w:tr>
      <w:tr>
        <w:trPr>
          <w:trHeight w:val="27"/>
        </w:trPr>
        <w:tc>
          <w:tcPr>
            <w:tcW w:w="85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jc w:val="both"/>
        <w:ind w:right="120" w:firstLine="405"/>
        <w:spacing w:after="0" w:line="342" w:lineRule="auto"/>
        <w:rPr>
          <w:sz w:val="20"/>
          <w:szCs w:val="20"/>
          <w:color w:val="auto"/>
        </w:rPr>
      </w:pPr>
      <w:r>
        <w:rPr>
          <w:rFonts w:ascii="Arial" w:cs="Arial" w:eastAsia="Arial" w:hAnsi="Arial"/>
          <w:sz w:val="16"/>
          <w:szCs w:val="16"/>
          <w:color w:val="auto"/>
        </w:rPr>
        <w:t>We accrue for the estimated cost to repair or replace products under warranty at the time of sale. Changes in our warranty liability, which is included as a component of other accrued expenses in the condensed consolidated balance sheets, during the first quarter of fiscal 2016 and 2015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3"/>
                <w:szCs w:val="13"/>
                <w:color w:val="auto"/>
              </w:rPr>
            </w:pPr>
          </w:p>
        </w:tc>
        <w:tc>
          <w:tcPr>
            <w:tcW w:w="120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w w:val="96"/>
              </w:rPr>
              <w:t>September 26,</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4"/>
          </w:tcPr>
          <w:p>
            <w:pPr>
              <w:jc w:val="right"/>
              <w:ind w:right="95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fiscal year</w:t>
            </w:r>
          </w:p>
        </w:tc>
        <w:tc>
          <w:tcPr>
            <w:tcW w:w="43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Warranty provision recorded during the period</w:t>
            </w:r>
          </w:p>
        </w:tc>
        <w:tc>
          <w:tcPr>
            <w:tcW w:w="4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40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40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080" w:type="dxa"/>
            <w:vAlign w:val="bottom"/>
            <w:vMerge w:val="restart"/>
          </w:tcPr>
          <w:p>
            <w:pPr>
              <w:jc w:val="right"/>
              <w:ind w:right="269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08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0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Fair Value Measurements of Assets and Liabilities</w:t>
      </w:r>
    </w:p>
    <w:p>
      <w:pPr>
        <w:spacing w:after="0" w:line="175"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0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October 2, 2015 and July 3, 2015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w w:val="93"/>
              </w:rPr>
              <w:t>October 2, 2015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July 3, 2015</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4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Valuation Inputs</w:t>
            </w:r>
          </w:p>
        </w:tc>
      </w:tr>
      <w:tr>
        <w:trPr>
          <w:trHeight w:val="264"/>
        </w:trPr>
        <w:tc>
          <w:tcPr>
            <w:tcW w:w="50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8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1"/>
              </w:rPr>
              <w:t>13.7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6"/>
              </w:rPr>
              <w:t>Level 1</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Bank certificates of deposit</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6"/>
              <w:spacing w:after="0"/>
              <w:rPr>
                <w:sz w:val="20"/>
                <w:szCs w:val="20"/>
                <w:color w:val="auto"/>
              </w:rPr>
            </w:pPr>
            <w:r>
              <w:rPr>
                <w:rFonts w:ascii="Arial" w:cs="Arial" w:eastAsia="Arial" w:hAnsi="Arial"/>
                <w:sz w:val="18"/>
                <w:szCs w:val="18"/>
                <w:color w:val="auto"/>
              </w:rPr>
              <w:t>0.2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bl>
    <w:p>
      <w:pPr>
        <w:spacing w:after="0" w:line="175"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We classify items within Level 1 if quoted prices are available in active markets. Our Level 1 items include shares in money market funds purchased from two major financial institutions. As of October 2, 2015 and July 3, 2015, these money market shares were valued at $1.00 net asset value per share by these financial institutions.</w:t>
      </w:r>
    </w:p>
    <w:p>
      <w:pPr>
        <w:spacing w:after="0" w:line="127"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assets and liabilities related to our foreign currency forward contracts were not material as of October 2, 2015 and July 3, 2015. The changes in fair value related to our foreign currency forward contracts were recorded in the income or expense line item on our statements of operations. We did not have any recurring assets whose fair value was measured using significant unobservable inputs.</w:t>
      </w:r>
    </w:p>
    <w:p>
      <w:pPr>
        <w:spacing w:after="0" w:line="12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quarter of fiscal 2016 and 2015, we had no transfers between levels of the fair value hierarchy of our assets or liabilities measured at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Credit Facility and Debt</w:t>
      </w:r>
    </w:p>
    <w:p>
      <w:pPr>
        <w:spacing w:after="0" w:line="17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March 28, 2014, we entered into a Second Amended and Restated Loan Agreement with Silicon Valley Bank (as amended, the “SVB Credit Facility”). The SVB Credit Facility was amended in 2014 to provide for extensions to the deadline for preparing and filing our fiscal 2014 financial statements with the SEC. On February 27, 2015, the SVB Credit Facility was further amended to provide for certain amendments to the financial covenants, borrowing base and an early termination fee if the SVB Credit Facility is terminated prior to its expiration. This agreement amends and restates our existing First Amended and Restated Loan and Security Agreement, which was entered into on September 27, 2013 and amended providing for certain amendments to the maximum borrowing limit and financial covenants. The SVB Credit Facility expires on September 26, 2016 and our outstanding debt balance was $9.0 million as of both October 2, 2015 and July 3, 2015.</w:t>
      </w:r>
    </w:p>
    <w:p>
      <w:pPr>
        <w:spacing w:after="0" w:line="13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SVB Credit Facility provides for a committed amount of up to $40.0 million, with a $30.0 million sublimit that can be borrowed by our Singapore subsidiary. Borrowings that may be advanced under the SVB Credit Facility at the lesser of $40.0 million or a borrowing base equal to a specified percentage of the value of eligible accounts receivable and U.S. unbilled accounts of the Company, subject to certain reserves and eligibility criteria. The SVB Credit Facility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96" w:right="239" w:bottom="1440" w:gutter="0" w:footer="0" w:header="0"/>
        </w:sectPr>
      </w:pPr>
    </w:p>
    <w:bookmarkStart w:id="11" w:name="page12"/>
    <w:bookmarkEnd w:id="11"/>
    <w:p>
      <w:pPr>
        <w:ind w:right="80"/>
        <w:spacing w:after="0" w:line="259" w:lineRule="auto"/>
        <w:rPr>
          <w:sz w:val="20"/>
          <w:szCs w:val="20"/>
          <w:color w:val="auto"/>
        </w:rPr>
      </w:pPr>
      <w:r>
        <w:rPr>
          <w:rFonts w:ascii="Arial" w:cs="Arial" w:eastAsia="Arial" w:hAnsi="Arial"/>
          <w:sz w:val="18"/>
          <w:szCs w:val="18"/>
          <w:color w:val="auto"/>
        </w:rPr>
        <w:t>can also be utilized to issue letters of credit. Principal, together with all accrued and unpaid interest, is due and payable on September 26, 2016. If the SVB Credit Facility is terminated by us in certain circumstances prior to its expiration, we are subject to an early termination fee equal to 1% of the revolving line. As of October 2, 2015, available credit under the SVB Credit Facility was $19.4 million reflecting the calculated borrowing base of $32.5 million less existing borrowings of $9.0 million and outstanding letters of credit of $4.1 million.</w:t>
      </w:r>
    </w:p>
    <w:p>
      <w:pPr>
        <w:spacing w:after="0" w:line="13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 xml:space="preserve">Borrowings under the SVB Credit Facility carry an interest rate computed at the daily prime rate as published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plus a spread of 0.50% to 1.50%, with such spread determined based on our adjusted quick ratio. If a minimum adjusted quick ratio requirement is satisfied, LIBOR advances are offered at LIBOR plus a spread of 2.75%. Interest is due and payable in arrears monthly for prime rate loans and, for LIBOR rate loans, at the end of an interest period or at each three-month interval if the interest period is greater than three months. During the first quarter of fiscal year 2016, the weighted average interest rate on our outstanding loan was 3.75%.</w:t>
      </w:r>
    </w:p>
    <w:p>
      <w:pPr>
        <w:spacing w:after="0" w:line="134"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 above the applicable interest rate. As of October 2, 2015, we were in compliance with the quarterly financial covenants contained in the SVB Credit Facility.</w:t>
      </w:r>
    </w:p>
    <w:p>
      <w:pPr>
        <w:spacing w:after="0" w:line="112"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During the fourth quarter of fiscal 2015, we obtained an uncommitted short-term line of credit of $0.4 million from a bank in New Zealand to support the operations of our subsidiary located there. This line of credit provides for $0.3 million in short-term advances at various interest rates, all of which was available as of October 2, 2015. The line of credit also provides for the issuance of standby letters of credit and company credit cards, of which $0.1 million was outstanding as of October 2, 2015. This facility may be terminated upon notice, is reviewed annually for renewal or modification, and is supported by a corporate guarantee.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Restructuring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2015-2016 Plan</w:t>
      </w:r>
    </w:p>
    <w:p>
      <w:pPr>
        <w:spacing w:after="0" w:line="171"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During the third quarter of fiscal 2015, with the intent to bring our operational cost structure in line with the changing dynamics of the microwave radio and telecommunications markets, we initiated a restructuring plan (the “Fiscal 2015-2016 Plan”) to lower fixed overhead costs and operating expenses and to preserve cash flow. Activities under the Fiscal 2015-2016 Plan primarily include reductions in force across the Company, but primarily in operations outside the United States.</w:t>
      </w:r>
    </w:p>
    <w:p>
      <w:pPr>
        <w:spacing w:after="0" w:line="133"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table summarizes our costs incurred during the first quarter of fiscal 2016, estimated additional costs to be incurred and estimated total costs expected to be incurred as of October 2, 2015 under the Fiscal 2015-2016 Plan: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Costs Incurred During</w:t>
            </w: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Cumulative</w:t>
            </w: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Estimated Additional</w:t>
            </w:r>
          </w:p>
        </w:tc>
        <w:tc>
          <w:tcPr>
            <w:tcW w:w="140" w:type="dxa"/>
            <w:vAlign w:val="bottom"/>
          </w:tcPr>
          <w:p>
            <w:pPr>
              <w:spacing w:after="0"/>
              <w:rPr>
                <w:sz w:val="14"/>
                <w:szCs w:val="14"/>
                <w:color w:val="auto"/>
              </w:rPr>
            </w:pPr>
          </w:p>
        </w:tc>
        <w:tc>
          <w:tcPr>
            <w:tcW w:w="13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4"/>
              </w:rPr>
              <w:t>Total Restructuring</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the Quarter Ended</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15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October 2, 2015</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5"/>
              </w:rPr>
              <w:t>Through</w:t>
            </w:r>
          </w:p>
        </w:tc>
        <w:tc>
          <w:tcPr>
            <w:tcW w:w="360" w:type="dxa"/>
            <w:vAlign w:val="bottom"/>
          </w:tcPr>
          <w:p>
            <w:pPr>
              <w:spacing w:after="0"/>
              <w:rPr>
                <w:sz w:val="12"/>
                <w:szCs w:val="12"/>
                <w:color w:val="auto"/>
              </w:rPr>
            </w:pPr>
          </w:p>
        </w:tc>
        <w:tc>
          <w:tcPr>
            <w:tcW w:w="1220" w:type="dxa"/>
            <w:vAlign w:val="bottom"/>
            <w:gridSpan w:val="2"/>
          </w:tcPr>
          <w:p>
            <w:pPr>
              <w:jc w:val="center"/>
              <w:ind w:right="460"/>
              <w:spacing w:after="0" w:line="139" w:lineRule="exact"/>
              <w:rPr>
                <w:sz w:val="20"/>
                <w:szCs w:val="20"/>
                <w:color w:val="auto"/>
              </w:rPr>
            </w:pPr>
            <w:r>
              <w:rPr>
                <w:rFonts w:ascii="Arial" w:cs="Arial" w:eastAsia="Arial" w:hAnsi="Arial"/>
                <w:sz w:val="14"/>
                <w:szCs w:val="14"/>
                <w:b w:val="1"/>
                <w:bCs w:val="1"/>
                <w:color w:val="auto"/>
                <w:w w:val="89"/>
              </w:rPr>
              <w:t>Costs to be</w:t>
            </w:r>
          </w:p>
        </w:tc>
        <w:tc>
          <w:tcPr>
            <w:tcW w:w="140" w:type="dxa"/>
            <w:vAlign w:val="bottom"/>
          </w:tcPr>
          <w:p>
            <w:pPr>
              <w:spacing w:after="0"/>
              <w:rPr>
                <w:sz w:val="12"/>
                <w:szCs w:val="12"/>
                <w:color w:val="auto"/>
              </w:rPr>
            </w:pPr>
          </w:p>
        </w:tc>
        <w:tc>
          <w:tcPr>
            <w:tcW w:w="1340" w:type="dxa"/>
            <w:vAlign w:val="bottom"/>
          </w:tcPr>
          <w:p>
            <w:pPr>
              <w:jc w:val="center"/>
              <w:ind w:right="39"/>
              <w:spacing w:after="0" w:line="139"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October 2, 2015</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9"/>
              </w:rPr>
              <w:t>Incurred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3"/>
          </w:tcPr>
          <w:p>
            <w:pPr>
              <w:ind w:left="940"/>
              <w:spacing w:after="0"/>
              <w:rPr>
                <w:sz w:val="20"/>
                <w:szCs w:val="20"/>
                <w:color w:val="auto"/>
              </w:rPr>
            </w:pPr>
            <w:r>
              <w:rPr>
                <w:rFonts w:ascii="Arial" w:cs="Arial" w:eastAsia="Arial" w:hAnsi="Arial"/>
                <w:sz w:val="14"/>
                <w:szCs w:val="14"/>
                <w:b w:val="1"/>
                <w:bCs w:val="1"/>
                <w:color w:val="auto"/>
                <w:w w:val="99"/>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ind w:left="94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2015-2016 Plan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During the first quarter of fiscal 2016, we recorded $0.1 million in severance and related benefits costs and a $0.1 million adjustment to the accrual on Slovenia government fund repayment related to workforce reduction. We intend to substantially complete the remaining restructuring activities under the Fiscal 2015-2016 Plan by the end of fiscal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Fiscal 2014-2015 Plan</w:t>
      </w:r>
    </w:p>
    <w:p>
      <w:pPr>
        <w:spacing w:after="0" w:line="171" w:lineRule="exact"/>
        <w:rPr>
          <w:sz w:val="20"/>
          <w:szCs w:val="20"/>
          <w:color w:val="auto"/>
        </w:rPr>
      </w:pPr>
    </w:p>
    <w:p>
      <w:pPr>
        <w:jc w:val="both"/>
        <w:ind w:right="180" w:firstLine="405"/>
        <w:spacing w:after="0" w:line="312" w:lineRule="auto"/>
        <w:rPr>
          <w:sz w:val="20"/>
          <w:szCs w:val="20"/>
          <w:color w:val="auto"/>
        </w:rPr>
      </w:pPr>
      <w:r>
        <w:rPr>
          <w:rFonts w:ascii="Arial" w:cs="Arial" w:eastAsia="Arial" w:hAnsi="Arial"/>
          <w:sz w:val="16"/>
          <w:szCs w:val="16"/>
          <w:color w:val="auto"/>
        </w:rPr>
        <w:t>During the third quarter of fiscal 2014, in line with the decrease in revenue that we experienced and our reduced forecast for the immediate future, we initiated a restructuring plan (the “Fiscal 2014-2015 Plan”) to reduce our operating costs, primarily in North America, Europe and Asia. Activities under the Fiscal 2014-2015 Plan primarily include reductions in force and additional facility downsizing of our Santa Clara, California headquarters.</w:t>
      </w:r>
    </w:p>
    <w:p>
      <w:pPr>
        <w:spacing w:after="0" w:line="93"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following table summarizes our costs incurred during the first quarter of fiscal 2016 and 2015, estimated additional costs to be incurred and estimated total costs expected to be incurred as of October 2, 2015 under the Fiscal 2014-2015 Plan: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Costs Incurred During</w:t>
            </w:r>
          </w:p>
        </w:tc>
        <w:tc>
          <w:tcPr>
            <w:tcW w:w="16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4"/>
                <w:szCs w:val="14"/>
                <w:color w:val="auto"/>
              </w:rPr>
            </w:pPr>
          </w:p>
        </w:tc>
        <w:tc>
          <w:tcPr>
            <w:tcW w:w="13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4"/>
              </w:rPr>
              <w:t>Total Restructuring</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6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the Quarter Ended</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36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Through</w:t>
            </w:r>
          </w:p>
        </w:tc>
        <w:tc>
          <w:tcPr>
            <w:tcW w:w="200" w:type="dxa"/>
            <w:vAlign w:val="bottom"/>
          </w:tcPr>
          <w:p>
            <w:pPr>
              <w:spacing w:after="0"/>
              <w:rPr>
                <w:sz w:val="4"/>
                <w:szCs w:val="4"/>
                <w:color w:val="auto"/>
              </w:rPr>
            </w:pPr>
          </w:p>
        </w:tc>
        <w:tc>
          <w:tcPr>
            <w:tcW w:w="11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Costs to be</w:t>
            </w:r>
          </w:p>
        </w:tc>
        <w:tc>
          <w:tcPr>
            <w:tcW w:w="140" w:type="dxa"/>
            <w:vAlign w:val="bottom"/>
          </w:tcPr>
          <w:p>
            <w:pPr>
              <w:spacing w:after="0"/>
              <w:rPr>
                <w:sz w:val="4"/>
                <w:szCs w:val="4"/>
                <w:color w:val="auto"/>
              </w:rPr>
            </w:pPr>
          </w:p>
        </w:tc>
        <w:tc>
          <w:tcPr>
            <w:tcW w:w="1340" w:type="dxa"/>
            <w:vAlign w:val="bottom"/>
            <w:vMerge w:val="restart"/>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79"/>
        </w:trPr>
        <w:tc>
          <w:tcPr>
            <w:tcW w:w="3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October 2, 2015</w:t>
            </w:r>
          </w:p>
        </w:tc>
        <w:tc>
          <w:tcPr>
            <w:tcW w:w="180" w:type="dxa"/>
            <w:vAlign w:val="bottom"/>
          </w:tcPr>
          <w:p>
            <w:pPr>
              <w:spacing w:after="0"/>
              <w:rPr>
                <w:sz w:val="6"/>
                <w:szCs w:val="6"/>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26, 2014</w:t>
            </w:r>
          </w:p>
        </w:tc>
        <w:tc>
          <w:tcPr>
            <w:tcW w:w="1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October 2, 2015</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Incurred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66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180" w:type="dxa"/>
            <w:vAlign w:val="bottom"/>
          </w:tcPr>
          <w:p>
            <w:pPr>
              <w:spacing w:after="0"/>
              <w:rPr>
                <w:sz w:val="21"/>
                <w:szCs w:val="21"/>
                <w:color w:val="auto"/>
              </w:rPr>
            </w:pP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2014-2015 Plan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We have substantially completed the restructuring activities under the Fiscal 2014-2015 Plan as of the end of fiscal 2015. The remaining additional costs to be incurred under the Fiscal 2014-2015 Plan primarily included our facility costs related to the cease-to-use space at our Santa Clara, California headquarters through the remaining lease term.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2013-2014 Plan</w:t>
      </w:r>
    </w:p>
    <w:p>
      <w:pPr>
        <w:spacing w:after="0" w:line="171"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During the fourth quarter of fiscal 2013, we initiated a restructuring plan (the “Fiscal 2013-2014 Plan”) that was intended to reduce our operating expenses primarily in North America, Europe and Asia. Activities under the Fiscal 2013-2014 Plan included reductions in force and facility downsizing of our Santa Clara, California headquarters and certain international field offices.</w:t>
      </w:r>
    </w:p>
    <w:p>
      <w:pPr>
        <w:spacing w:after="0" w:line="127"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following table summarizes our costs incurred during the first quarter of fiscal 2016 and 2015, estimated additional costs to be incurred and estimated total costs expected to be incurred as of October 2, 2015 under the Fiscal 2013-2014 Plan: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Costs Incurred During</w:t>
            </w:r>
          </w:p>
        </w:tc>
        <w:tc>
          <w:tcPr>
            <w:tcW w:w="16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4"/>
                <w:szCs w:val="14"/>
                <w:color w:val="auto"/>
              </w:rPr>
            </w:pPr>
          </w:p>
        </w:tc>
        <w:tc>
          <w:tcPr>
            <w:tcW w:w="13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4"/>
              </w:rPr>
              <w:t>Total Restructuring</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6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the Quarter Ended</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36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Through</w:t>
            </w:r>
          </w:p>
        </w:tc>
        <w:tc>
          <w:tcPr>
            <w:tcW w:w="200" w:type="dxa"/>
            <w:vAlign w:val="bottom"/>
          </w:tcPr>
          <w:p>
            <w:pPr>
              <w:spacing w:after="0"/>
              <w:rPr>
                <w:sz w:val="4"/>
                <w:szCs w:val="4"/>
                <w:color w:val="auto"/>
              </w:rPr>
            </w:pPr>
          </w:p>
        </w:tc>
        <w:tc>
          <w:tcPr>
            <w:tcW w:w="11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Costs to be</w:t>
            </w:r>
          </w:p>
        </w:tc>
        <w:tc>
          <w:tcPr>
            <w:tcW w:w="140" w:type="dxa"/>
            <w:vAlign w:val="bottom"/>
          </w:tcPr>
          <w:p>
            <w:pPr>
              <w:spacing w:after="0"/>
              <w:rPr>
                <w:sz w:val="4"/>
                <w:szCs w:val="4"/>
                <w:color w:val="auto"/>
              </w:rPr>
            </w:pPr>
          </w:p>
        </w:tc>
        <w:tc>
          <w:tcPr>
            <w:tcW w:w="1340" w:type="dxa"/>
            <w:vAlign w:val="bottom"/>
            <w:vMerge w:val="restart"/>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79"/>
        </w:trPr>
        <w:tc>
          <w:tcPr>
            <w:tcW w:w="3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October 2, 2015</w:t>
            </w:r>
          </w:p>
        </w:tc>
        <w:tc>
          <w:tcPr>
            <w:tcW w:w="180" w:type="dxa"/>
            <w:vAlign w:val="bottom"/>
          </w:tcPr>
          <w:p>
            <w:pPr>
              <w:spacing w:after="0"/>
              <w:rPr>
                <w:sz w:val="6"/>
                <w:szCs w:val="6"/>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26, 2014</w:t>
            </w:r>
          </w:p>
        </w:tc>
        <w:tc>
          <w:tcPr>
            <w:tcW w:w="1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October 2, 2015</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Incurred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66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180" w:type="dxa"/>
            <w:vAlign w:val="bottom"/>
          </w:tcPr>
          <w:p>
            <w:pPr>
              <w:spacing w:after="0"/>
              <w:rPr>
                <w:sz w:val="21"/>
                <w:szCs w:val="21"/>
                <w:color w:val="auto"/>
              </w:rPr>
            </w:pP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2013-2014 Plan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have substantially completed the restructuring activities under the Fiscal 2013-2014 Plan as of fiscal 2014. The remaining additional costs to be incurred under the Fiscal 2013-2014 Plan primarily included our facility charges related to the cease-to-use space at our Santa Clara, California headquarters through the remaining lease term.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Liabilities</w:t>
      </w:r>
    </w:p>
    <w:p>
      <w:pPr>
        <w:spacing w:after="0" w:line="17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Our restructuring liabilities consisted primarily of accrued severance and benefits relating to one-time and ongoing benefit arrangements, as well as facility exit cost reserves primarily related to our office leases in California. The fair value of the liabilities related to operating lease terminations was determined based on the present value of the remaining lease obligations, adjusted for the effects of deferred items recognized under the lease, and reduced by estimated sublease rentals that could be reasonably obtained for the property. The assumptions in determining such estimates included anticipated timing of sublease rentals and estimates of sublease rental receipts and related costs based on market conditions. To the extent there are material differences between these estimates or assumptions and actual results, our restructuring liabilities and restructuring charges would be significantly affected.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color w:val="auto"/>
        </w:rPr>
        <w:t>The information in the following table summarizes the changes in our restructuring liabilities during the first quarter of fiscal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Severance and</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Facilities and</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Benefits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Restructuring liabilities as of July 3,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Provision and adjustments related to Fiscal 2015-2016 Plan</w:t>
            </w:r>
          </w:p>
        </w:tc>
        <w:tc>
          <w:tcPr>
            <w:tcW w:w="1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Restructuring liabilities as of October 2, 2015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restructuring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Long-term portion of restructuring liabilities included in other long-term liabilities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Stock Equity Plan and Activities</w:t>
      </w:r>
    </w:p>
    <w:p>
      <w:pPr>
        <w:spacing w:after="0" w:line="171"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As of October 2, 2015, we had one stock incentive plan for our employees and nonemployee directors, the 2007 Stock Equity Plan, as amended and restated effective November 17, 2011 (the “2007 Stock Plan”). The 2007 Stock Plan provides for accelerated vesting of certain share-based awards if there is a change in control of the Company. The 2007 Stock Plan also provides for the issuance of share-based awards in the form of stock options, stock appreciation rights, restricted stock awards and units, and performance share awards and units. As of October 2, 2015, we have various incentive programs under the 2007 Stock Plan, including annual and long-term incentive programs (“AIP” or “LTIP”) and a global equity program (“GEP”).</w:t>
      </w:r>
    </w:p>
    <w:p>
      <w:pPr>
        <w:spacing w:after="0" w:line="10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Under the 2007 Stock Plan, option exercise prices are equal to the fair market value on the date the options are granted using our closing stock price. Options may be exercised for a period set at the time of grant, which is generally seven years after the date of grant. Options generally vest in installments on one of four vesting schedules: (1) 25% one year from the grant date and 1/48 each month thereafter over the remaining three-year period; (2) 50% one year from the grant date and 25% each year thereafter over the remaining two-year period; (3) one-third annually over a three-year period from the date of grant; or (4) 25% annually over a four-year period from date of grant. Stock options are issued to directors annually and generally vest on the day before the annual stockholders’ meeting.</w:t>
      </w:r>
    </w:p>
    <w:p>
      <w:pPr>
        <w:spacing w:after="0" w:line="139"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Restricted stock is not transferable until vested and the restrictions lapse upon the achievement of continued employment or service over a specified time period. Restricted stock issued to employees generally vests on one of three vesting schedules: (1) one-third annually over a three-year period from the date of grant; (2) 25% annually over a four-year period from the date of grant; or (3) in full three years after the date of grant. Restricted stock issued to directors annually and generally vests on the day before the annual stockholders’ meeting.</w:t>
      </w:r>
    </w:p>
    <w:p>
      <w:pPr>
        <w:spacing w:after="0" w:line="133"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Vesting of performance shares under our AIP, LTIP or GEP is subject to financial performance criteria including revenue, operating income, or cash flow targets for the periods as defined in the programs and continued employment through the end of the applicable period.</w:t>
      </w:r>
    </w:p>
    <w:p>
      <w:pPr>
        <w:spacing w:after="0" w:line="93" w:lineRule="exact"/>
        <w:rPr>
          <w:sz w:val="20"/>
          <w:szCs w:val="20"/>
          <w:color w:val="auto"/>
        </w:rPr>
      </w:pPr>
    </w:p>
    <w:p>
      <w:pPr>
        <w:jc w:val="both"/>
        <w:ind w:right="520" w:firstLine="432"/>
        <w:spacing w:after="0" w:line="264" w:lineRule="auto"/>
        <w:rPr>
          <w:sz w:val="20"/>
          <w:szCs w:val="20"/>
          <w:color w:val="auto"/>
        </w:rPr>
      </w:pPr>
      <w:r>
        <w:rPr>
          <w:rFonts w:ascii="Arial" w:cs="Arial" w:eastAsia="Arial" w:hAnsi="Arial"/>
          <w:sz w:val="18"/>
          <w:szCs w:val="18"/>
          <w:color w:val="auto"/>
        </w:rPr>
        <w:t>During the first quarter of fiscal 2016, we canceled 803,210 shares of performance unit due to the related financial performance criteria not being satisfied. We also canceled options to purchase 151,770 shares of our common stock due to employee terminations. There were no share-based awards granted under our 2007 Stock Plan during the first quarter of fiscal 2016.</w:t>
      </w:r>
    </w:p>
    <w:p>
      <w:pPr>
        <w:spacing w:after="0" w:line="12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issue new shares of our common stock to our employees upon the exercise of stock options, vesting of restricted stock awards and units or vesting of performance share awards and units. All awards that are canceled prior to vesting or expire unexercised are returned to the approved pool of reserved shares under the 2007 Stock Plan and made available for future grants. Shares of our common stock remaining available for future issuance under the 2007 Stock Plan totaled 2,578,564 as of October 2,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Total compensation expense for share-based awards included in our condensed consolidated statements of operations for the first quarter and first three quarters of fiscal 2016 and 2015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874"/>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8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2,</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w w:val="96"/>
              </w:rPr>
              <w:t>September 26,</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gridSpan w:val="4"/>
            <w:vMerge w:val="continue"/>
          </w:tcPr>
          <w:p>
            <w:pPr>
              <w:spacing w:after="0"/>
              <w:rPr>
                <w:sz w:val="16"/>
                <w:szCs w:val="16"/>
                <w:color w:val="auto"/>
              </w:rPr>
            </w:pPr>
          </w:p>
        </w:tc>
        <w:tc>
          <w:tcPr>
            <w:tcW w:w="10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02"/>
        </w:trPr>
        <w:tc>
          <w:tcPr>
            <w:tcW w:w="85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8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Cost of revenues</w:t>
            </w:r>
          </w:p>
        </w:tc>
        <w:tc>
          <w:tcPr>
            <w:tcW w:w="1000" w:type="dxa"/>
            <w:vAlign w:val="bottom"/>
          </w:tcPr>
          <w:p>
            <w:pPr>
              <w:jc w:val="right"/>
              <w:ind w:right="818"/>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10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00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858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80" w:type="dxa"/>
            <w:vAlign w:val="bottom"/>
            <w:gridSpan w:val="4"/>
            <w:vMerge w:val="continue"/>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000" w:type="dxa"/>
            <w:vAlign w:val="bottom"/>
            <w:tcBorders>
              <w:bottom w:val="single" w:sz="8" w:color="CCEEFF"/>
            </w:tcBorders>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Restricted stock awards and units</w:t>
            </w:r>
          </w:p>
        </w:tc>
        <w:tc>
          <w:tcPr>
            <w:tcW w:w="10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00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Compensation expense for an award with only service conditions is recognized over the requisite service period, which is usually the vesting period of the award. For an award that has a graded vesting schedule, compensation expense is recognized on a straight-line basis over the requisite service period for each separately vesting portion of the award as if the award was, in-substance, multiple awards. The amount of compensation cost recognized at any date must at least equal the portion of the grant-date value of the award that is vested at that date. As of October 2, 2015, there was $2.9 million of total unrecognized compensation expense related to nonvested share-based awards granted under our 2007 Stock Plan. This expense is expected to be recognized over a weighted average period of 1.87 years.</w:t>
      </w:r>
    </w:p>
    <w:p>
      <w:pPr>
        <w:spacing w:after="0" w:line="139"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fair value of each option grant under our 2007 Stock Plan was estimated using the Black-Scholes option pricing model on the date of grant. A summary of the significant weighted average assumptions we used in the Black-Scholes valuation model is as follows:</w:t>
      </w:r>
    </w:p>
    <w:p>
      <w:pPr>
        <w:spacing w:after="0" w:line="176"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23495</wp:posOffset>
            </wp:positionV>
            <wp:extent cx="1844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000" w:type="dxa"/>
            <w:vAlign w:val="bottom"/>
          </w:tcPr>
          <w:p>
            <w:pPr>
              <w:jc w:val="center"/>
              <w:ind w:left="248"/>
              <w:spacing w:after="0"/>
              <w:rPr>
                <w:sz w:val="20"/>
                <w:szCs w:val="20"/>
                <w:color w:val="auto"/>
              </w:rPr>
            </w:pPr>
            <w:r>
              <w:rPr>
                <w:rFonts w:ascii="Arial" w:cs="Arial" w:eastAsia="Arial" w:hAnsi="Arial"/>
                <w:sz w:val="14"/>
                <w:szCs w:val="14"/>
                <w:b w:val="1"/>
                <w:bCs w:val="1"/>
                <w:color w:val="auto"/>
                <w:w w:val="92"/>
              </w:rPr>
              <w:t>October 2,</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215"/>
              <w:spacing w:after="0"/>
              <w:rPr>
                <w:sz w:val="20"/>
                <w:szCs w:val="20"/>
                <w:color w:val="auto"/>
              </w:rPr>
            </w:pPr>
            <w:r>
              <w:rPr>
                <w:rFonts w:ascii="Arial" w:cs="Arial" w:eastAsia="Arial" w:hAnsi="Arial"/>
                <w:sz w:val="14"/>
                <w:szCs w:val="14"/>
                <w:b w:val="1"/>
                <w:bCs w:val="1"/>
                <w:color w:val="auto"/>
              </w:rPr>
              <w:t>September 26,</w:t>
            </w:r>
          </w:p>
        </w:tc>
      </w:tr>
      <w:tr>
        <w:trPr>
          <w:trHeight w:val="192"/>
        </w:trPr>
        <w:tc>
          <w:tcPr>
            <w:tcW w:w="85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2014</w:t>
            </w:r>
          </w:p>
        </w:tc>
      </w:tr>
      <w:tr>
        <w:trPr>
          <w:trHeight w:val="250"/>
        </w:trPr>
        <w:tc>
          <w:tcPr>
            <w:tcW w:w="9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52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44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7"/>
        </w:trPr>
        <w:tc>
          <w:tcPr>
            <w:tcW w:w="8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9520" w:type="dxa"/>
            <w:vAlign w:val="bottom"/>
            <w:gridSpan w:val="2"/>
          </w:tcPr>
          <w:p>
            <w:pPr>
              <w:ind w:left="40"/>
              <w:spacing w:after="0"/>
              <w:rPr>
                <w:sz w:val="20"/>
                <w:szCs w:val="20"/>
                <w:color w:val="auto"/>
              </w:rPr>
            </w:pPr>
            <w:r>
              <w:rPr>
                <w:rFonts w:ascii="Arial" w:cs="Arial" w:eastAsia="Arial" w:hAnsi="Arial"/>
                <w:sz w:val="18"/>
                <w:szCs w:val="18"/>
                <w:color w:val="auto"/>
              </w:rPr>
              <w:t>Expected term (years)</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3.81</w:t>
            </w:r>
          </w:p>
        </w:tc>
      </w:tr>
      <w:tr>
        <w:trPr>
          <w:trHeight w:val="27"/>
        </w:trPr>
        <w:tc>
          <w:tcPr>
            <w:tcW w:w="8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9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 granted</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7"/>
        </w:trPr>
        <w:tc>
          <w:tcPr>
            <w:tcW w:w="85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and Geographic Information</w:t>
      </w:r>
    </w:p>
    <w:p>
      <w:pPr>
        <w:spacing w:after="0" w:line="17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our Chief Operating Decision Maker (the “CODM”).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p>
      <w:pPr>
        <w:ind w:right="20" w:firstLine="405"/>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first quarter of fiscal 2016 and 2015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rPr>
              <w:t>Quarter Ended</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September 26, 2014</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2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2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During the first quarter of fiscal 2016 and 2015, we had one international customer in Africa (Mobile Telephone Networks Group or “MTN Group”) that accounted for more than 10% of our total revenue. MTN Group also accounted for more than 10% of our accounts receivable at October 2, 2015 and July 3, 2015. We have entered into separate and distinct contracts with MTN Group as well as separate arrangements with various MTN Group subsidiaries. The loss of all business from the MTN Group could adversely affect our results of operations, cash flows and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Divestiture</w:t>
      </w:r>
    </w:p>
    <w:p>
      <w:pPr>
        <w:spacing w:after="0" w:line="175"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In March 2011, our board of directors approved a plan for the sale of our WiMAX business. On September 2, 2011, we sold to EION Networks, Inc. (“EION”) our WiMAX business and related assets consisting of certain technology, inventory and equipment. As consideration for the sale of assets, EION agreed to pay us $0.4 million in cash and up to $2.8 million in additional cash payments contingent upon specific factors related to future WiMAX business performance. We received $0.1 million in total of such contingent payments through June 27, 2014, and did not expect any further payments from EION. In addition, EION is entitled to receive cash payments up to $2.0 million upon collection of certain WiMAX accounts receivable. As of September 26, 2014, we made $1.6 million in total of such payments to EION and wrote-off the remaining $0.4 million balance resulting from the write-downs of the corresponding WiMAX accounts receivable,;as such, our accrued liabilities related to the disposition of WiMAX business were reduced to zero.</w:t>
      </w:r>
    </w:p>
    <w:p>
      <w:pPr>
        <w:spacing w:after="0" w:line="11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the third quarter of fiscal 2011, we began accounting for the WiMAX business as a discontinued operation and, therefore, the operating results of our WiMAX business were included in discontinued operations in our condensed consolidated financial statements for all periods presented. The income recognized in the first quarter of fiscal 2016 was primarily due to recovery of certain WiMAX customer receivables that were previously written down. Summary results of operations for the WiMAX business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Quarter Ended</w:t>
            </w:r>
          </w:p>
        </w:tc>
        <w:tc>
          <w:tcPr>
            <w:tcW w:w="64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October 2, 2015</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2014</w:t>
            </w: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7"/>
                <w:szCs w:val="17"/>
                <w:color w:val="auto"/>
              </w:rPr>
            </w:pPr>
          </w:p>
        </w:tc>
      </w:tr>
      <w:tr>
        <w:trPr>
          <w:trHeight w:val="27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from operations related to WiMAX</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720" w:type="dxa"/>
            <w:vAlign w:val="bottom"/>
            <w:tcBorders>
              <w:top w:val="single" w:sz="8" w:color="auto"/>
            </w:tcBorders>
          </w:tcPr>
          <w:p>
            <w:pPr>
              <w:jc w:val="right"/>
              <w:ind w:right="514"/>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disposal</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5"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 During interim periods, we accrue tax expenses for foreign jurisdictions that are anticipated to be profitable for fiscal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p>
      <w:pPr>
        <w:ind w:firstLine="405"/>
        <w:spacing w:after="0" w:line="264" w:lineRule="auto"/>
        <w:rPr>
          <w:sz w:val="20"/>
          <w:szCs w:val="20"/>
          <w:color w:val="auto"/>
        </w:rPr>
      </w:pPr>
      <w:r>
        <w:rPr>
          <w:rFonts w:ascii="Arial" w:cs="Arial" w:eastAsia="Arial" w:hAnsi="Arial"/>
          <w:sz w:val="18"/>
          <w:szCs w:val="18"/>
          <w:color w:val="auto"/>
        </w:rPr>
        <w:t>The determination of our provision for the first quarter of fiscal 2016 and 2015 was based on our estimated annual effective tax rate adjusted for losses in certain jurisdictions for which no tax benefit can be recognized. The tax expense for the first quarter of fiscal 2016 was primarily attributable to tax expense related to profitable foreign subsidiaries.</w:t>
      </w:r>
    </w:p>
    <w:p>
      <w:pPr>
        <w:spacing w:after="0" w:line="12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Singapore and Nigeria. The earliest years that are open and subject to potential audits for these jurisdictions are as follows: U.S. — 2003; Singapore — 2006; and Nigeria — 2011.</w:t>
      </w:r>
    </w:p>
    <w:p>
      <w:pPr>
        <w:spacing w:after="0" w:line="12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Such interest expense we accrued for was not material for the first quarter of fiscal 2016 and fiscal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April 2020. We lease approximately 129,000 square feet of office space in Santa Clara, California as our corporate headquarters. Beginning in the first quarter of fiscal 2015, approximately three-fourths of our Santa Clara headquarters building was vacated and made available for sublease. As of October 2, 2015, future minimum lease payments for our headquarters totaled $12.2 million.</w:t>
      </w:r>
    </w:p>
    <w:p>
      <w:pPr>
        <w:spacing w:after="0" w:line="133"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As of October 2, 2015, our future minimum lease payments under all non-cancelable operating leases with an initial lease term in excess of one year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ind w:left="40"/>
              <w:spacing w:after="0"/>
              <w:rPr>
                <w:sz w:val="20"/>
                <w:szCs w:val="20"/>
                <w:color w:val="auto"/>
              </w:rPr>
            </w:pPr>
            <w:r>
              <w:rPr>
                <w:rFonts w:ascii="Arial" w:cs="Arial" w:eastAsia="Arial" w:hAnsi="Arial"/>
                <w:sz w:val="14"/>
                <w:szCs w:val="14"/>
                <w:b w:val="1"/>
                <w:bCs w:val="1"/>
                <w:color w:val="auto"/>
              </w:rPr>
              <w:t>Fiscal Years Ending in June</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Amounts</w:t>
            </w:r>
          </w:p>
        </w:tc>
      </w:tr>
      <w:tr>
        <w:trPr>
          <w:trHeight w:val="196"/>
        </w:trPr>
        <w:tc>
          <w:tcPr>
            <w:tcW w:w="9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39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(three quarters remaining)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3.2</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2.8</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r>
      <w:tr>
        <w:trPr>
          <w:trHeight w:val="257"/>
        </w:trPr>
        <w:tc>
          <w:tcPr>
            <w:tcW w:w="972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14.8</w:t>
            </w:r>
          </w:p>
        </w:tc>
      </w:tr>
      <w:tr>
        <w:trPr>
          <w:trHeight w:val="20"/>
        </w:trPr>
        <w:tc>
          <w:tcPr>
            <w:tcW w:w="9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These commitments do not contain any material rent escalations, rent holidays, contingent rent, rent concessions, leasehold improvement incentives or unusual provisions or conditions. We sublease a portion of our facilities to third parties and total minimum rentals to be received in the future under our non-cancelable subleases were $0.1 million as of October 2, 2015.</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Rental expense for operating leases, including rentals on a month-to-month basis,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80" w:type="dxa"/>
            <w:vAlign w:val="bottom"/>
            <w:tcBorders>
              <w:bottom w:val="single" w:sz="8" w:color="auto"/>
            </w:tcBorders>
          </w:tcPr>
          <w:p>
            <w:pPr>
              <w:spacing w:after="0"/>
              <w:rPr>
                <w:sz w:val="16"/>
                <w:szCs w:val="16"/>
                <w:color w:val="auto"/>
              </w:rPr>
            </w:pPr>
          </w:p>
        </w:tc>
      </w:tr>
      <w:tr>
        <w:trPr>
          <w:trHeight w:val="152"/>
        </w:trPr>
        <w:tc>
          <w:tcPr>
            <w:tcW w:w="8580" w:type="dxa"/>
            <w:vAlign w:val="bottom"/>
          </w:tcPr>
          <w:p>
            <w:pPr>
              <w:spacing w:after="0"/>
              <w:rPr>
                <w:sz w:val="13"/>
                <w:szCs w:val="13"/>
                <w:color w:val="auto"/>
              </w:rPr>
            </w:pPr>
          </w:p>
        </w:tc>
        <w:tc>
          <w:tcPr>
            <w:tcW w:w="1000" w:type="dxa"/>
            <w:vAlign w:val="bottom"/>
          </w:tcPr>
          <w:p>
            <w:pPr>
              <w:jc w:val="center"/>
              <w:ind w:left="244"/>
              <w:spacing w:after="0" w:line="153" w:lineRule="exact"/>
              <w:rPr>
                <w:sz w:val="20"/>
                <w:szCs w:val="20"/>
                <w:color w:val="auto"/>
              </w:rPr>
            </w:pPr>
            <w:r>
              <w:rPr>
                <w:rFonts w:ascii="Arial" w:cs="Arial" w:eastAsia="Arial" w:hAnsi="Arial"/>
                <w:sz w:val="14"/>
                <w:szCs w:val="14"/>
                <w:b w:val="1"/>
                <w:bCs w:val="1"/>
                <w:color w:val="auto"/>
                <w:w w:val="92"/>
              </w:rPr>
              <w:t>October 2,</w:t>
            </w:r>
          </w:p>
        </w:tc>
        <w:tc>
          <w:tcPr>
            <w:tcW w:w="380" w:type="dxa"/>
            <w:vAlign w:val="bottom"/>
          </w:tcPr>
          <w:p>
            <w:pPr>
              <w:spacing w:after="0"/>
              <w:rPr>
                <w:sz w:val="13"/>
                <w:szCs w:val="13"/>
                <w:color w:val="auto"/>
              </w:rPr>
            </w:pPr>
          </w:p>
        </w:tc>
        <w:tc>
          <w:tcPr>
            <w:tcW w:w="14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September 26,</w:t>
            </w:r>
          </w:p>
        </w:tc>
      </w:tr>
      <w:tr>
        <w:trPr>
          <w:trHeight w:val="192"/>
        </w:trPr>
        <w:tc>
          <w:tcPr>
            <w:tcW w:w="8580" w:type="dxa"/>
            <w:vAlign w:val="bottom"/>
          </w:tcPr>
          <w:p>
            <w:pPr>
              <w:spacing w:after="0"/>
              <w:rPr>
                <w:sz w:val="16"/>
                <w:szCs w:val="16"/>
                <w:color w:val="auto"/>
              </w:rPr>
            </w:pPr>
          </w:p>
        </w:tc>
        <w:tc>
          <w:tcPr>
            <w:tcW w:w="100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r>
      <w:tr>
        <w:trPr>
          <w:trHeight w:val="196"/>
        </w:trPr>
        <w:tc>
          <w:tcPr>
            <w:tcW w:w="8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7"/>
                <w:szCs w:val="17"/>
                <w:color w:val="auto"/>
              </w:rPr>
            </w:pPr>
          </w:p>
        </w:tc>
      </w:tr>
      <w:tr>
        <w:trPr>
          <w:trHeight w:val="249"/>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w:t>
            </w:r>
          </w:p>
        </w:tc>
      </w:tr>
      <w:tr>
        <w:trPr>
          <w:trHeight w:val="27"/>
        </w:trPr>
        <w:tc>
          <w:tcPr>
            <w:tcW w:w="85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October 2, 2015, we had outstanding purchase obligations with our suppliers or contract manufacturers of $26.4 million. In addition, we had contractual obligations of approximately $1.0 million associated with a major service agreement as of October 2, 2015.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October 2, 2015, we had no guarantees applicable to our debt arrangements.</w:t>
      </w:r>
    </w:p>
    <w:p>
      <w:pPr>
        <w:spacing w:after="0" w:line="11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October 2, 2015, we had commercial commitments of $17.0 million outstanding that were not recorded in our condensed consolidated balance sheets. We do not believe, based on historical experience and information currently available, that it is probable that any amounts will be required to be paid on the performance guarantees.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As of October 2, 2015,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October 2, 2015, we had not recorded any liabilities related to these indemnifications.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We are aggressively defending all current litigation matters. Although there can be no assurances and the outcome of these matters is not determinable, we currently believe that none of these claims or proceedings are likely to have a material adverse effect on our financial position. There are many uncertainties associated with any litigations and these matters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39"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any such legal claims or litigation discussed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17"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18" w:name="page19"/>
    <w:bookmarkEnd w:id="18"/>
    <w:p>
      <w:pPr>
        <w:ind w:right="60"/>
        <w:spacing w:after="0" w:line="277" w:lineRule="auto"/>
        <w:rPr>
          <w:sz w:val="20"/>
          <w:szCs w:val="20"/>
          <w:color w:val="auto"/>
        </w:rPr>
      </w:pPr>
      <w:r>
        <w:rPr>
          <w:rFonts w:ascii="Arial" w:cs="Arial" w:eastAsia="Arial" w:hAnsi="Arial"/>
          <w:sz w:val="18"/>
          <w:szCs w:val="18"/>
          <w:color w:val="auto"/>
        </w:rPr>
        <w:t>pending claims and litigation and may revise estimates accordingly. Such revisions in the estimates of the potential liabilities could have a material impact on our results of operations and financial position.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134" w:lineRule="exact"/>
        <w:rPr>
          <w:sz w:val="20"/>
          <w:szCs w:val="20"/>
          <w:color w:val="auto"/>
        </w:rPr>
      </w:pPr>
    </w:p>
    <w:p>
      <w:pPr>
        <w:ind w:left="900" w:right="1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material weaknesses identified in our system of internal control and associated remediation efforts and investments and other actions needed to remedy those material weaknesses;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among other things, our liquidity;</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00" w:right="6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 and</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political turmoil in countries where we have significant business.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46" w:right="259" w:bottom="1440" w:gutter="0" w:footer="0" w:header="0"/>
        </w:sectPr>
      </w:pPr>
    </w:p>
    <w:bookmarkStart w:id="19" w:name="page20"/>
    <w:bookmarkEnd w:id="19"/>
    <w:p>
      <w:pPr>
        <w:ind w:right="180" w:firstLine="432"/>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2015 Annual Report on Form 10-K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undertake no obligation, other than as imposed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2015 and 2016 Results</w:t>
      </w:r>
    </w:p>
    <w:p>
      <w:pPr>
        <w:spacing w:after="0" w:line="17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ending July 1, 2016 is referred to as “fiscal 2016” or “2016” and fiscal year ended July 3, 2015 is referred to as “fiscal 2015” or “2015”.</w:t>
      </w:r>
    </w:p>
    <w:p>
      <w:pPr>
        <w:spacing w:after="0" w:line="133" w:lineRule="exact"/>
        <w:rPr>
          <w:sz w:val="20"/>
          <w:szCs w:val="20"/>
          <w:color w:val="auto"/>
        </w:rPr>
      </w:pPr>
    </w:p>
    <w:p>
      <w:pPr>
        <w:ind w:right="300" w:firstLine="405"/>
        <w:spacing w:after="0" w:line="273"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point-to-point (PTP)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and multiplexers, necessary to build and deploy a wireless transmission network, and a full suite of turnkey support services.</w:t>
      </w:r>
    </w:p>
    <w:p>
      <w:pPr>
        <w:spacing w:after="0" w:line="124"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w:t>
      </w:r>
    </w:p>
    <w:p>
      <w:pPr>
        <w:spacing w:after="0" w:line="127" w:lineRule="exact"/>
        <w:rPr>
          <w:sz w:val="20"/>
          <w:szCs w:val="20"/>
          <w:color w:val="auto"/>
        </w:rPr>
      </w:pPr>
    </w:p>
    <w:p>
      <w:pPr>
        <w:ind w:right="440" w:firstLine="405"/>
        <w:spacing w:after="0" w:line="302" w:lineRule="auto"/>
        <w:rPr>
          <w:sz w:val="20"/>
          <w:szCs w:val="20"/>
          <w:color w:val="auto"/>
        </w:rPr>
      </w:pPr>
      <w:r>
        <w:rPr>
          <w:rFonts w:ascii="Arial" w:cs="Arial" w:eastAsia="Arial" w:hAnsi="Arial"/>
          <w:sz w:val="16"/>
          <w:szCs w:val="16"/>
          <w:color w:val="auto"/>
        </w:rPr>
        <w:t>Our strategic focus in fiscal 2016 will be to continue to accelerate innovation and optimize our product portfolio, improve costs and operational efficiencies, grow our revenue and create a sustainable, profitable business model. To do this, we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0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Although the general trend of increasing demand for bandwidth to support mobile networks applies in all markets, we expect to see quarter-to-quarter fluctuations within markets and with individual customers based on customers’ past purchasing patterns. Seasonality is also a factor that impacts our business. Our fiscal third quarter revenue and orders have historically been lower than the revenue and orders in our second fiscal quarter because many of our customers utilize a significant portion of their capital budgets at the end of their fiscal years, which is typically the calendar year end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w:t>
      </w:r>
    </w:p>
    <w:p>
      <w:pPr>
        <w:spacing w:after="0" w:line="12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line with industry trends, we expect to provide increased managed services, including network design, inventory management, final configuration and warehousing services, to certain customers in certain geographies. Our operating results may be impacted by providing these services to the extent that we may need to postpone the recognition of revenue and incur upfront and ongoing expenses that are not offset with additional revenue from product sales associated with these services until a future period.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The market for mobile backhaul continues to be our primary addressable market segment and, over the long term, the 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Internationally, our business continued to rely on a combination of customers increasing their capacity to handle subscriber growth, the ongoing build-out of some large 3G deployments, and the emergence of early stage LTE deployments.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2015 Annual Report on Form 10-K, a number of factors could prevent us from achieving our objectives, including ongoing pricing pressures attributable to competition and macroeconomic conditions in the geographic markets that we service.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manage our sales activities primarily on a geographic basis in North America and three international geographic regions: (1) Africa and Middle East,</w:t>
      </w:r>
    </w:p>
    <w:p>
      <w:pPr>
        <w:spacing w:after="0" w:line="46" w:lineRule="exact"/>
        <w:rPr>
          <w:sz w:val="20"/>
          <w:szCs w:val="20"/>
          <w:color w:val="auto"/>
        </w:rPr>
      </w:pPr>
    </w:p>
    <w:p>
      <w:pPr>
        <w:ind w:right="160" w:firstLine="8"/>
        <w:spacing w:after="0" w:line="26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Europe and Russia, and (3) Latin America and Asia Pacific. Revenue by region for the first quarter of fiscal 2016 and 2015 and the related changes were shown in the table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Quarter Ended</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40" w:type="dxa"/>
            <w:vAlign w:val="bottom"/>
          </w:tcPr>
          <w:p>
            <w:pPr>
              <w:spacing w:after="0"/>
              <w:rPr>
                <w:sz w:val="13"/>
                <w:szCs w:val="13"/>
                <w:color w:val="auto"/>
              </w:rPr>
            </w:pPr>
          </w:p>
        </w:tc>
        <w:tc>
          <w:tcPr>
            <w:tcW w:w="12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80" w:type="dxa"/>
            <w:vAlign w:val="bottom"/>
          </w:tcPr>
          <w:p>
            <w:pPr>
              <w:spacing w:after="0"/>
              <w:rPr>
                <w:sz w:val="13"/>
                <w:szCs w:val="13"/>
                <w:color w:val="auto"/>
              </w:rPr>
            </w:pPr>
          </w:p>
        </w:tc>
        <w:tc>
          <w:tcPr>
            <w:tcW w:w="740" w:type="dxa"/>
            <w:vAlign w:val="bottom"/>
          </w:tcPr>
          <w:p>
            <w:pPr>
              <w:jc w:val="right"/>
              <w:ind w:right="335"/>
              <w:spacing w:after="0" w:line="153"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36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4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2.7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revenue in North America was down $3.4 million, or 8.8%, during the first quarter of fiscal 2016 compared with the same quarter of fiscal 2015.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revenue reduction was from reduced sales to wireless operator customers and a small decrease in sales to government and utility markets.</w:t>
      </w:r>
    </w:p>
    <w:p>
      <w:pPr>
        <w:spacing w:after="0" w:line="168"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Our revenue in Africa and Middle East increased $2.7 million, or 11.0%, for the first quarter of fiscal 2016 compared with the same quarter of fiscal 2015. The increase in revenue came from sales to several customers in the Middle East in the quarter.</w:t>
      </w:r>
    </w:p>
    <w:p>
      <w:pPr>
        <w:spacing w:after="0" w:line="116"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Revenue in Europe and Russia decreased $1.7 million, or 20.7%, for the first quarter of fiscal 2016 compared with the same quarter of fiscal 2015. We have observed some reduction in customer spending in this region due to the devaluation of the Euro relative to the U.S. dollar over the past months.</w:t>
      </w:r>
    </w:p>
    <w:p>
      <w:pPr>
        <w:spacing w:after="0" w:line="7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Revenue in Latin America and Asia Pacific decreased $0.4 million, or 3.6%, during the first quarter of fiscal 2016 compared with the same quarter in fiscal 2015. The decrease was primarily due to fewer deliveries to a large customer in Asia Pacific in the quarter compared with the same quarter in previous year, which was offset in part by an increase in sales to a large customer in Latin America.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Quarter Ended</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80" w:type="dxa"/>
            <w:vAlign w:val="bottom"/>
          </w:tcPr>
          <w:p>
            <w:pPr>
              <w:spacing w:after="0"/>
              <w:rPr>
                <w:sz w:val="13"/>
                <w:szCs w:val="13"/>
                <w:color w:val="auto"/>
              </w:rPr>
            </w:pPr>
          </w:p>
        </w:tc>
        <w:tc>
          <w:tcPr>
            <w:tcW w:w="740" w:type="dxa"/>
            <w:vAlign w:val="bottom"/>
          </w:tcPr>
          <w:p>
            <w:pPr>
              <w:jc w:val="right"/>
              <w:ind w:right="337"/>
              <w:spacing w:after="0" w:line="153"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36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vMerge w:val="continue"/>
          </w:tcPr>
          <w:p>
            <w:pPr>
              <w:spacing w:after="0"/>
              <w:rPr>
                <w:sz w:val="16"/>
                <w:szCs w:val="16"/>
                <w:color w:val="auto"/>
              </w:rPr>
            </w:pPr>
          </w:p>
        </w:tc>
        <w:tc>
          <w:tcPr>
            <w:tcW w:w="2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2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Services</w:t>
            </w:r>
          </w:p>
        </w:tc>
        <w:tc>
          <w:tcPr>
            <w:tcW w:w="2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530"/>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21" w:name="page22"/>
    <w:bookmarkEnd w:id="21"/>
    <w:p>
      <w:pPr>
        <w:ind w:right="140" w:firstLine="405"/>
        <w:spacing w:after="0" w:line="302" w:lineRule="auto"/>
        <w:rPr>
          <w:sz w:val="20"/>
          <w:szCs w:val="20"/>
          <w:color w:val="auto"/>
        </w:rPr>
      </w:pPr>
      <w:r>
        <w:rPr>
          <w:rFonts w:ascii="Arial" w:cs="Arial" w:eastAsia="Arial" w:hAnsi="Arial"/>
          <w:sz w:val="16"/>
          <w:szCs w:val="16"/>
          <w:color w:val="auto"/>
        </w:rPr>
        <w:t>Our revenue from product sales decreased $2.2 million, or 3.9%, for the first quarter of fiscal 2016 compared with the same quarter in fiscal 2015. The decrease came primarily from lower sales volumes in North America, Europe and Asia Pacific, offset in part by increased product sales in Africa and Latin America. Our services revenue decreased by $0.6 million, or 2.3%, during the first quarter of fiscal 2016 compared with the same quarter of fiscal 2015, due primarily to reduced service activities in Middle East Africa and Europe, offset in part by increased service sales in North America.</w:t>
      </w:r>
    </w:p>
    <w:p>
      <w:pPr>
        <w:spacing w:after="0" w:line="100"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During the first quarter of fiscal 2016 and 2015, the MTN Group in Africa accounted for more than 10% of our total revenue. We have entered into separate and distinct contracts with MTN Group as well as separate arrangements with various MTN Group subsidiaries. The loss of all business from the MTN Group could adversely affect our results of operations, cash flows and financial 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w w:val="98"/>
              </w:rPr>
              <w:t>Quarter Ended</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60" w:type="dxa"/>
            <w:vAlign w:val="bottom"/>
          </w:tcPr>
          <w:p>
            <w:pPr>
              <w:spacing w:after="0"/>
              <w:rPr>
                <w:sz w:val="13"/>
                <w:szCs w:val="13"/>
                <w:color w:val="auto"/>
              </w:rPr>
            </w:pPr>
          </w:p>
        </w:tc>
        <w:tc>
          <w:tcPr>
            <w:tcW w:w="12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w:t>
            </w:r>
          </w:p>
        </w:tc>
        <w:tc>
          <w:tcPr>
            <w:tcW w:w="20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3"/>
                <w:szCs w:val="13"/>
                <w:color w:val="auto"/>
              </w:rPr>
            </w:pPr>
          </w:p>
        </w:tc>
        <w:tc>
          <w:tcPr>
            <w:tcW w:w="7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ind w:left="74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60" w:type="dxa"/>
            <w:vAlign w:val="bottom"/>
          </w:tcPr>
          <w:p>
            <w:pPr>
              <w:spacing w:after="0"/>
              <w:rPr>
                <w:sz w:val="21"/>
                <w:szCs w:val="21"/>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w w:val="93"/>
              </w:rPr>
              <w:t>26.4%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ind w:left="740"/>
              <w:spacing w:after="0"/>
              <w:rPr>
                <w:sz w:val="20"/>
                <w:szCs w:val="20"/>
                <w:color w:val="auto"/>
              </w:rPr>
            </w:pPr>
            <w:r>
              <w:rPr>
                <w:rFonts w:ascii="Arial" w:cs="Arial" w:eastAsia="Arial" w:hAnsi="Arial"/>
                <w:sz w:val="18"/>
                <w:szCs w:val="18"/>
                <w:color w:val="auto"/>
                <w:w w:val="97"/>
              </w:rPr>
              <w:t>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margin %</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3"/>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97"/>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Service margin %</w:t>
            </w:r>
          </w:p>
        </w:tc>
        <w:tc>
          <w:tcPr>
            <w:tcW w:w="260" w:type="dxa"/>
            <w:vAlign w:val="bottom"/>
          </w:tcPr>
          <w:p>
            <w:pPr>
              <w:spacing w:after="0"/>
              <w:rPr>
                <w:sz w:val="21"/>
                <w:szCs w:val="21"/>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w w:val="93"/>
              </w:rPr>
              <w:t>17.4%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ind w:left="740"/>
              <w:spacing w:after="0"/>
              <w:rPr>
                <w:sz w:val="20"/>
                <w:szCs w:val="20"/>
                <w:color w:val="auto"/>
              </w:rPr>
            </w:pPr>
            <w:r>
              <w:rPr>
                <w:rFonts w:ascii="Arial" w:cs="Arial" w:eastAsia="Arial" w:hAnsi="Arial"/>
                <w:sz w:val="18"/>
                <w:szCs w:val="18"/>
                <w:color w:val="auto"/>
                <w:w w:val="97"/>
              </w:rPr>
              <w:t>28.3%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Gross margin for the first quarter of fiscal 2016 decreased by $1.0 million, or 4.5%, compared with the same quarter in fiscal 2015. The decrease in gross margin came from lower margins on sales in Africa and North America. This decrease was offset in part by reduced supply chain costs in the quarter compared with the same quarter in previous year.</w:t>
      </w:r>
    </w:p>
    <w:p>
      <w:pPr>
        <w:spacing w:after="0" w:line="12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Gross margin as a percentage of revenue decreased slightly in the first quarter of fiscal 2016 compared with the same quarter of fiscal 2015, primarily due to lower gross margin rates in Africa and North America, partially offset by reductions in supply chain expenses. Product margin as a percentage of product revenue increased over the prior year quarter primarily due to reduced supply chain costs, partially offset by a decline in product profitability resulting from price declines and product mix differences in Africa and Asia Pacific. Service margin as a percentage of service revenue declined primarily due to a less profitable service business in North America and Africa.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w w:val="96"/>
              </w:rPr>
              <w:t>Quarter Ended</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6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October 2,</w:t>
            </w:r>
          </w:p>
        </w:tc>
        <w:tc>
          <w:tcPr>
            <w:tcW w:w="200" w:type="dxa"/>
            <w:vAlign w:val="bottom"/>
          </w:tcPr>
          <w:p>
            <w:pPr>
              <w:spacing w:after="0"/>
              <w:rPr>
                <w:sz w:val="13"/>
                <w:szCs w:val="13"/>
                <w:color w:val="auto"/>
              </w:rPr>
            </w:pPr>
          </w:p>
        </w:tc>
        <w:tc>
          <w:tcPr>
            <w:tcW w:w="13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62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ind w:left="38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6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w w:val="97"/>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ind w:left="820"/>
              <w:spacing w:after="0"/>
              <w:rPr>
                <w:sz w:val="20"/>
                <w:szCs w:val="20"/>
                <w:color w:val="auto"/>
              </w:rPr>
            </w:pPr>
            <w:r>
              <w:rPr>
                <w:rFonts w:ascii="Arial" w:cs="Arial" w:eastAsia="Arial" w:hAnsi="Arial"/>
                <w:sz w:val="18"/>
                <w:szCs w:val="18"/>
                <w:color w:val="auto"/>
                <w:w w:val="97"/>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research and development (“R&amp;D”) expenses decreased $1.1 million, or 16.7%, in the first quarter of fiscal 2016 compared with the same quarter in fiscal 2015. The decrease was primarily due to a $1.4 million reduction in personnel and related expenses and a $0.3 million decrease in facility expense as a result of the restructuring programs we implemented, partially offset by a $0.6 million increase in product development costs. We continue to invest in new product features, new functionality and lower cost platforms that we believe will enable our product lines to retain their technology leads in a cost effective manner.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w w:val="98"/>
              </w:rPr>
              <w:t>Quarter Ended</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6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October 2,</w:t>
            </w:r>
          </w:p>
        </w:tc>
        <w:tc>
          <w:tcPr>
            <w:tcW w:w="20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62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ind w:left="38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60" w:type="dxa"/>
            <w:vAlign w:val="bottom"/>
          </w:tcPr>
          <w:p>
            <w:pPr>
              <w:spacing w:after="0"/>
              <w:rPr>
                <w:sz w:val="21"/>
                <w:szCs w:val="21"/>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w w:val="93"/>
              </w:rPr>
              <w:t>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ind w:left="740"/>
              <w:spacing w:after="0"/>
              <w:rPr>
                <w:sz w:val="20"/>
                <w:szCs w:val="20"/>
                <w:color w:val="auto"/>
              </w:rPr>
            </w:pPr>
            <w:r>
              <w:rPr>
                <w:rFonts w:ascii="Arial" w:cs="Arial" w:eastAsia="Arial" w:hAnsi="Arial"/>
                <w:sz w:val="18"/>
                <w:szCs w:val="18"/>
                <w:color w:val="auto"/>
                <w:w w:val="97"/>
              </w:rPr>
              <w:t>23.3%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selling and administrative expenses declined $2.1 million, or 10.9%, in the first quarter of fiscal 2016 compared with the same quarter in fiscal</w:t>
      </w:r>
    </w:p>
    <w:p>
      <w:pPr>
        <w:spacing w:after="0" w:line="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2015. The decrease was primarily due to a $1.4 million decrease in personnel and related expenses as a result of the restructuring programs we implemented, a $1.0 million decrease in professional fees related to patent expense and audit fees and a $0.1 million decrease in stock based compensation, partially offset by a $0.3 million increase in agent commissions for project wins and a $0.3 million increase in IT and facility expenses. We will continue to seek ways to improve our operating efficiency.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During the third quarter of fiscal 2015, with the intent to bring our operational cost structure in line with the changing dynamics of the microwave radio and telecommunications markets, we initiated the Fiscal 2015-2016 Plan to lower fixed overhead costs and operating expenses and to preserve cash flow. Activities under the Fiscal 2015-2016 Plan primarily include reductions in force across the Company, but primarily in operations outside the United States.</w:t>
      </w:r>
    </w:p>
    <w:p>
      <w:pPr>
        <w:spacing w:after="0" w:line="93" w:lineRule="exact"/>
        <w:rPr>
          <w:sz w:val="20"/>
          <w:szCs w:val="20"/>
          <w:color w:val="auto"/>
        </w:rPr>
      </w:pPr>
    </w:p>
    <w:p>
      <w:pPr>
        <w:jc w:val="both"/>
        <w:ind w:right="220" w:firstLine="405"/>
        <w:spacing w:after="0" w:line="286" w:lineRule="auto"/>
        <w:rPr>
          <w:sz w:val="20"/>
          <w:szCs w:val="20"/>
          <w:color w:val="auto"/>
        </w:rPr>
      </w:pPr>
      <w:r>
        <w:rPr>
          <w:rFonts w:ascii="Arial" w:cs="Arial" w:eastAsia="Arial" w:hAnsi="Arial"/>
          <w:sz w:val="17"/>
          <w:szCs w:val="17"/>
          <w:color w:val="auto"/>
        </w:rPr>
        <w:t>During the third quarter of fiscal 2014, in line with the decrease in revenue that we experienced and our reduced forecast for the immediate future, we initiated the Fiscal 2014-2015 Plan to reduce our operating costs, primarily in North America, Europe and Asia. Activities under the Fiscal 2014-2015 Plan primarily include reductions in force and additional facility downsizing of our Santa Clara, California headquarters.</w:t>
      </w:r>
    </w:p>
    <w:p>
      <w:pPr>
        <w:spacing w:after="0" w:line="111"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During the fourth quarter of fiscal 2013, we initiated the Fiscal 2013-2014 Plan that was intended to reduce our operating expenses primarily in North America, Europe and Asia. Activities under the Fiscal 2013-2014 Plan included reductions in force and the downsizing of our Santa Clara, California headquarters and certain international field offices.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restructuring charges by plan for the first quarter of fiscal 2016 and 2015 were summarized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200" w:type="dxa"/>
            <w:vAlign w:val="bottom"/>
            <w:vMerge w:val="restart"/>
          </w:tcPr>
          <w:p>
            <w:pPr>
              <w:jc w:val="center"/>
              <w:ind w:right="4053"/>
              <w:spacing w:after="0"/>
              <w:rPr>
                <w:sz w:val="20"/>
                <w:szCs w:val="20"/>
                <w:color w:val="auto"/>
              </w:rPr>
            </w:pPr>
            <w:r>
              <w:rPr>
                <w:rFonts w:ascii="Arial" w:cs="Arial" w:eastAsia="Arial" w:hAnsi="Arial"/>
                <w:sz w:val="14"/>
                <w:szCs w:val="14"/>
                <w:b w:val="1"/>
                <w:bCs w:val="1"/>
                <w:color w:val="auto"/>
                <w:w w:val="91"/>
              </w:rPr>
              <w:t>(In millions, except percentages)</w:t>
            </w:r>
          </w:p>
        </w:tc>
        <w:tc>
          <w:tcPr>
            <w:tcW w:w="10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2,</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3"/>
                <w:szCs w:val="13"/>
                <w:color w:val="auto"/>
              </w:rPr>
            </w:pPr>
          </w:p>
        </w:tc>
        <w:tc>
          <w:tcPr>
            <w:tcW w:w="7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88"/>
              </w:rPr>
              <w:t>$ Change</w:t>
            </w:r>
          </w:p>
        </w:tc>
        <w:tc>
          <w:tcPr>
            <w:tcW w:w="120" w:type="dxa"/>
            <w:vAlign w:val="bottom"/>
            <w:vMerge w:val="restart"/>
          </w:tcPr>
          <w:p>
            <w:pPr>
              <w:spacing w:after="0"/>
              <w:rPr>
                <w:sz w:val="13"/>
                <w:szCs w:val="13"/>
                <w:color w:val="auto"/>
              </w:rPr>
            </w:pPr>
          </w:p>
        </w:tc>
        <w:tc>
          <w:tcPr>
            <w:tcW w:w="12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By Plan:</w:t>
            </w: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jc w:val="center"/>
              <w:ind w:right="4053"/>
              <w:spacing w:after="0"/>
              <w:rPr>
                <w:sz w:val="20"/>
                <w:szCs w:val="20"/>
                <w:color w:val="auto"/>
              </w:rPr>
            </w:pPr>
            <w:r>
              <w:rPr>
                <w:rFonts w:ascii="Arial" w:cs="Arial" w:eastAsia="Arial" w:hAnsi="Arial"/>
                <w:sz w:val="18"/>
                <w:szCs w:val="18"/>
                <w:color w:val="auto"/>
                <w:w w:val="90"/>
              </w:rPr>
              <w:t>Fiscal 2015-2016 Plan</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jc w:val="center"/>
              <w:ind w:right="4053"/>
              <w:spacing w:after="0"/>
              <w:rPr>
                <w:sz w:val="20"/>
                <w:szCs w:val="20"/>
                <w:color w:val="auto"/>
              </w:rPr>
            </w:pPr>
            <w:r>
              <w:rPr>
                <w:rFonts w:ascii="Arial" w:cs="Arial" w:eastAsia="Arial" w:hAnsi="Arial"/>
                <w:sz w:val="18"/>
                <w:szCs w:val="18"/>
                <w:color w:val="auto"/>
                <w:w w:val="90"/>
              </w:rPr>
              <w:t>Fiscal 2014-2015 Plan</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00" w:type="dxa"/>
            <w:vAlign w:val="bottom"/>
            <w:shd w:val="clear" w:color="auto" w:fill="CCEEFF"/>
          </w:tcPr>
          <w:p>
            <w:pPr>
              <w:jc w:val="center"/>
              <w:ind w:right="4053"/>
              <w:spacing w:after="0"/>
              <w:rPr>
                <w:sz w:val="20"/>
                <w:szCs w:val="20"/>
                <w:color w:val="auto"/>
              </w:rPr>
            </w:pPr>
            <w:r>
              <w:rPr>
                <w:rFonts w:ascii="Arial" w:cs="Arial" w:eastAsia="Arial" w:hAnsi="Arial"/>
                <w:sz w:val="18"/>
                <w:szCs w:val="18"/>
                <w:color w:val="auto"/>
                <w:w w:val="90"/>
              </w:rPr>
              <w:t>Fiscal 2013-2014 Plan</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restructuring expenses consisted primarily of severance and related benefit charges and facilities costs related to obligations under non-cancelable leases for facilities that we ceased to use. There were insignificant restructuring activities in the first quarter of fiscal 2016.</w:t>
      </w:r>
    </w:p>
    <w:p>
      <w:pPr>
        <w:spacing w:after="0" w:line="11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Restructuring charges for the first quarter of fiscal 2015 included a $1.3 million facilities charge related to ceasing to use a portion of our Santa Clara headquarters building and a $0.2 million employee termination charge.</w:t>
      </w:r>
    </w:p>
    <w:p>
      <w:pPr>
        <w:spacing w:after="0" w:line="116"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As of October 2, 2015, we have substantially completed our activities under the Fiscal 2014-2015 Plan and Fiscal 2013-2014 Plan, and intend to complete the remaining restructuring activities under the Fiscal 2015-2016 Plan by the end of fiscal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859"/>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2,</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79"/>
              <w:spacing w:after="0" w:line="153" w:lineRule="exact"/>
              <w:rPr>
                <w:sz w:val="20"/>
                <w:szCs w:val="20"/>
                <w:color w:val="auto"/>
              </w:rPr>
            </w:pPr>
            <w:r>
              <w:rPr>
                <w:rFonts w:ascii="Arial" w:cs="Arial" w:eastAsia="Arial" w:hAnsi="Arial"/>
                <w:sz w:val="14"/>
                <w:szCs w:val="14"/>
                <w:b w:val="1"/>
                <w:bCs w:val="1"/>
                <w:color w:val="auto"/>
                <w:w w:val="96"/>
              </w:rPr>
              <w:t>September 26,</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000" w:type="dxa"/>
            <w:vAlign w:val="bottom"/>
          </w:tcPr>
          <w:p>
            <w:pPr>
              <w:jc w:val="right"/>
              <w:ind w:right="821"/>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certificates of deposit.</w:t>
      </w:r>
    </w:p>
    <w:p>
      <w:pPr>
        <w:spacing w:after="0" w:line="18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Interest expense was primarily related to interest associated with borrowings and term loan under the SVB Credit Facility and discounts on customer letters of credit.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Quarter Ended</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60" w:type="dxa"/>
            <w:vAlign w:val="bottom"/>
          </w:tcPr>
          <w:p>
            <w:pPr>
              <w:spacing w:after="0"/>
              <w:rPr>
                <w:sz w:val="13"/>
                <w:szCs w:val="13"/>
                <w:color w:val="auto"/>
              </w:rPr>
            </w:pPr>
          </w:p>
        </w:tc>
        <w:tc>
          <w:tcPr>
            <w:tcW w:w="12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w:t>
            </w:r>
          </w:p>
        </w:tc>
        <w:tc>
          <w:tcPr>
            <w:tcW w:w="220" w:type="dxa"/>
            <w:vAlign w:val="bottom"/>
          </w:tcPr>
          <w:p>
            <w:pPr>
              <w:spacing w:after="0"/>
              <w:rPr>
                <w:sz w:val="13"/>
                <w:szCs w:val="13"/>
                <w:color w:val="auto"/>
              </w:rPr>
            </w:pPr>
          </w:p>
        </w:tc>
        <w:tc>
          <w:tcPr>
            <w:tcW w:w="14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26,</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2"/>
        </w:trPr>
        <w:tc>
          <w:tcPr>
            <w:tcW w:w="73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loss from continuing operations before income taxes</w:t>
            </w:r>
          </w:p>
        </w:tc>
        <w:tc>
          <w:tcPr>
            <w:tcW w:w="2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We estimate our annual effective rate at the end of each quarterly period, and we record the tax effect of certain discrete items in the interim period in which they occur, including changes in judgment about uncertain tax positions and deferred tax valuation allowances. The determination of the effective tax rate reflects tax expense and benefit generated in certain foreign jurisdictions. However, jurisdictions with a year-to-date loss where no tax benefit can be recognized are excluded from the annual effective tax rate.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jc w:val="center"/>
              <w:ind w:left="242"/>
              <w:spacing w:after="0" w:line="153" w:lineRule="exact"/>
              <w:rPr>
                <w:sz w:val="20"/>
                <w:szCs w:val="20"/>
                <w:color w:val="auto"/>
              </w:rPr>
            </w:pPr>
            <w:r>
              <w:rPr>
                <w:rFonts w:ascii="Arial" w:cs="Arial" w:eastAsia="Arial" w:hAnsi="Arial"/>
                <w:sz w:val="14"/>
                <w:szCs w:val="14"/>
                <w:b w:val="1"/>
                <w:bCs w:val="1"/>
                <w:color w:val="auto"/>
                <w:w w:val="92"/>
              </w:rPr>
              <w:t>October 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26,</w:t>
            </w:r>
          </w:p>
        </w:tc>
        <w:tc>
          <w:tcPr>
            <w:tcW w:w="140" w:type="dxa"/>
            <w:vAlign w:val="bottom"/>
          </w:tcPr>
          <w:p>
            <w:pPr>
              <w:spacing w:after="0"/>
              <w:rPr>
                <w:sz w:val="13"/>
                <w:szCs w:val="13"/>
                <w:color w:val="auto"/>
              </w:rPr>
            </w:pPr>
          </w:p>
        </w:tc>
        <w:tc>
          <w:tcPr>
            <w:tcW w:w="7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0.3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5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Our discontinued operations consist of the WiMAX business, which was sold to EION on September 2, 2011. We completed the business transition with EION in fiscal 2012. The income recognized in the first quarter of fiscal 2016 and fiscal 2015 were primarily due to recovery of certain WiMAX customer receivables that were previously written down. The income recognized in the first quarter of fiscal 2015 also included a $0.1 million write-off of accrued liabilities due to EION.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ind w:right="400" w:firstLine="432"/>
        <w:spacing w:after="0" w:line="302" w:lineRule="auto"/>
        <w:rPr>
          <w:sz w:val="20"/>
          <w:szCs w:val="20"/>
          <w:color w:val="auto"/>
        </w:rPr>
      </w:pPr>
      <w:r>
        <w:rPr>
          <w:rFonts w:ascii="Arial" w:cs="Arial" w:eastAsia="Arial" w:hAnsi="Arial"/>
          <w:sz w:val="16"/>
          <w:szCs w:val="16"/>
          <w:color w:val="auto"/>
        </w:rPr>
        <w:t>As of October 2, 2015, our total cash and cash equivalents were $35.8 million. Approximately $13.5 million, or 38%, of our total cash and cash equivalents, was held by entities domiciled in the United States. The remaining balance of $22.3 million, or 62%, was held by entities outside the United States. Of the amount of cash and cash equivalents held by our foreign subsidiaries at October 2, 2015, $16.6 million was held in jurisdictions where our undistributed earnings are indefinitely reinvested, and if repatriated, would be subject to U.S. taxes which are currently nominal.</w:t>
      </w:r>
    </w:p>
    <w:p>
      <w:pPr>
        <w:spacing w:after="0" w:line="100"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As of October 2, 2015, our principal sources of liquidity consisted of the $35.8 million in cash and cash equivalents, $19.4 million of available credit under our $40.0 million SVB Credit Facility which expires on September 26, 2016 and future collections of receivables from customers. As of October 2, 2015, we were in compliance with the financial covenants contained in the SVB Credit Facility. We regularly require letters of credit from some customers,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4" w:name="page25"/>
    <w:bookmarkEnd w:id="24"/>
    <w:p>
      <w:pPr>
        <w:ind w:right="80"/>
        <w:spacing w:after="0" w:line="257" w:lineRule="auto"/>
        <w:rPr>
          <w:sz w:val="20"/>
          <w:szCs w:val="20"/>
          <w:color w:val="auto"/>
        </w:rPr>
      </w:pPr>
      <w:r>
        <w:rPr>
          <w:rFonts w:ascii="Arial" w:cs="Arial" w:eastAsia="Arial" w:hAnsi="Arial"/>
          <w:sz w:val="18"/>
          <w:szCs w:val="18"/>
          <w:color w:val="auto"/>
        </w:rPr>
        <w:t>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credit facilities and cash proceeds from sale of our equity securities. During the first quarter of fiscal 2016, our total cash and cash equivalents increased by $1.1 million primarily due to $1.8 million of cash provided by operating activities, partially offset by $0.4 million of cash used for capital expenditures and $0.3 million effect of exchange rate changes on cash and cash equivalents.</w:t>
      </w:r>
    </w:p>
    <w:p>
      <w:pPr>
        <w:spacing w:after="0" w:line="134"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Cash provided by operating activities was $1.8 million in the first quarter of fiscal 2016, primarily due to our net loss of $1.2 million, adjusted by non-cash expense items of $4.2 million, increases in accounts payable and accrued expenses of $3.6 million and in customer advance payments and unearned income of $0.2 million, and decreases in customer service inventories of $0.6 million, partially offset by increases in inventories of $3.0 million, in accounts receivable of $0.8 million and in unbilled costs of $0.1 million and a decrease in income taxes payable of $1.3 million. The increases in accounts payable and accrued expenses were primarily due to the timing of vendor payments. The increase in customer advance payments and unearned income was due to the timing of revenue recognition on several large contracts. The decrease in customer service inventories was primarily due to usage of parts to fulfill warranty obligations. The increase in inventories was primarily due to higher deferred cost of sales associated with higher unearned income on projects and the timing of customer shipments. The increase in accounts receivable was due to the billing during the first quarter of fiscal 2016 exceeding collections. The increase in unbilled costs was due to the timing of billing of projects. The decrease in income taxes payable was due to our payments on income tax liabilities during the quarter. We used $1.0 million in cash during the first quarter of fiscal 2016 on expenses related to restructuring liabilities.</w:t>
      </w:r>
    </w:p>
    <w:p>
      <w:pPr>
        <w:spacing w:after="0" w:line="115"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During the remainder of fiscal year 2016, we expect to spend approximately $3.0 million for capital expenditures, primarily on equipment for development and manufacturing of new products and to support customer managed services.</w:t>
      </w:r>
    </w:p>
    <w:p>
      <w:pPr>
        <w:spacing w:after="0" w:line="116"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Our SVB Credit Facility expires on September 26, 2016. While we intend to renew and expect the SVB Credit Facility to be renewed, there can be no assurance that the SVB Credit Facility will be renewed. In addition, there can be no assurance that our business will generate cash flow from operations, we will be in compliance with the quarterly financial covenants contained in the SVB Credit Facility, or that anticipated operational improvements will be achieved. If we are not in compliance with the financial covenants,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Borrowings and Repayment of Debt</w:t>
      </w:r>
    </w:p>
    <w:p>
      <w:pPr>
        <w:spacing w:after="0" w:line="171"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On March 28, 2014, we entered into the SVB Credit Facility which was amended subsequently in 2014 providing for the extensions of the deadline for preparing and filing our fiscal 2014 financial statements with the SEC. On February 27, 2015, the SVB Credit Facility was further amended providing for certain amendments to the financial covenants, borrowing base and an early termination fee if the credit facility is terminated prior to its expiration. This agreement amends and restates our First Amended and Restated Loan and Security Agreement, which was entered into on September 27, 2013 and amended providing for certain amendments to the maximum borrowing limit and financial covenants. The SVB Credit Facility expires on September 26, 2016, and our outstanding debt under the SVB Credit Facility was $9.0 million as of October 2, 2015.</w:t>
      </w:r>
    </w:p>
    <w:p>
      <w:pPr>
        <w:spacing w:after="0" w:line="12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SVB Credit Facility provides for a committed amount of up to $40.0 million, with a $30.0 million sublimit that can be borrowed by our Singapore subsidiary. Borrowings that may be advanced under the SVB Credit Facility at the lesser of $40.0 million or a borrowing base equal to a specified percentage of the value of eligible accounts receivable and U.S. unbilled accounts of the Company, subject to certain reserves and eligibility criteria. The SVB Credit Facility can also be utilized to issue letters of credit. Principal, together with all accrued and unpaid interest, is due and payable on September 26, 2016. If the SVB Credit Facility is terminated by us in certain circumstances prior to its expiration, we are subject to an early termination fee equal to 1% of the revolving line. As of October 2, 2015, available credit under the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5" w:name="page26"/>
    <w:bookmarkEnd w:id="25"/>
    <w:p>
      <w:pPr>
        <w:ind w:right="360"/>
        <w:spacing w:after="0" w:line="277" w:lineRule="auto"/>
        <w:rPr>
          <w:sz w:val="20"/>
          <w:szCs w:val="20"/>
          <w:color w:val="auto"/>
        </w:rPr>
      </w:pPr>
      <w:r>
        <w:rPr>
          <w:rFonts w:ascii="Arial" w:cs="Arial" w:eastAsia="Arial" w:hAnsi="Arial"/>
          <w:sz w:val="18"/>
          <w:szCs w:val="18"/>
          <w:color w:val="auto"/>
        </w:rPr>
        <w:t>SVB Credit Facility was $19.4 million reflecting the calculated borrowing base of $32.5 million less existing borrowings of $9.0 million and outstanding letters of credit of $4.1 million.</w:t>
      </w:r>
    </w:p>
    <w:p>
      <w:pPr>
        <w:spacing w:after="0" w:line="11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 xml:space="preserve">Borrowings under the SVB Credit Facility carry an interest rate computed at the daily prime rate as published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plus a spread of 0.50% to 1.50%, with such spread determined based on our adjusted quick ratio. If a minimum adjusted quick ratio requirement is satisfied, LIBOR advances are offered at LIBOR plus a spread of 2.75%. Interest is due and payable in arrears monthly for prime rate loans and, for LIBOR rate loans, at the end of an interest period or at each three-month interval if the interest period is greater than three months. During the first quarter of fiscal 2016, the weighted average interest rate on our outstanding loan was 3.75%.</w:t>
      </w:r>
    </w:p>
    <w:p>
      <w:pPr>
        <w:spacing w:after="0" w:line="134"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 above the applicable interest rate. As of October 2, 2015, we were in compliance with the quarterly financial covenants contained in the SVB Credit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We had liabilities for restructuring activities totaling $3.5 million as of October 2, 2015, $3.0 million of which was classified as current liability and expected to be paid out in cash over the next 12 months. We expect to fund these future payments with available cash and cash provided by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amounts disclosed in our fiscal 2015 Annual Report on Form 10-K include our commercial commitments and contractual obligations. During the first quarter of fiscal 2016, no material changes occurred in our contractual obligations to purchase goods and services and to make payments under operating leases or our commercial commitments and contingent liabilities on outstanding letters of credit, guarantees and other arrangements as disclosed in our fiscal 2015 Annual Report on Form 10-K. Please refer to Note 11, “Commitments and Contingencies” in this Quarterly Report on Form 10-Q.</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2015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75"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We use foreign exchange forward contracts to hedge forecasted foreign currency transactions relating to forecasted sales and purchase transactions. Prior to the fourth quarter of fiscal 2015, these derivatives were designated as cash flow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46" w:right="259" w:bottom="1440" w:gutter="0" w:footer="0" w:header="0"/>
        </w:sectPr>
      </w:pPr>
    </w:p>
    <w:bookmarkStart w:id="26" w:name="page27"/>
    <w:bookmarkEnd w:id="26"/>
    <w:p>
      <w:pPr>
        <w:ind w:right="40"/>
        <w:spacing w:after="0" w:line="291" w:lineRule="auto"/>
        <w:rPr>
          <w:sz w:val="20"/>
          <w:szCs w:val="20"/>
          <w:color w:val="auto"/>
        </w:rPr>
      </w:pPr>
      <w:r>
        <w:rPr>
          <w:rFonts w:ascii="Arial" w:cs="Arial" w:eastAsia="Arial" w:hAnsi="Arial"/>
          <w:sz w:val="16"/>
          <w:szCs w:val="16"/>
          <w:color w:val="auto"/>
        </w:rPr>
        <w:t>hedges and were carried at fair value. The effective portion of the gain or loss was initially reported as a component of accumulated other comprehensive income (loss), and upon occurrence of the forecasted transaction, was subsequently reclassified into the income or expense line item to which the hedged transaction relates. Beginning the fourth quarter of fiscal 2015, we no longer prepared contemporaneous documentation of hedges. As are result, the foreign exchange hedges no longer qualified as cash flow hedges. The changes in fair value related to the hedges were recorded in the income or expenses line items on our statements of operations.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1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As of October 2, 2015, we had foreign currency forward contracts outstanding with a total notional amount of $6.8 million consisting of 7 different currencies. The following is a summary of the gross notional amount of our outstanding contracts grouped by the underlying foreign currency as of October 2, 2015: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5"/>
              </w:rPr>
              <w:t>Notional Contract</w:t>
            </w:r>
          </w:p>
        </w:tc>
        <w:tc>
          <w:tcPr>
            <w:tcW w:w="440" w:type="dxa"/>
            <w:vAlign w:val="bottom"/>
          </w:tcPr>
          <w:p>
            <w:pPr>
              <w:spacing w:after="0"/>
              <w:rPr>
                <w:sz w:val="14"/>
                <w:szCs w:val="14"/>
                <w:color w:val="auto"/>
              </w:rPr>
            </w:pPr>
          </w:p>
        </w:tc>
        <w:tc>
          <w:tcPr>
            <w:tcW w:w="1160" w:type="dxa"/>
            <w:vAlign w:val="bottom"/>
          </w:tcPr>
          <w:p>
            <w:pPr>
              <w:jc w:val="center"/>
              <w:ind w:right="357"/>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jc w:val="center"/>
              <w:ind w:right="357"/>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8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7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8"/>
              </w:rPr>
              <w:t>Amount</w:t>
            </w:r>
          </w:p>
        </w:tc>
        <w:tc>
          <w:tcPr>
            <w:tcW w:w="440" w:type="dxa"/>
            <w:vAlign w:val="bottom"/>
          </w:tcPr>
          <w:p>
            <w:pPr>
              <w:spacing w:after="0"/>
              <w:rPr>
                <w:sz w:val="12"/>
                <w:szCs w:val="12"/>
                <w:color w:val="auto"/>
              </w:rPr>
            </w:pPr>
          </w:p>
        </w:tc>
        <w:tc>
          <w:tcPr>
            <w:tcW w:w="116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8120" w:type="dxa"/>
            <w:vAlign w:val="bottom"/>
            <w:gridSpan w:val="2"/>
            <w:vMerge w:val="continue"/>
          </w:tcPr>
          <w:p>
            <w:pPr>
              <w:spacing w:after="0"/>
              <w:rPr>
                <w:sz w:val="16"/>
                <w:szCs w:val="16"/>
                <w:color w:val="auto"/>
              </w:rPr>
            </w:pPr>
          </w:p>
        </w:tc>
        <w:tc>
          <w:tcPr>
            <w:tcW w:w="1700" w:type="dxa"/>
            <w:vAlign w:val="bottom"/>
          </w:tcPr>
          <w:p>
            <w:pPr>
              <w:jc w:val="center"/>
              <w:ind w:right="18"/>
              <w:spacing w:after="0"/>
              <w:rPr>
                <w:sz w:val="20"/>
                <w:szCs w:val="20"/>
                <w:color w:val="auto"/>
              </w:rPr>
            </w:pPr>
            <w:r>
              <w:rPr>
                <w:rFonts w:ascii="Arial" w:cs="Arial" w:eastAsia="Arial" w:hAnsi="Arial"/>
                <w:sz w:val="14"/>
                <w:szCs w:val="14"/>
                <w:b w:val="1"/>
                <w:bCs w:val="1"/>
                <w:color w:val="auto"/>
                <w:w w:val="97"/>
              </w:rPr>
              <w:t>(Local Currency)</w:t>
            </w:r>
          </w:p>
        </w:tc>
        <w:tc>
          <w:tcPr>
            <w:tcW w:w="440" w:type="dxa"/>
            <w:vAlign w:val="bottom"/>
          </w:tcPr>
          <w:p>
            <w:pPr>
              <w:spacing w:after="0"/>
              <w:rPr>
                <w:sz w:val="16"/>
                <w:szCs w:val="16"/>
                <w:color w:val="auto"/>
              </w:rPr>
            </w:pPr>
          </w:p>
        </w:tc>
        <w:tc>
          <w:tcPr>
            <w:tcW w:w="1160" w:type="dxa"/>
            <w:vAlign w:val="bottom"/>
          </w:tcPr>
          <w:p>
            <w:pPr>
              <w:jc w:val="center"/>
              <w:ind w:right="337"/>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8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7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1.9</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Republic of South Africa rand</w:t>
            </w:r>
          </w:p>
        </w:tc>
        <w:tc>
          <w:tcPr>
            <w:tcW w:w="1700" w:type="dxa"/>
            <w:vAlign w:val="bottom"/>
          </w:tcPr>
          <w:p>
            <w:pPr>
              <w:jc w:val="right"/>
              <w:ind w:right="118"/>
              <w:spacing w:after="0"/>
              <w:rPr>
                <w:sz w:val="20"/>
                <w:szCs w:val="20"/>
                <w:color w:val="auto"/>
              </w:rPr>
            </w:pPr>
            <w:r>
              <w:rPr>
                <w:rFonts w:ascii="Arial" w:cs="Arial" w:eastAsia="Arial" w:hAnsi="Arial"/>
                <w:sz w:val="18"/>
                <w:szCs w:val="18"/>
                <w:color w:val="auto"/>
              </w:rPr>
              <w:t>20.4</w:t>
            </w:r>
          </w:p>
        </w:tc>
        <w:tc>
          <w:tcPr>
            <w:tcW w:w="44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 dollar</w:t>
            </w:r>
          </w:p>
        </w:tc>
        <w:tc>
          <w:tcPr>
            <w:tcW w:w="17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2.1</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Singapore dollar</w:t>
            </w:r>
          </w:p>
        </w:tc>
        <w:tc>
          <w:tcPr>
            <w:tcW w:w="1700" w:type="dxa"/>
            <w:vAlign w:val="bottom"/>
          </w:tcPr>
          <w:p>
            <w:pPr>
              <w:jc w:val="right"/>
              <w:ind w:right="118"/>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currencies</w:t>
            </w:r>
          </w:p>
        </w:tc>
        <w:tc>
          <w:tcPr>
            <w:tcW w:w="17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N/A</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17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Net foreign exchange loss recorded in our consolidated statements of operations during the first quarter of fiscal 2016 and 2015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882"/>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jc w:val="center"/>
              <w:ind w:left="244"/>
              <w:spacing w:after="0" w:line="153" w:lineRule="exact"/>
              <w:rPr>
                <w:sz w:val="20"/>
                <w:szCs w:val="20"/>
                <w:color w:val="auto"/>
              </w:rPr>
            </w:pPr>
            <w:r>
              <w:rPr>
                <w:rFonts w:ascii="Arial" w:cs="Arial" w:eastAsia="Arial" w:hAnsi="Arial"/>
                <w:sz w:val="14"/>
                <w:szCs w:val="14"/>
                <w:b w:val="1"/>
                <w:bCs w:val="1"/>
                <w:color w:val="auto"/>
                <w:w w:val="92"/>
              </w:rPr>
              <w:t>October 2,</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gain (loss), net</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0.2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A 10% adverse change in currency exchange rates for our foreign currency derivatives held as of October 2, 2015 would have an impact of approximately $0.7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93"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Certain of our international business was transacted in non-U.S. dollar currency. As discussed above, we utilize foreign currency hedging instruments to minimize the currency risk of international transactions. The impact of translating the assets and liabilities of foreign operations to U.S. dollars for the first quarter of fiscal 2016, mostly Nigeria Naira and Euro, was $0.8 million and was included as a component of stockholders’ equity. As of October 2, 2015 and July 3, 2015, the cumulative translation adjustment decreased our stockholders’ equity by $9.3 million and $8.5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borrowings under our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171"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We had $35.8 million in total cash and cash equivalents as of October 2, 2015. Cash equivalents totaled $13.9 million as of October 2, 2015 and were comprised of money market funds and certificates of deposit. Cash equivalents have been recorded at fair value on our balance sheet.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7" w:name="page28"/>
    <w:bookmarkEnd w:id="27"/>
    <w:p>
      <w:pPr>
        <w:ind w:right="160" w:firstLine="43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3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October 2, 2015 was six days, and these investments had an average yield of 1.71% per annum. A 10% change in interest rates on our cash and cash equivalents is not expected to have a material impact on our financial position, results of operations or 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171"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During the first quarter of fiscal 2016, we had $9.0 million of borrowings outstanding under the SVB Credit Facility that incurred interest at the prime rate plus a spread of 0.50% to 1.50%. During the first quarter of fiscal 2016, our weighted average interest rate was 3.75% and the interest expense on these borrowings was insignificant.</w:t>
      </w:r>
    </w:p>
    <w:p>
      <w:pPr>
        <w:spacing w:after="0" w:line="12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Material Weaknesses on Internal Control over Financial Reporting</w:t>
      </w:r>
    </w:p>
    <w:p>
      <w:pPr>
        <w:spacing w:after="0" w:line="175"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Chief Financial Officer, management has assessed the effectiveness of the Company’s internal control over financial reporting based on the criteria set forth in the Internal Control - Integrated Framework (2013) issued by the Committee of Sponsoring Organizations of the Treadway Commission.</w:t>
      </w:r>
    </w:p>
    <w:p>
      <w:pPr>
        <w:spacing w:after="0" w:line="127"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A material weakness is a control deficiency or a combination of control deficiencies that results in more than a remote likelihood that a material misstatement of the annual or interim financial statements will not be prevented or detected.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8" w:name="page29"/>
    <w:bookmarkEnd w:id="28"/>
    <w:p>
      <w:pPr>
        <w:ind w:right="360" w:firstLine="405"/>
        <w:spacing w:after="0" w:line="277" w:lineRule="auto"/>
        <w:rPr>
          <w:sz w:val="20"/>
          <w:szCs w:val="20"/>
          <w:color w:val="auto"/>
        </w:rPr>
      </w:pPr>
      <w:r>
        <w:rPr>
          <w:rFonts w:ascii="Arial" w:cs="Arial" w:eastAsia="Arial" w:hAnsi="Arial"/>
          <w:sz w:val="18"/>
          <w:szCs w:val="18"/>
          <w:color w:val="auto"/>
        </w:rPr>
        <w:t>In connection with the Company’s assessment of the effectiveness of internal control over financial reporting, the Company identified the following material weaknesses that existed as of July 3, 2015 that continued to exist as of October 2, 2015:</w:t>
      </w:r>
    </w:p>
    <w:p>
      <w:pPr>
        <w:spacing w:after="0" w:line="116" w:lineRule="exact"/>
        <w:rPr>
          <w:sz w:val="20"/>
          <w:szCs w:val="20"/>
          <w:color w:val="auto"/>
        </w:rPr>
      </w:pPr>
    </w:p>
    <w:p>
      <w:pPr>
        <w:ind w:left="820" w:right="60" w:hanging="407"/>
        <w:spacing w:after="0" w:line="287"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COSO Components - Risk Assessment and Monitoring Activities. </w:t>
      </w:r>
      <w:r>
        <w:rPr>
          <w:rFonts w:ascii="Arial" w:cs="Arial" w:eastAsia="Arial" w:hAnsi="Arial"/>
          <w:sz w:val="16"/>
          <w:szCs w:val="16"/>
          <w:color w:val="auto"/>
        </w:rPr>
        <w:t>We determined that our controls pertaining to risk assessment and monitoring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activities did not operate effectively, resulting in a material weakness pertaining to these COSO components. Specifically, (i) with respect to risk assessment, we did not sufficiently identify and address risks associated with (a) the adequacy of training needs of employees whose job functions bear upon our accounting and financial reporting; (b) segregation of duty conflicts and the adequacy and effectiveness of compensating controls; and (c) certain processes, further noted in the Control Activities discussion below, resulting in inadequately designed control activities; and (ii) with respect to monitoring activities, (a) we did not design and maintain effective controls for the review, supervision and monitoring of our international accounting operations and for evaluating the adequacy of our internal control over financial reporting, including adequate documentation of control performance; and (b) there were insufficient procedures to effectively determine the adequacy of our internal control over financial reporting. The deficiencies in these COSO components are interrelated and represent a material weakness. This material weakness contributed to the other material weaknesses described below and an environment where there was more than a remote likelihood that a material misstatement of the interim and annual consolidated financial statements could occur and not be prevented or detected. As a result, adjustments to various accounts were made to correct errors that were determined to be immaterial to the prior period financial statements.</w:t>
      </w:r>
    </w:p>
    <w:p>
      <w:pPr>
        <w:spacing w:after="0" w:line="114" w:lineRule="exact"/>
        <w:rPr>
          <w:rFonts w:ascii="Arial" w:cs="Arial" w:eastAsia="Arial" w:hAnsi="Arial"/>
          <w:sz w:val="16"/>
          <w:szCs w:val="16"/>
          <w:color w:val="auto"/>
        </w:rPr>
      </w:pPr>
    </w:p>
    <w:p>
      <w:pPr>
        <w:jc w:val="both"/>
        <w:ind w:left="820" w:right="460" w:hanging="407"/>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Activities - Account Reconciliations. </w:t>
      </w:r>
      <w:r>
        <w:rPr>
          <w:rFonts w:ascii="Arial" w:cs="Arial" w:eastAsia="Arial" w:hAnsi="Arial"/>
          <w:sz w:val="18"/>
          <w:szCs w:val="18"/>
          <w:color w:val="auto"/>
        </w:rPr>
        <w:t>The design and operating effectiveness of our controls were inadequate to ensure that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reconciliations were reviewed and approved for accuracy and completeness and that we identified, accumulated and documented appropriate information necessary to support account balances.</w:t>
      </w:r>
    </w:p>
    <w:p>
      <w:pPr>
        <w:spacing w:after="0" w:line="127" w:lineRule="exact"/>
        <w:rPr>
          <w:rFonts w:ascii="Arial" w:cs="Arial" w:eastAsia="Arial" w:hAnsi="Arial"/>
          <w:sz w:val="18"/>
          <w:szCs w:val="18"/>
          <w:color w:val="auto"/>
        </w:rPr>
      </w:pPr>
    </w:p>
    <w:p>
      <w:pPr>
        <w:ind w:left="820" w:right="100" w:hanging="407"/>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Activities - Revenue Recognition. </w:t>
      </w:r>
      <w:r>
        <w:rPr>
          <w:rFonts w:ascii="Arial" w:cs="Arial" w:eastAsia="Arial" w:hAnsi="Arial"/>
          <w:sz w:val="18"/>
          <w:szCs w:val="18"/>
          <w:color w:val="auto"/>
        </w:rPr>
        <w:t>The design and operating effectiveness of our controls were inadequate to ensure that the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of all negotiated customer discounts were agreed upon with the customer in advance of recognizing revenue to ensure that the reported amount and timing of revenue recognition was accurate.</w:t>
      </w:r>
    </w:p>
    <w:p>
      <w:pPr>
        <w:spacing w:after="0" w:line="127" w:lineRule="exact"/>
        <w:rPr>
          <w:rFonts w:ascii="Arial" w:cs="Arial" w:eastAsia="Arial" w:hAnsi="Arial"/>
          <w:sz w:val="18"/>
          <w:szCs w:val="18"/>
          <w:color w:val="auto"/>
        </w:rPr>
      </w:pPr>
    </w:p>
    <w:p>
      <w:pPr>
        <w:ind w:left="820" w:right="600" w:hanging="407"/>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Activities - Revenue Cut-off Procedures. </w:t>
      </w:r>
      <w:r>
        <w:rPr>
          <w:rFonts w:ascii="Arial" w:cs="Arial" w:eastAsia="Arial" w:hAnsi="Arial"/>
          <w:sz w:val="18"/>
          <w:szCs w:val="18"/>
          <w:color w:val="auto"/>
        </w:rPr>
        <w:t>The design and operating effectiveness of our controls were inadequate to ensure that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recognized on shipments made under FOB Destination terms was recognized in the proper period.</w:t>
      </w:r>
    </w:p>
    <w:p>
      <w:pPr>
        <w:spacing w:after="0" w:line="116" w:lineRule="exact"/>
        <w:rPr>
          <w:rFonts w:ascii="Arial" w:cs="Arial" w:eastAsia="Arial" w:hAnsi="Arial"/>
          <w:sz w:val="18"/>
          <w:szCs w:val="18"/>
          <w:color w:val="auto"/>
        </w:rPr>
      </w:pPr>
    </w:p>
    <w:p>
      <w:pPr>
        <w:ind w:left="820" w:right="320" w:hanging="407"/>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Activities - Project Accruals. </w:t>
      </w:r>
      <w:r>
        <w:rPr>
          <w:rFonts w:ascii="Arial" w:cs="Arial" w:eastAsia="Arial" w:hAnsi="Arial"/>
          <w:sz w:val="18"/>
          <w:szCs w:val="18"/>
          <w:color w:val="auto"/>
        </w:rPr>
        <w:t>The design and operating effectiveness of our controls were inadequate to ensure that the project accrual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balances were accurate.</w:t>
      </w:r>
    </w:p>
    <w:p>
      <w:pPr>
        <w:spacing w:after="0" w:line="116" w:lineRule="exact"/>
        <w:rPr>
          <w:rFonts w:ascii="Arial" w:cs="Arial" w:eastAsia="Arial" w:hAnsi="Arial"/>
          <w:sz w:val="18"/>
          <w:szCs w:val="18"/>
          <w:color w:val="auto"/>
        </w:rPr>
      </w:pPr>
    </w:p>
    <w:p>
      <w:pPr>
        <w:ind w:left="820" w:right="420" w:hanging="407"/>
        <w:spacing w:after="0" w:line="342"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Control Activities - Inventory Existence</w:t>
      </w:r>
      <w:r>
        <w:rPr>
          <w:rFonts w:ascii="Arial" w:cs="Arial" w:eastAsia="Arial" w:hAnsi="Arial"/>
          <w:sz w:val="16"/>
          <w:szCs w:val="16"/>
          <w:color w:val="auto"/>
        </w:rPr>
        <w:t>. The design and operating effectiveness of our controls over inventory cycle counts and inventory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consigned locations were inadequate to ensure that the underlying quantities in support of inventory balances were accurate.</w:t>
      </w:r>
    </w:p>
    <w:p>
      <w:pPr>
        <w:spacing w:after="0" w:line="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Errors identified in our financial statements and the aforementioned material weaknesses resulted in a reasonable possibility that a material misstatement of our annual or interim consolidated financial statements would not be prevented or detected on a timely basis.</w:t>
      </w:r>
    </w:p>
    <w:p>
      <w:pPr>
        <w:spacing w:after="0" w:line="116"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material weaknesses identified by management could result in a material misstatement to our annual or interim financial statements that would not be prevented or detected. Management has concluded that our internal control over financial reporting was not effective as of July 3, 2015 and October 2, 2015, respectively, due to the material weaknesses identified. We reviewed the results of management’s assessment with the Audit Committee of the Company’s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Evaluation of Disclosure Controls and Procedures</w:t>
      </w:r>
    </w:p>
    <w:p>
      <w:pPr>
        <w:spacing w:after="0" w:line="17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29" w:name="page30"/>
    <w:bookmarkEnd w:id="29"/>
    <w:p>
      <w:pPr>
        <w:ind w:right="180"/>
        <w:spacing w:after="0" w:line="264" w:lineRule="auto"/>
        <w:rPr>
          <w:sz w:val="20"/>
          <w:szCs w:val="20"/>
          <w:color w:val="auto"/>
        </w:rPr>
      </w:pPr>
      <w:r>
        <w:rPr>
          <w:rFonts w:ascii="Arial" w:cs="Arial" w:eastAsia="Arial" w:hAnsi="Arial"/>
          <w:sz w:val="18"/>
          <w:szCs w:val="18"/>
          <w:color w:val="auto"/>
        </w:rPr>
        <w:t>without limitation controls and procedures designed to ensure that information required to be disclosed in our reports filed or submitted under the Exchange Act is accumulated and communicated to management, including our Chief Executive Officer and Chief Financial Officer, as appropriate to allow timely decisions regarding required disclosure.</w:t>
      </w:r>
    </w:p>
    <w:p>
      <w:pPr>
        <w:spacing w:after="0" w:line="12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of October 2, 2015, management carried out an evaluation, under the supervision and with the participation of our Chief Executive Officer and Chief Financial Officer, of the effectiveness of our disclosure controls and procedures. Based upon the evaluation and as a result of the material weaknesses described above, our Chief Executive Officer and Chief Financial Officer concluded that, as of October 2, 2015, our disclosure controls and procedures were not effective at the reasonable assurance level.</w:t>
      </w:r>
    </w:p>
    <w:p>
      <w:pPr>
        <w:spacing w:after="0" w:line="13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Accordingly, even effective disclosure controls and procedures can only provide reasonable assurances of achieving their control objectives.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75"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Subsequent to our July 3, 2015 fiscal year end, we began taking a number of actions, including designing and implementing new controls and revising existing controls, in order to remediate the material weaknesses described above. We expect to continue our remediation efforts, including testing of the operating effectiveness of new controls, as described below under “Remedial Actions to Address Material Weaknesses” with respect to the material weaknesses identified during the fiscal year ended July 3, 2015 and provide an update on the status of our remediation activities on a quarterly basis.</w:t>
      </w:r>
    </w:p>
    <w:p>
      <w:pPr>
        <w:spacing w:after="0" w:line="100"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October 2, 2015 that have materially affected, or are reasonably likely to materially affect, our internal control over financial reporting, other than progress with respect to the implementation of certain remediation efforts, as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Remedial Actions to Address Material Weaknesses</w:t>
      </w:r>
    </w:p>
    <w:p>
      <w:pPr>
        <w:spacing w:after="0" w:line="175"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color w:val="auto"/>
        </w:rPr>
        <w:t>We continue to evaluate the effectiveness of our remediation efforts, including demonstrating that the new or improved controls operate effectively for a reasonable period of time. If appropriate, we expect to make further changes to our internal controls. The following actions have been taken, are in process of being taken or we expect to take as soon as practicable, to strengthen our controls and organizational structure:</w:t>
      </w:r>
    </w:p>
    <w:p>
      <w:pPr>
        <w:spacing w:after="0" w:line="111" w:lineRule="exact"/>
        <w:rPr>
          <w:sz w:val="20"/>
          <w:szCs w:val="20"/>
          <w:color w:val="auto"/>
        </w:rPr>
      </w:pPr>
    </w:p>
    <w:p>
      <w:pPr>
        <w:ind w:left="820" w:right="260" w:hanging="407"/>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providing additional training to employees whose job functions bear upon our accounting and financial reporting, including members of the sales and operations departments, in order to ensure that our employees develop a greater understanding of the control activities that they perform.</w:t>
      </w:r>
    </w:p>
    <w:p>
      <w:pPr>
        <w:spacing w:after="0" w:line="127" w:lineRule="exact"/>
        <w:rPr>
          <w:sz w:val="20"/>
          <w:szCs w:val="20"/>
          <w:color w:val="auto"/>
        </w:rPr>
      </w:pPr>
    </w:p>
    <w:p>
      <w:pPr>
        <w:ind w:left="820" w:right="20" w:hanging="407"/>
        <w:spacing w:after="0" w:line="25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enhancing our risk assessment process. With regard to segregation of duty (“SOD”) conflicts associated with our worldwide enterprise resource planning system, we are streamlining and narrowing user system responsibilities in order to reduce the number of SOD conflicts and are developing processes to monitor all remaining SOD conflicts on an ongoing basis. With regard to control design deficiencies, we plan to perform a more robust assessment of risks impacting our accounting and financial reporting and implement new controls or revise existing controls to address such risks.</w:t>
      </w:r>
    </w:p>
    <w:p>
      <w:pPr>
        <w:spacing w:after="0" w:line="134" w:lineRule="exact"/>
        <w:rPr>
          <w:rFonts w:ascii="Arial" w:cs="Arial" w:eastAsia="Arial" w:hAnsi="Arial"/>
          <w:sz w:val="18"/>
          <w:szCs w:val="18"/>
          <w:color w:val="auto"/>
        </w:rPr>
      </w:pPr>
    </w:p>
    <w:p>
      <w:pPr>
        <w:ind w:left="820" w:right="280" w:hanging="407"/>
        <w:spacing w:after="0" w:line="286"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implementing processes to improve monitoring activities involving the review and supervision of our accounting operations. We expect this to involve (i) implementing increased and enhanced balance sheet reviews to allow more focus on quality account reconciliations; (ii) enhancing monitoring over international activities; and (iii) enhancing monitoring of our project accrual balances.</w:t>
      </w:r>
    </w:p>
    <w:p>
      <w:pPr>
        <w:spacing w:after="0" w:line="111" w:lineRule="exact"/>
        <w:rPr>
          <w:rFonts w:ascii="Arial" w:cs="Arial" w:eastAsia="Arial" w:hAnsi="Arial"/>
          <w:sz w:val="17"/>
          <w:szCs w:val="17"/>
          <w:color w:val="auto"/>
        </w:rPr>
      </w:pPr>
    </w:p>
    <w:p>
      <w:pPr>
        <w:ind w:left="820" w:hanging="407"/>
        <w:spacing w:after="0" w:line="342"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improve the accuracy of our revenue cut-off procedures, we are expanding the time period over which FOB Destination shipments are reviewed at quarter-end to provide additional assurance that revenue on all shipments made during the cut-off period is recognized in the proper period.</w:t>
      </w:r>
    </w:p>
    <w:p>
      <w:pPr>
        <w:spacing w:after="0" w:line="69" w:lineRule="exact"/>
        <w:rPr>
          <w:rFonts w:ascii="Arial" w:cs="Arial" w:eastAsia="Arial" w:hAnsi="Arial"/>
          <w:sz w:val="16"/>
          <w:szCs w:val="16"/>
          <w:color w:val="auto"/>
        </w:rPr>
      </w:pPr>
    </w:p>
    <w:p>
      <w:pPr>
        <w:ind w:left="820" w:right="80" w:hanging="407"/>
        <w:spacing w:after="0" w:line="312"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improve the accuracy of our inventory quantities, we are reviewing (i) our inventory cycle count procedures; (ii) our review and supervision of such procedures; (iii) our controls over consigned inventory locations including procedures to validate inventory quantities held at third-party locations; and (iv) our monitoring activities specifically pertaining to cycle counts to ensure that our cycle count procedures address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all relevant risks, are adequately documented and are sufficiently supervised and monitored on an ongoing basis.</w:t>
      </w:r>
    </w:p>
    <w:p>
      <w:pPr>
        <w:sectPr>
          <w:pgSz w:w="11900" w:h="16838" w:orient="portrait"/>
          <w:cols w:equalWidth="0" w:num="1">
            <w:col w:w="9399"/>
          </w:cols>
          <w:pgMar w:left="1060" w:top="7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399"/>
          </w:cols>
          <w:pgMar w:left="1060" w:top="773" w:right="1440" w:bottom="1440" w:gutter="0" w:footer="0" w:header="0"/>
          <w:type w:val="continuous"/>
        </w:sectPr>
      </w:pPr>
    </w:p>
    <w:bookmarkStart w:id="31" w:name="page32"/>
    <w:bookmarkEnd w:id="31"/>
    <w:p>
      <w:pPr>
        <w:jc w:val="center"/>
        <w:ind w:right="-99"/>
        <w:spacing w:after="0"/>
        <w:tabs>
          <w:tab w:leader="none" w:pos="200" w:val="left"/>
        </w:tabs>
        <w:rPr>
          <w:sz w:val="20"/>
          <w:szCs w:val="20"/>
          <w:color w:val="auto"/>
        </w:rPr>
      </w:pPr>
      <w:r>
        <w:rPr>
          <w:rFonts w:ascii="Arial" w:cs="Arial" w:eastAsia="Arial" w:hAnsi="Arial"/>
          <w:sz w:val="18"/>
          <w:szCs w:val="18"/>
          <w:b w:val="1"/>
          <w:bCs w:val="1"/>
          <w:color w:val="auto"/>
        </w:rPr>
        <w:t>PART II.</w:t>
        <w:tab/>
        <w:t>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Please refer to Legal Proceedings under Note 11, “Commitments and Contingencies” in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2015 Annual Report on Form 10-K.</w:t>
      </w:r>
    </w:p>
    <w:p>
      <w:pPr>
        <w:spacing w:after="0" w:line="116"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2015 Annual Report on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90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9640" w:type="dxa"/>
            <w:vAlign w:val="bottom"/>
          </w:tcPr>
          <w:p>
            <w:pPr>
              <w:ind w:left="4440"/>
              <w:spacing w:after="0"/>
              <w:rPr>
                <w:sz w:val="20"/>
                <w:szCs w:val="20"/>
                <w:color w:val="auto"/>
              </w:rPr>
            </w:pPr>
            <w:r>
              <w:rPr>
                <w:rFonts w:ascii="Arial" w:cs="Arial" w:eastAsia="Arial" w:hAnsi="Arial"/>
                <w:sz w:val="14"/>
                <w:szCs w:val="14"/>
                <w:b w:val="1"/>
                <w:bCs w:val="1"/>
                <w:color w:val="auto"/>
              </w:rPr>
              <w:t>Descriptions</w:t>
            </w:r>
          </w:p>
        </w:tc>
      </w:tr>
      <w:tr>
        <w:trPr>
          <w:trHeight w:val="552"/>
        </w:trPr>
        <w:tc>
          <w:tcPr>
            <w:tcW w:w="1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Amended and Restated Bylaws of Aviat Networks, Inc. (incorporated by reference to Exhibit 3.2 to the Current Report on Form 8-K</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filed with the SEC on October 2, 2015, File No. 001-33278)</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64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918"/>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40" w:type="dxa"/>
            <w:vAlign w:val="bottom"/>
          </w:tcPr>
          <w:p>
            <w:pPr>
              <w:ind w:left="428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0980"/>
          </w:cols>
          <w:pgMar w:left="240" w:top="850" w:right="679" w:bottom="1440" w:gutter="0" w:footer="0" w:header="0"/>
        </w:sectPr>
      </w:pPr>
    </w:p>
    <w:bookmarkStart w:id="33" w:name="page34"/>
    <w:bookmarkEnd w:id="33"/>
    <w:p>
      <w:pPr>
        <w:jc w:val="center"/>
        <w:ind w:right="-7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6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J. Madigan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31750</wp:posOffset>
            </wp:positionV>
            <wp:extent cx="37388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J. Madigan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Vice President, Corporate Controller and</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(Principal accounting officer and duly authorized officer)</w:t>
      </w: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20"/>
          </w:cols>
          <w:pgMar w:left="240" w:top="796" w:right="9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10980" w:type="dxa"/>
            <w:vAlign w:val="bottom"/>
            <w:gridSpan w:val="3"/>
          </w:tcPr>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tc>
      </w:tr>
      <w:tr>
        <w:trPr>
          <w:trHeight w:val="588"/>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9640" w:type="dxa"/>
            <w:vAlign w:val="bottom"/>
          </w:tcPr>
          <w:p>
            <w:pPr>
              <w:ind w:left="4440"/>
              <w:spacing w:after="0"/>
              <w:rPr>
                <w:sz w:val="20"/>
                <w:szCs w:val="20"/>
                <w:color w:val="auto"/>
              </w:rPr>
            </w:pPr>
            <w:r>
              <w:rPr>
                <w:rFonts w:ascii="Arial" w:cs="Arial" w:eastAsia="Arial" w:hAnsi="Arial"/>
                <w:sz w:val="14"/>
                <w:szCs w:val="14"/>
                <w:b w:val="1"/>
                <w:bCs w:val="1"/>
                <w:color w:val="auto"/>
              </w:rPr>
              <w:t>Descriptions</w:t>
            </w:r>
          </w:p>
        </w:tc>
      </w:tr>
      <w:tr>
        <w:trPr>
          <w:trHeight w:val="552"/>
        </w:trPr>
        <w:tc>
          <w:tcPr>
            <w:tcW w:w="1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Amended and Restated Bylaws of Aviat Networks, Inc. (incorporated by reference to Exhibit 3.2 to the Current Report on Form 8-K</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filed with the SEC on October 2, 2015, File No. 001-33278)</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64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40" w:type="dxa"/>
            <w:vAlign w:val="bottom"/>
          </w:tcPr>
          <w:p>
            <w:pPr>
              <w:ind w:left="428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0980"/>
          </w:cols>
          <w:pgMar w:left="240" w:top="796" w:right="6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October 2, 2015,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November 12, 2015</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Ralph Marimon,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October 2, 2015,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November 12, 2015</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/s/ Ralph S. Marimon</w:t>
            </w:r>
          </w:p>
        </w:tc>
      </w:tr>
      <w:tr>
        <w:trPr>
          <w:trHeight w:val="27"/>
        </w:trPr>
        <w:tc>
          <w:tcPr>
            <w:tcW w:w="56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660" w:type="dxa"/>
            <w:vAlign w:val="bottom"/>
          </w:tcPr>
          <w:p>
            <w:pPr>
              <w:ind w:left="200"/>
              <w:spacing w:after="0"/>
              <w:rPr>
                <w:sz w:val="20"/>
                <w:szCs w:val="20"/>
                <w:color w:val="auto"/>
              </w:rPr>
            </w:pPr>
            <w:r>
              <w:rPr>
                <w:rFonts w:ascii="Arial" w:cs="Arial" w:eastAsia="Arial" w:hAnsi="Arial"/>
                <w:sz w:val="18"/>
                <w:szCs w:val="18"/>
                <w:color w:val="auto"/>
              </w:rPr>
              <w:t>Ralph S. Marimon</w:t>
            </w:r>
          </w:p>
        </w:tc>
      </w:tr>
      <w:tr>
        <w:trPr>
          <w:trHeight w:val="256"/>
        </w:trPr>
        <w:tc>
          <w:tcPr>
            <w:tcW w:w="568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660" w:type="dxa"/>
            <w:vAlign w:val="bottom"/>
          </w:tcPr>
          <w:p>
            <w:pPr>
              <w:ind w:left="200"/>
              <w:spacing w:after="0"/>
              <w:rPr>
                <w:sz w:val="20"/>
                <w:szCs w:val="20"/>
                <w:color w:val="auto"/>
              </w:rPr>
            </w:pPr>
            <w:r>
              <w:rPr>
                <w:rFonts w:ascii="Arial" w:cs="Arial" w:eastAsia="Arial" w:hAnsi="Arial"/>
                <w:sz w:val="18"/>
                <w:szCs w:val="18"/>
                <w:color w:val="auto"/>
                <w:w w:val="94"/>
              </w:rPr>
              <w:t>Senior Vice President and Chief Financial Officer, Principal</w:t>
            </w:r>
          </w:p>
        </w:tc>
      </w:tr>
      <w:tr>
        <w:trPr>
          <w:trHeight w:val="230"/>
        </w:trPr>
        <w:tc>
          <w:tcPr>
            <w:tcW w:w="5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Financial Officer</w:t>
            </w:r>
          </w:p>
        </w:tc>
      </w:tr>
    </w:tbl>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October 2, 2015, as filed with the Securities and Exchange Commission on the date hereof (the “Report”), we, Michael A. Pangia, President and Chief Executive Officer of Aviat Networks, and Ralph S. Marimon, Senior Vice President and Chief Financial Officer, Principal Financial Officer of Aviat Networks, hereby certify, pursuant to Section 906 of the Sarbanes-Oxley Act of 2002, 18 U.S.C. §1350, that:</w:t>
      </w:r>
    </w:p>
    <w:p>
      <w:pPr>
        <w:spacing w:after="0" w:line="146"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96" w:lineRule="exact"/>
        <w:rPr>
          <w:rFonts w:ascii="Arial" w:cs="Arial" w:eastAsia="Arial" w:hAnsi="Arial"/>
          <w:sz w:val="17"/>
          <w:szCs w:val="17"/>
          <w:color w:val="auto"/>
        </w:rPr>
      </w:pPr>
    </w:p>
    <w:p>
      <w:pPr>
        <w:ind w:right="60" w:firstLine="8"/>
        <w:spacing w:after="0" w:line="277" w:lineRule="auto"/>
        <w:tabs>
          <w:tab w:leader="none" w:pos="3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92" w:lineRule="exact"/>
        <w:rPr>
          <w:sz w:val="20"/>
          <w:szCs w:val="20"/>
          <w:color w:val="auto"/>
        </w:rPr>
      </w:pPr>
    </w:p>
    <w:p>
      <w:pPr>
        <w:ind w:left="40"/>
        <w:spacing w:after="0"/>
        <w:tabs>
          <w:tab w:leader="none" w:pos="600" w:val="left"/>
          <w:tab w:leader="none" w:pos="6060" w:val="left"/>
        </w:tabs>
        <w:rPr>
          <w:sz w:val="20"/>
          <w:szCs w:val="20"/>
          <w:color w:val="auto"/>
        </w:rPr>
      </w:pPr>
      <w:r>
        <w:rPr>
          <w:rFonts w:ascii="Arial" w:cs="Arial" w:eastAsia="Arial" w:hAnsi="Arial"/>
          <w:sz w:val="18"/>
          <w:szCs w:val="18"/>
          <w:color w:val="auto"/>
        </w:rPr>
        <w:t>Date:</w:t>
        <w:tab/>
        <w:t>November 12, 2015</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143510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A. Pangia</w:t>
      </w:r>
    </w:p>
    <w:p>
      <w:pPr>
        <w:spacing w:after="0" w:line="23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12, 2015</w:t>
      </w:r>
    </w:p>
    <w:p>
      <w:pPr>
        <w:ind w:left="6080"/>
        <w:spacing w:after="0"/>
        <w:rPr>
          <w:sz w:val="20"/>
          <w:szCs w:val="20"/>
          <w:color w:val="auto"/>
        </w:rPr>
      </w:pPr>
      <w:r>
        <w:rPr>
          <w:rFonts w:ascii="Arial" w:cs="Arial" w:eastAsia="Arial" w:hAnsi="Arial"/>
          <w:sz w:val="18"/>
          <w:szCs w:val="18"/>
          <w:color w:val="auto"/>
        </w:rPr>
        <w:t>/s/ Ralph S. Marimon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21590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Ralph S. Marimon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Senior Vice President and Chief Financial Officer, Principal</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2019-12-29T13:53:59Z</dcterms:created>
  <dcterms:modified xsi:type="dcterms:W3CDTF">2019-12-29T13:53:59Z</dcterms:modified>
</cp:coreProperties>
</file>