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500" w:right="40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28, 2012</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00" w:right="400" w:hanging="465"/>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454660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AVIAT NETWORKS, INC.</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93"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20-5961564</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5200 Great America Parkway</w:t>
            </w:r>
          </w:p>
        </w:tc>
        <w:tc>
          <w:tcPr>
            <w:tcW w:w="52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4"/>
              </w:rPr>
              <w:t>Santa Clara, California</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95054</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367"/>
        </w:trPr>
        <w:tc>
          <w:tcPr>
            <w:tcW w:w="2420" w:type="dxa"/>
            <w:vAlign w:val="bottom"/>
          </w:tcPr>
          <w:p>
            <w:pPr>
              <w:spacing w:after="0"/>
              <w:rPr>
                <w:sz w:val="24"/>
                <w:szCs w:val="24"/>
                <w:color w:val="auto"/>
              </w:rPr>
            </w:pPr>
          </w:p>
        </w:tc>
        <w:tc>
          <w:tcPr>
            <w:tcW w:w="5260" w:type="dxa"/>
            <w:vAlign w:val="bottom"/>
          </w:tcPr>
          <w:p>
            <w:pPr>
              <w:jc w:val="right"/>
              <w:ind w:right="2940"/>
              <w:spacing w:after="0"/>
              <w:rPr>
                <w:sz w:val="20"/>
                <w:szCs w:val="20"/>
                <w:color w:val="auto"/>
              </w:rPr>
            </w:pPr>
            <w:r>
              <w:rPr>
                <w:rFonts w:ascii="Arial" w:cs="Arial" w:eastAsia="Arial" w:hAnsi="Arial"/>
                <w:sz w:val="18"/>
                <w:szCs w:val="18"/>
                <w:b w:val="1"/>
                <w:bCs w:val="1"/>
                <w:color w:val="auto"/>
              </w:rPr>
              <w:t>(408) 567-7000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 changes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57" w:lineRule="exact"/>
        <w:rPr>
          <w:sz w:val="24"/>
          <w:szCs w:val="24"/>
          <w:color w:val="auto"/>
        </w:rPr>
      </w:pPr>
    </w:p>
    <w:p>
      <w:pPr>
        <w:ind w:left="4760"/>
        <w:spacing w:after="0"/>
        <w:rPr>
          <w:sz w:val="20"/>
          <w:szCs w:val="20"/>
          <w:color w:val="auto"/>
        </w:rPr>
      </w:pPr>
      <w:r>
        <w:rPr>
          <w:rFonts w:ascii="Arial" w:cs="Arial" w:eastAsia="Arial" w:hAnsi="Arial"/>
          <w:sz w:val="14"/>
          <w:szCs w:val="14"/>
          <w:color w:val="auto"/>
        </w:rPr>
        <w:t>__________________________</w:t>
      </w:r>
    </w:p>
    <w:p>
      <w:pPr>
        <w:spacing w:after="0" w:line="91"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040" w:val="left"/>
        </w:tabs>
        <w:rPr>
          <w:sz w:val="20"/>
          <w:szCs w:val="20"/>
          <w:color w:val="auto"/>
        </w:rPr>
      </w:pPr>
      <w:r>
        <w:rPr>
          <w:rFonts w:ascii="Arial" w:cs="Arial" w:eastAsia="Arial" w:hAnsi="Arial"/>
          <w:sz w:val="16"/>
          <w:szCs w:val="16"/>
          <w:color w:val="auto"/>
        </w:rPr>
        <w:t>days.</w:t>
        <w:tab/>
        <w:t>Yes x</w:t>
        <w:tab/>
        <w:t xml:space="preserve">No </w:t>
      </w:r>
      <w:r>
        <w:rPr>
          <w:rFonts w:ascii="MS PGothic" w:cs="MS PGothic" w:eastAsia="MS PGothic" w:hAnsi="MS PGothic"/>
          <w:sz w:val="16"/>
          <w:szCs w:val="16"/>
          <w:color w:val="auto"/>
        </w:rPr>
        <w:t>☐</w:t>
      </w:r>
    </w:p>
    <w:p>
      <w:pPr>
        <w:spacing w:after="0" w:line="159"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3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1102" w:right="25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1600" w:space="720"/>
            <w:col w:w="4380" w:space="720"/>
            <w:col w:w="2800" w:space="720"/>
            <w:col w:w="460"/>
          </w:cols>
          <w:pgMar w:left="240" w:top="1102" w:right="25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11" w:lineRule="exact"/>
        <w:rPr>
          <w:sz w:val="24"/>
          <w:szCs w:val="24"/>
          <w:color w:val="auto"/>
        </w:rPr>
      </w:pPr>
    </w:p>
    <w:p>
      <w:pPr>
        <w:sectPr>
          <w:pgSz w:w="11900" w:h="16838" w:orient="portrait"/>
          <w:cols w:equalWidth="0" w:num="4">
            <w:col w:w="1600" w:space="720"/>
            <w:col w:w="4380" w:space="720"/>
            <w:col w:w="2800" w:space="720"/>
            <w:col w:w="460"/>
          </w:cols>
          <w:pgMar w:left="240" w:top="1102" w:right="259" w:bottom="1440" w:gutter="0" w:footer="0" w:header="0"/>
          <w:type w:val="continuous"/>
        </w:sectPr>
      </w:pP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Yes o</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200" w:lineRule="exact"/>
        <w:rPr>
          <w:sz w:val="24"/>
          <w:szCs w:val="24"/>
          <w:color w:val="auto"/>
        </w:rPr>
      </w:pPr>
    </w:p>
    <w:p>
      <w:pPr>
        <w:sectPr>
          <w:pgSz w:w="11900" w:h="16838" w:orient="portrait"/>
          <w:cols w:equalWidth="0" w:num="3">
            <w:col w:w="7380" w:space="140"/>
            <w:col w:w="400" w:space="160"/>
            <w:col w:w="3320"/>
          </w:cols>
          <w:pgMar w:left="240" w:top="1102" w:right="25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Common Stock as of November 1, 2012 was 61,256,174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02" w:right="25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Year Ended September 28, 2012</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2260" w:type="dxa"/>
            <w:vAlign w:val="bottom"/>
            <w:tcBorders>
              <w:bottom w:val="single" w:sz="8" w:color="0000FF"/>
            </w:tcBorders>
            <w:gridSpan w:val="9"/>
          </w:tcPr>
          <w:p>
            <w:pPr>
              <w:spacing w:after="0" w:line="189" w:lineRule="exact"/>
              <w:rPr>
                <w:sz w:val="20"/>
                <w:szCs w:val="20"/>
                <w:color w:val="auto"/>
              </w:rPr>
            </w:pPr>
            <w:r>
              <w:rPr>
                <w:rFonts w:ascii="Arial" w:cs="Arial" w:eastAsia="Arial" w:hAnsi="Arial"/>
                <w:sz w:val="18"/>
                <w:szCs w:val="18"/>
                <w:b w:val="1"/>
                <w:bCs w:val="1"/>
                <w:color w:val="0000FF"/>
                <w:w w:val="94"/>
              </w:rPr>
              <w:t>Part I. Financial Information</w:t>
            </w:r>
          </w:p>
        </w:tc>
        <w:tc>
          <w:tcPr>
            <w:tcW w:w="6280" w:type="dxa"/>
            <w:vAlign w:val="bottom"/>
            <w:gridSpan w:val="10"/>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4"/>
        </w:trPr>
        <w:tc>
          <w:tcPr>
            <w:tcW w:w="360" w:type="dxa"/>
            <w:vAlign w:val="bottom"/>
          </w:tcPr>
          <w:p>
            <w:pPr>
              <w:spacing w:after="0"/>
              <w:rPr>
                <w:sz w:val="22"/>
                <w:szCs w:val="22"/>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Item 1. Financial Statements (Unaudited)</w:t>
            </w:r>
          </w:p>
        </w:tc>
        <w:tc>
          <w:tcPr>
            <w:tcW w:w="52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Operations for the Quarter ended</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360" w:type="dxa"/>
            <w:vAlign w:val="bottom"/>
          </w:tcPr>
          <w:p>
            <w:pPr>
              <w:spacing w:after="0"/>
              <w:rPr>
                <w:sz w:val="17"/>
                <w:szCs w:val="17"/>
                <w:color w:val="auto"/>
              </w:rPr>
            </w:pPr>
          </w:p>
        </w:tc>
        <w:tc>
          <w:tcPr>
            <w:tcW w:w="3460" w:type="dxa"/>
            <w:vAlign w:val="bottom"/>
            <w:tcBorders>
              <w:top w:val="single" w:sz="8" w:color="0000FF"/>
            </w:tcBorders>
            <w:gridSpan w:val="11"/>
          </w:tcPr>
          <w:p>
            <w:pPr>
              <w:ind w:left="220"/>
              <w:spacing w:after="0" w:line="196" w:lineRule="exact"/>
              <w:rPr>
                <w:sz w:val="20"/>
                <w:szCs w:val="20"/>
                <w:color w:val="auto"/>
              </w:rPr>
            </w:pPr>
            <w:r>
              <w:rPr>
                <w:rFonts w:ascii="Arial" w:cs="Arial" w:eastAsia="Arial" w:hAnsi="Arial"/>
                <w:sz w:val="18"/>
                <w:szCs w:val="18"/>
                <w:color w:val="0000FF"/>
                <w:w w:val="87"/>
              </w:rPr>
              <w:t>September 28, 2012 and September 30, 2011</w:t>
            </w:r>
          </w:p>
        </w:tc>
        <w:tc>
          <w:tcPr>
            <w:tcW w:w="1780" w:type="dxa"/>
            <w:vAlign w:val="bottom"/>
            <w:tcBorders>
              <w:top w:val="single" w:sz="8" w:color="0000FF"/>
            </w:tcBorders>
            <w:gridSpan w:val="2"/>
          </w:tcPr>
          <w:p>
            <w:pPr>
              <w:spacing w:after="0"/>
              <w:rPr>
                <w:sz w:val="17"/>
                <w:szCs w:val="17"/>
                <w:color w:val="auto"/>
              </w:rPr>
            </w:pPr>
          </w:p>
        </w:tc>
        <w:tc>
          <w:tcPr>
            <w:tcW w:w="2940" w:type="dxa"/>
            <w:vAlign w:val="bottom"/>
            <w:gridSpan w:val="5"/>
          </w:tcPr>
          <w:p>
            <w:pPr>
              <w:spacing w:after="0"/>
              <w:rPr>
                <w:sz w:val="17"/>
                <w:szCs w:val="17"/>
                <w:color w:val="auto"/>
              </w:rPr>
            </w:pPr>
          </w:p>
        </w:tc>
        <w:tc>
          <w:tcPr>
            <w:tcW w:w="520" w:type="dxa"/>
            <w:vAlign w:val="bottom"/>
            <w:gridSpan w:val="4"/>
          </w:tcPr>
          <w:p>
            <w:pPr>
              <w:jc w:val="right"/>
              <w:ind w:right="4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Comprehensive Loss for the Quarter ended</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360" w:type="dxa"/>
            <w:vAlign w:val="bottom"/>
          </w:tcPr>
          <w:p>
            <w:pPr>
              <w:spacing w:after="0"/>
              <w:rPr>
                <w:sz w:val="17"/>
                <w:szCs w:val="17"/>
                <w:color w:val="auto"/>
              </w:rPr>
            </w:pPr>
          </w:p>
        </w:tc>
        <w:tc>
          <w:tcPr>
            <w:tcW w:w="3460" w:type="dxa"/>
            <w:vAlign w:val="bottom"/>
            <w:tcBorders>
              <w:top w:val="single" w:sz="8" w:color="0000FF"/>
            </w:tcBorders>
            <w:gridSpan w:val="11"/>
          </w:tcPr>
          <w:p>
            <w:pPr>
              <w:ind w:left="220"/>
              <w:spacing w:after="0" w:line="196" w:lineRule="exact"/>
              <w:rPr>
                <w:sz w:val="20"/>
                <w:szCs w:val="20"/>
                <w:color w:val="auto"/>
              </w:rPr>
            </w:pPr>
            <w:r>
              <w:rPr>
                <w:rFonts w:ascii="Arial" w:cs="Arial" w:eastAsia="Arial" w:hAnsi="Arial"/>
                <w:sz w:val="18"/>
                <w:szCs w:val="18"/>
                <w:color w:val="0000FF"/>
                <w:w w:val="87"/>
              </w:rPr>
              <w:t>September 28, 2012 and September 30, 2011</w:t>
            </w:r>
          </w:p>
        </w:tc>
        <w:tc>
          <w:tcPr>
            <w:tcW w:w="2500" w:type="dxa"/>
            <w:vAlign w:val="bottom"/>
            <w:tcBorders>
              <w:top w:val="single" w:sz="8" w:color="0000FF"/>
            </w:tcBorders>
            <w:gridSpan w:val="3"/>
          </w:tcPr>
          <w:p>
            <w:pPr>
              <w:spacing w:after="0"/>
              <w:rPr>
                <w:sz w:val="17"/>
                <w:szCs w:val="17"/>
                <w:color w:val="auto"/>
              </w:rPr>
            </w:pPr>
          </w:p>
        </w:tc>
        <w:tc>
          <w:tcPr>
            <w:tcW w:w="2220" w:type="dxa"/>
            <w:vAlign w:val="bottom"/>
            <w:gridSpan w:val="4"/>
          </w:tcPr>
          <w:p>
            <w:pPr>
              <w:spacing w:after="0"/>
              <w:rPr>
                <w:sz w:val="17"/>
                <w:szCs w:val="17"/>
                <w:color w:val="auto"/>
              </w:rPr>
            </w:pPr>
          </w:p>
        </w:tc>
        <w:tc>
          <w:tcPr>
            <w:tcW w:w="520" w:type="dxa"/>
            <w:vAlign w:val="bottom"/>
            <w:gridSpan w:val="4"/>
          </w:tcPr>
          <w:p>
            <w:pPr>
              <w:jc w:val="right"/>
              <w:ind w:right="4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Condensed Consolidated Balance Sheets as of September 28, 2012 and June, 29, 201</w:t>
            </w:r>
            <w:r>
              <w:rPr>
                <w:rFonts w:ascii="Arial" w:cs="Arial" w:eastAsia="Arial" w:hAnsi="Arial"/>
                <w:sz w:val="18"/>
                <w:szCs w:val="18"/>
                <w:color w:val="000000"/>
              </w:rPr>
              <w:t>2</w:t>
            </w:r>
          </w:p>
        </w:tc>
        <w:tc>
          <w:tcPr>
            <w:tcW w:w="520" w:type="dxa"/>
            <w:vAlign w:val="bottom"/>
            <w:gridSpan w:val="4"/>
          </w:tcPr>
          <w:p>
            <w:pPr>
              <w:jc w:val="right"/>
              <w:ind w:right="4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1260" w:type="dxa"/>
            <w:vAlign w:val="bottom"/>
            <w:tcBorders>
              <w:left w:val="single" w:sz="8" w:color="0000FF"/>
            </w:tcBorders>
            <w:gridSpan w:val="3"/>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71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8"/>
              </w:rPr>
              <w:t>Condensed Consolidated Statements of Cash Flows for the Quarter ended September 28, 2012 and</w:t>
            </w: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360" w:type="dxa"/>
            <w:vAlign w:val="bottom"/>
          </w:tcPr>
          <w:p>
            <w:pPr>
              <w:spacing w:after="0"/>
              <w:rPr>
                <w:sz w:val="17"/>
                <w:szCs w:val="17"/>
                <w:color w:val="auto"/>
              </w:rPr>
            </w:pPr>
          </w:p>
        </w:tc>
        <w:tc>
          <w:tcPr>
            <w:tcW w:w="1660" w:type="dxa"/>
            <w:vAlign w:val="bottom"/>
            <w:gridSpan w:val="5"/>
          </w:tcPr>
          <w:p>
            <w:pPr>
              <w:ind w:left="220"/>
              <w:spacing w:after="0" w:line="196" w:lineRule="exact"/>
              <w:rPr>
                <w:sz w:val="20"/>
                <w:szCs w:val="20"/>
                <w:color w:val="auto"/>
              </w:rPr>
            </w:pPr>
            <w:r>
              <w:rPr>
                <w:rFonts w:ascii="Arial" w:cs="Arial" w:eastAsia="Arial" w:hAnsi="Arial"/>
                <w:sz w:val="18"/>
                <w:szCs w:val="18"/>
                <w:color w:val="0000FF"/>
                <w:w w:val="87"/>
              </w:rPr>
              <w:t>September 30, 2011</w:t>
            </w:r>
          </w:p>
        </w:tc>
        <w:tc>
          <w:tcPr>
            <w:tcW w:w="6520" w:type="dxa"/>
            <w:vAlign w:val="bottom"/>
            <w:gridSpan w:val="13"/>
          </w:tcPr>
          <w:p>
            <w:pPr>
              <w:spacing w:after="0"/>
              <w:rPr>
                <w:sz w:val="17"/>
                <w:szCs w:val="17"/>
                <w:color w:val="auto"/>
              </w:rPr>
            </w:pPr>
          </w:p>
        </w:tc>
        <w:tc>
          <w:tcPr>
            <w:tcW w:w="520" w:type="dxa"/>
            <w:vAlign w:val="bottom"/>
            <w:gridSpan w:val="4"/>
          </w:tcPr>
          <w:p>
            <w:pPr>
              <w:jc w:val="right"/>
              <w:ind w:right="40"/>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520" w:type="dxa"/>
            <w:vAlign w:val="bottom"/>
            <w:gridSpan w:val="4"/>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2140" w:type="dxa"/>
            <w:vAlign w:val="bottom"/>
            <w:tcBorders>
              <w:left w:val="single" w:sz="8" w:color="0000FF"/>
            </w:tcBorders>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520" w:type="dxa"/>
            <w:vAlign w:val="bottom"/>
            <w:gridSpan w:val="4"/>
          </w:tcPr>
          <w:p>
            <w:pPr>
              <w:jc w:val="right"/>
              <w:ind w:right="40"/>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2140" w:type="dxa"/>
            <w:vAlign w:val="bottom"/>
            <w:tcBorders>
              <w:left w:val="single" w:sz="8" w:color="0000FF"/>
            </w:tcBorders>
            <w:gridSpan w:val="4"/>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860" w:type="dxa"/>
            <w:vAlign w:val="bottom"/>
            <w:gridSpan w:val="12"/>
          </w:tcPr>
          <w:p>
            <w:pPr>
              <w:spacing w:after="0"/>
              <w:rPr>
                <w:sz w:val="20"/>
                <w:szCs w:val="20"/>
                <w:color w:val="auto"/>
              </w:rPr>
            </w:pPr>
            <w:r>
              <w:rPr>
                <w:rFonts w:ascii="Arial" w:cs="Arial" w:eastAsia="Arial" w:hAnsi="Arial"/>
                <w:sz w:val="18"/>
                <w:szCs w:val="18"/>
                <w:color w:val="0000FF"/>
                <w:w w:val="91"/>
              </w:rPr>
              <w:t>Item 3. Quantitative and Qualitative Disclosures about Market Risk</w:t>
            </w:r>
          </w:p>
        </w:tc>
        <w:tc>
          <w:tcPr>
            <w:tcW w:w="2140" w:type="dxa"/>
            <w:vAlign w:val="bottom"/>
            <w:gridSpan w:val="4"/>
          </w:tcPr>
          <w:p>
            <w:pPr>
              <w:spacing w:after="0"/>
              <w:rPr>
                <w:sz w:val="21"/>
                <w:szCs w:val="21"/>
                <w:color w:val="auto"/>
              </w:rPr>
            </w:pPr>
          </w:p>
        </w:tc>
        <w:tc>
          <w:tcPr>
            <w:tcW w:w="118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26</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2320" w:type="dxa"/>
            <w:vAlign w:val="bottom"/>
            <w:gridSpan w:val="9"/>
          </w:tcPr>
          <w:p>
            <w:pPr>
              <w:spacing w:after="0"/>
              <w:rPr>
                <w:sz w:val="20"/>
                <w:szCs w:val="20"/>
                <w:color w:val="auto"/>
              </w:rPr>
            </w:pPr>
            <w:r>
              <w:rPr>
                <w:rFonts w:ascii="Arial" w:cs="Arial" w:eastAsia="Arial" w:hAnsi="Arial"/>
                <w:sz w:val="18"/>
                <w:szCs w:val="18"/>
                <w:color w:val="0000FF"/>
                <w:w w:val="88"/>
              </w:rPr>
              <w:t>Item 4. Controls and Procedures</w:t>
            </w:r>
          </w:p>
        </w:tc>
        <w:tc>
          <w:tcPr>
            <w:tcW w:w="2540" w:type="dxa"/>
            <w:vAlign w:val="bottom"/>
            <w:gridSpan w:val="3"/>
          </w:tcPr>
          <w:p>
            <w:pPr>
              <w:spacing w:after="0"/>
              <w:rPr>
                <w:sz w:val="21"/>
                <w:szCs w:val="21"/>
                <w:color w:val="auto"/>
              </w:rPr>
            </w:pPr>
          </w:p>
        </w:tc>
        <w:tc>
          <w:tcPr>
            <w:tcW w:w="3320" w:type="dxa"/>
            <w:vAlign w:val="bottom"/>
            <w:gridSpan w:val="6"/>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27</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8540" w:type="dxa"/>
            <w:vAlign w:val="bottom"/>
            <w:gridSpan w:val="19"/>
          </w:tcPr>
          <w:p>
            <w:pPr>
              <w:spacing w:after="0"/>
              <w:rPr>
                <w:sz w:val="20"/>
                <w:szCs w:val="20"/>
                <w:color w:val="auto"/>
              </w:rPr>
            </w:pPr>
            <w:r>
              <w:rPr>
                <w:rFonts w:ascii="Arial" w:cs="Arial" w:eastAsia="Arial" w:hAnsi="Arial"/>
                <w:sz w:val="18"/>
                <w:szCs w:val="18"/>
                <w:b w:val="1"/>
                <w:bCs w:val="1"/>
                <w:color w:val="0000FF"/>
              </w:rPr>
              <w:t>Part II. Other Information</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300" w:type="dxa"/>
            <w:vAlign w:val="bottom"/>
            <w:gridSpan w:val="11"/>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Item 1. Legal Proceedings</w:t>
            </w:r>
          </w:p>
        </w:tc>
        <w:tc>
          <w:tcPr>
            <w:tcW w:w="520" w:type="dxa"/>
            <w:vAlign w:val="bottom"/>
            <w:gridSpan w:val="4"/>
          </w:tcPr>
          <w:p>
            <w:pPr>
              <w:jc w:val="right"/>
              <w:ind w:right="4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300" w:type="dxa"/>
            <w:vAlign w:val="bottom"/>
            <w:gridSpan w:val="1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880" w:type="dxa"/>
            <w:vAlign w:val="bottom"/>
            <w:gridSpan w:val="7"/>
          </w:tcPr>
          <w:p>
            <w:pPr>
              <w:spacing w:after="0"/>
              <w:rPr>
                <w:sz w:val="20"/>
                <w:szCs w:val="20"/>
                <w:color w:val="auto"/>
              </w:rPr>
            </w:pPr>
            <w:r>
              <w:rPr>
                <w:rFonts w:ascii="Arial" w:cs="Arial" w:eastAsia="Arial" w:hAnsi="Arial"/>
                <w:sz w:val="18"/>
                <w:szCs w:val="18"/>
                <w:color w:val="0000FF"/>
              </w:rPr>
              <w:t>Item 1A. Risk Factors</w:t>
            </w:r>
          </w:p>
        </w:tc>
        <w:tc>
          <w:tcPr>
            <w:tcW w:w="6300" w:type="dxa"/>
            <w:vAlign w:val="bottom"/>
            <w:gridSpan w:val="11"/>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0" w:type="dxa"/>
            <w:vAlign w:val="bottom"/>
            <w:gridSpan w:val="1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580" w:type="dxa"/>
            <w:vAlign w:val="bottom"/>
            <w:gridSpan w:val="4"/>
          </w:tcPr>
          <w:p>
            <w:pPr>
              <w:spacing w:after="0"/>
              <w:rPr>
                <w:sz w:val="20"/>
                <w:szCs w:val="20"/>
                <w:color w:val="auto"/>
              </w:rPr>
            </w:pPr>
            <w:r>
              <w:rPr>
                <w:rFonts w:ascii="Arial" w:cs="Arial" w:eastAsia="Arial" w:hAnsi="Arial"/>
                <w:sz w:val="18"/>
                <w:szCs w:val="18"/>
                <w:color w:val="0000FF"/>
              </w:rPr>
              <w:t>Item 6. Exhibits</w:t>
            </w:r>
          </w:p>
        </w:tc>
        <w:tc>
          <w:tcPr>
            <w:tcW w:w="6600" w:type="dxa"/>
            <w:vAlign w:val="bottom"/>
            <w:gridSpan w:val="14"/>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29</w:t>
              </w:r>
            </w:hyperlink>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40" w:type="dxa"/>
            <w:vAlign w:val="bottom"/>
            <w:gridSpan w:val="1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b w:val="1"/>
                <w:bCs w:val="1"/>
                <w:color w:val="0000FF"/>
                <w:w w:val="89"/>
              </w:rPr>
              <w:t>Signature</w:t>
            </w:r>
          </w:p>
        </w:tc>
        <w:tc>
          <w:tcPr>
            <w:tcW w:w="7780" w:type="dxa"/>
            <w:vAlign w:val="bottom"/>
            <w:gridSpan w:val="17"/>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30</w:t>
              </w:r>
            </w:hyperlink>
          </w:p>
        </w:tc>
      </w:tr>
      <w:tr>
        <w:trPr>
          <w:trHeight w:val="20"/>
        </w:trPr>
        <w:tc>
          <w:tcPr>
            <w:tcW w:w="7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80" w:type="dxa"/>
            <w:vAlign w:val="bottom"/>
            <w:gridSpan w:val="1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60" w:type="dxa"/>
            <w:vAlign w:val="bottom"/>
            <w:gridSpan w:val="3"/>
          </w:tcPr>
          <w:p>
            <w:pPr>
              <w:spacing w:after="0"/>
              <w:rPr>
                <w:sz w:val="20"/>
                <w:szCs w:val="20"/>
                <w:color w:val="auto"/>
              </w:rPr>
            </w:pPr>
            <w:r>
              <w:rPr>
                <w:rFonts w:ascii="Arial" w:cs="Arial" w:eastAsia="Arial" w:hAnsi="Arial"/>
                <w:sz w:val="18"/>
                <w:szCs w:val="18"/>
                <w:b w:val="1"/>
                <w:bCs w:val="1"/>
                <w:color w:val="0000FF"/>
                <w:w w:val="92"/>
              </w:rPr>
              <w:t>Exhibit Index</w:t>
            </w:r>
          </w:p>
        </w:tc>
        <w:tc>
          <w:tcPr>
            <w:tcW w:w="7480" w:type="dxa"/>
            <w:vAlign w:val="bottom"/>
            <w:gridSpan w:val="16"/>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31</w:t>
              </w:r>
            </w:hyperlink>
          </w:p>
        </w:tc>
      </w:tr>
      <w:tr>
        <w:trPr>
          <w:trHeight w:val="723"/>
        </w:trPr>
        <w:tc>
          <w:tcPr>
            <w:tcW w:w="1060" w:type="dxa"/>
            <w:vAlign w:val="bottom"/>
            <w:tcBorders>
              <w:top w:val="single" w:sz="8" w:color="0000FF"/>
            </w:tcBorders>
            <w:gridSpan w:val="3"/>
          </w:tcPr>
          <w:p>
            <w:pPr>
              <w:spacing w:after="0"/>
              <w:rPr>
                <w:sz w:val="24"/>
                <w:szCs w:val="24"/>
                <w:color w:val="auto"/>
              </w:rPr>
            </w:pPr>
          </w:p>
        </w:tc>
        <w:tc>
          <w:tcPr>
            <w:tcW w:w="4160" w:type="dxa"/>
            <w:vAlign w:val="bottom"/>
            <w:gridSpan w:val="10"/>
          </w:tcPr>
          <w:p>
            <w:pPr>
              <w:jc w:val="right"/>
              <w:ind w:right="66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9060"/>
          </w:cols>
          <w:pgMar w:left="1440" w:top="580" w:right="1399" w:bottom="1440" w:gutter="0" w:footer="0" w:header="0"/>
        </w:sectPr>
      </w:pPr>
    </w:p>
    <w:bookmarkStart w:id="2" w:name="page3"/>
    <w:bookmarkEnd w:id="2"/>
    <w:p>
      <w:pPr>
        <w:spacing w:after="0"/>
        <w:tabs>
          <w:tab w:leader="none" w:pos="840" w:val="left"/>
        </w:tabs>
        <w:rPr>
          <w:sz w:val="20"/>
          <w:szCs w:val="20"/>
          <w:color w:val="auto"/>
        </w:rPr>
      </w:pPr>
      <w:r>
        <w:rPr>
          <w:rFonts w:ascii="Arial" w:cs="Arial" w:eastAsia="Arial" w:hAnsi="Arial"/>
          <w:sz w:val="18"/>
          <w:szCs w:val="18"/>
          <w:b w:val="1"/>
          <w:bCs w:val="1"/>
          <w:color w:val="auto"/>
        </w:rPr>
        <w:t>PART I.</w:t>
        <w:tab/>
        <w:t>FINANCIAL INFORMATION</w:t>
      </w:r>
    </w:p>
    <w:p>
      <w:pPr>
        <w:spacing w:after="0" w:line="3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AVIAT NETWORKS, INC.</w:t>
      </w:r>
    </w:p>
    <w:p>
      <w:pPr>
        <w:spacing w:after="0" w:line="9"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059"/>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7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4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3"/>
                <w:szCs w:val="13"/>
                <w:color w:val="auto"/>
              </w:rPr>
            </w:pPr>
          </w:p>
        </w:tc>
        <w:tc>
          <w:tcPr>
            <w:tcW w:w="1100" w:type="dxa"/>
            <w:vAlign w:val="bottom"/>
          </w:tcPr>
          <w:p>
            <w:pPr>
              <w:jc w:val="right"/>
              <w:ind w:right="111"/>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77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product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Revenue from services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Cost of revenues: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technology</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8"/>
                <w:szCs w:val="18"/>
                <w:color w:val="auto"/>
              </w:rPr>
              <w:t>Total cost of revenues</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margin</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Selling and administrative expenses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identifiable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Income (loss) from continuing operations before income taxes</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Loss from continuing operations</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97"/>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 share data:</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Basic and diluted loss per common share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per common share from discontinued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weighted average shares outstanding</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7"/>
        </w:trPr>
        <w:tc>
          <w:tcPr>
            <w:tcW w:w="7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0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60"/>
          </w:cols>
          <w:pgMar w:left="240" w:top="580" w:right="12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020" w:type="dxa"/>
            <w:vAlign w:val="bottom"/>
            <w:gridSpan w:val="2"/>
          </w:tcPr>
          <w:p>
            <w:pPr>
              <w:jc w:val="right"/>
              <w:ind w:right="13"/>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66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currency translation gain</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6680" w:type="dxa"/>
            <w:vAlign w:val="bottom"/>
          </w:tcPr>
          <w:p>
            <w:pPr>
              <w:ind w:left="200"/>
              <w:spacing w:after="0"/>
              <w:rPr>
                <w:sz w:val="20"/>
                <w:szCs w:val="20"/>
                <w:color w:val="auto"/>
              </w:rPr>
            </w:pPr>
            <w:r>
              <w:rPr>
                <w:rFonts w:ascii="Arial" w:cs="Arial" w:eastAsia="Arial" w:hAnsi="Arial"/>
                <w:sz w:val="18"/>
                <w:szCs w:val="18"/>
                <w:color w:val="auto"/>
              </w:rPr>
              <w:t>Change in unrealized gain or loss on hedging activities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019"/>
          </w:cols>
          <w:pgMar w:left="1440" w:top="580"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28,</w:t>
            </w:r>
          </w:p>
        </w:tc>
        <w:tc>
          <w:tcPr>
            <w:tcW w:w="240" w:type="dxa"/>
            <w:vAlign w:val="bottom"/>
          </w:tcPr>
          <w:p>
            <w:pPr>
              <w:spacing w:after="0"/>
              <w:rPr>
                <w:sz w:val="14"/>
                <w:szCs w:val="14"/>
                <w:color w:val="auto"/>
              </w:rPr>
            </w:pPr>
          </w:p>
        </w:tc>
        <w:tc>
          <w:tcPr>
            <w:tcW w:w="1020" w:type="dxa"/>
            <w:vAlign w:val="bottom"/>
          </w:tcPr>
          <w:p>
            <w:pPr>
              <w:jc w:val="right"/>
              <w:ind w:right="311"/>
              <w:spacing w:after="0"/>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88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Unbilled costs</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Customer service inventories</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i w:val="1"/>
                <w:iCs w:val="1"/>
                <w:color w:val="auto"/>
              </w:rPr>
              <w:t>Long-Term 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Identifiable intangible assets, net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assets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326.6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payments and unearned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Long-Term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Reserve for uncertain tax positions</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Commitments and Contingencies (Note 13)</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i w:val="1"/>
                <w:iCs w:val="1"/>
                <w:color w:val="auto"/>
              </w:rPr>
              <w:t>Stockholders’ Equity</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paid-in-capital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8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3"/>
                <w:szCs w:val="13"/>
                <w:color w:val="auto"/>
              </w:rPr>
            </w:pPr>
          </w:p>
        </w:tc>
        <w:tc>
          <w:tcPr>
            <w:tcW w:w="14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28,</w:t>
            </w:r>
          </w:p>
        </w:tc>
        <w:tc>
          <w:tcPr>
            <w:tcW w:w="200" w:type="dxa"/>
            <w:vAlign w:val="bottom"/>
          </w:tcPr>
          <w:p>
            <w:pPr>
              <w:spacing w:after="0"/>
              <w:rPr>
                <w:sz w:val="13"/>
                <w:szCs w:val="13"/>
                <w:color w:val="auto"/>
              </w:rPr>
            </w:pPr>
          </w:p>
        </w:tc>
        <w:tc>
          <w:tcPr>
            <w:tcW w:w="1260" w:type="dxa"/>
            <w:vAlign w:val="bottom"/>
          </w:tcPr>
          <w:p>
            <w:pPr>
              <w:jc w:val="right"/>
              <w:ind w:right="211"/>
              <w:spacing w:after="0" w:line="153" w:lineRule="exact"/>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92"/>
        </w:trPr>
        <w:tc>
          <w:tcPr>
            <w:tcW w:w="83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30"/>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Amortization of identifiable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8300" w:type="dxa"/>
            <w:vAlign w:val="bottom"/>
          </w:tcPr>
          <w:p>
            <w:pPr>
              <w:ind w:left="880"/>
              <w:spacing w:after="0"/>
              <w:rPr>
                <w:sz w:val="20"/>
                <w:szCs w:val="20"/>
                <w:color w:val="auto"/>
              </w:rPr>
            </w:pPr>
            <w:r>
              <w:rPr>
                <w:rFonts w:ascii="Arial" w:cs="Arial" w:eastAsia="Arial" w:hAnsi="Arial"/>
                <w:sz w:val="18"/>
                <w:szCs w:val="18"/>
                <w:color w:val="auto"/>
              </w:rPr>
              <w:t>Depreciation and amortization of property, plant and equipment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Bad debt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8300" w:type="dxa"/>
            <w:vAlign w:val="bottom"/>
          </w:tcPr>
          <w:p>
            <w:pPr>
              <w:ind w:left="104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Arial" w:cs="Arial" w:eastAsia="Arial" w:hAnsi="Arial"/>
                <w:sz w:val="18"/>
                <w:szCs w:val="18"/>
                <w:color w:val="auto"/>
              </w:rPr>
              <w:t>Charges for inventory write-downs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on disposition of the WiMAX business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8300" w:type="dxa"/>
            <w:vAlign w:val="bottom"/>
          </w:tcPr>
          <w:p>
            <w:pPr>
              <w:ind w:left="1040"/>
              <w:spacing w:after="0"/>
              <w:rPr>
                <w:sz w:val="20"/>
                <w:szCs w:val="20"/>
                <w:color w:val="auto"/>
              </w:rPr>
            </w:pPr>
            <w:r>
              <w:rPr>
                <w:rFonts w:ascii="Arial" w:cs="Arial" w:eastAsia="Arial" w:hAnsi="Arial"/>
                <w:sz w:val="18"/>
                <w:szCs w:val="18"/>
                <w:color w:val="auto"/>
              </w:rPr>
              <w:t>Unbilled costs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8300" w:type="dxa"/>
            <w:vAlign w:val="bottom"/>
          </w:tcPr>
          <w:p>
            <w:pPr>
              <w:ind w:left="1040"/>
              <w:spacing w:after="0"/>
              <w:rPr>
                <w:sz w:val="20"/>
                <w:szCs w:val="20"/>
                <w:color w:val="auto"/>
              </w:rPr>
            </w:pPr>
            <w:r>
              <w:rPr>
                <w:rFonts w:ascii="Arial" w:cs="Arial" w:eastAsia="Arial" w:hAnsi="Arial"/>
                <w:sz w:val="18"/>
                <w:szCs w:val="18"/>
                <w:color w:val="auto"/>
              </w:rPr>
              <w:t>Customer service inventories</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8300" w:type="dxa"/>
            <w:vAlign w:val="bottom"/>
          </w:tcPr>
          <w:p>
            <w:pPr>
              <w:ind w:left="10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Advance payments and unearned income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8300" w:type="dxa"/>
            <w:vAlign w:val="bottom"/>
          </w:tcPr>
          <w:p>
            <w:pPr>
              <w:ind w:left="1040"/>
              <w:spacing w:after="0"/>
              <w:rPr>
                <w:sz w:val="20"/>
                <w:szCs w:val="20"/>
                <w:color w:val="auto"/>
              </w:rPr>
            </w:pPr>
            <w:r>
              <w:rPr>
                <w:rFonts w:ascii="Arial" w:cs="Arial" w:eastAsia="Arial" w:hAnsi="Arial"/>
                <w:sz w:val="18"/>
                <w:szCs w:val="18"/>
                <w:color w:val="auto"/>
              </w:rPr>
              <w:t>Income taxes payable or receivable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Other assets and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Cash disbursed related to sale of WiMAX business,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of property, plant and equipment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Payments on long-term debt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580" w:right="299" w:bottom="1440" w:gutter="0" w:footer="0" w:header="0"/>
        </w:sectPr>
      </w:pPr>
    </w:p>
    <w:bookmarkStart w:id="6" w:name="page7"/>
    <w:bookmarkEnd w:id="6"/>
    <w:p>
      <w:pPr>
        <w:ind w:left="466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Aviat Networks, Inc. (the "Company” or “we”)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by us in accordance with U.S. generally accepted accounting principles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management, such interim financial statements reflect all adjustments (consisting of normal recurring adjustments) considered necessary for a fair presentation of financial position, results of operations and cash flows for such periods. The results for the quarter ended September 28, 2012 (the “first quarter of fiscal 2013”)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June 29, 2012.</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operate on a 52-week or 53-week year ending on the Friday nearest June 30. The first quarter of fiscal 2013 and 2012 each included 13 weeks.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amounts in the fiscal 2012 financial statements have been reclassified to conform to the fiscal 2013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preparation of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doubtful accounts, inventory valuation, valuation allowances for deferred tax assets, uncertainties in income taxes, restructuring obligations, product warranty obligations, share-based awards, contingencies and useful lives of property, plant and equipment.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Accumulated Other Comprehensive Income (Loss)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components of our accumulated other comprehensive income (loss) during the first quarter of fiscal 2013 are as follows: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80" w:right="2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2"/>
                <w:szCs w:val="12"/>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Hedging</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Adjustment</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(“CTA”)</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Derivatives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(Loss) Income</w:t>
            </w:r>
          </w:p>
        </w:tc>
        <w:tc>
          <w:tcPr>
            <w:tcW w:w="0" w:type="dxa"/>
            <w:vAlign w:val="bottom"/>
          </w:tcPr>
          <w:p>
            <w:pPr>
              <w:spacing w:after="0"/>
              <w:rPr>
                <w:sz w:val="1"/>
                <w:szCs w:val="1"/>
                <w:color w:val="auto"/>
              </w:rPr>
            </w:pPr>
          </w:p>
        </w:tc>
      </w:tr>
      <w:tr>
        <w:trPr>
          <w:trHeight w:val="250"/>
        </w:trPr>
        <w:tc>
          <w:tcPr>
            <w:tcW w:w="6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29, 2012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Foreign currency translation gain</w:t>
            </w:r>
          </w:p>
        </w:tc>
        <w:tc>
          <w:tcPr>
            <w:tcW w:w="220" w:type="dxa"/>
            <w:vAlign w:val="bottom"/>
          </w:tcPr>
          <w:p>
            <w:pPr>
              <w:spacing w:after="0"/>
              <w:rPr>
                <w:sz w:val="21"/>
                <w:szCs w:val="21"/>
                <w:color w:val="auto"/>
              </w:rPr>
            </w:pPr>
          </w:p>
        </w:tc>
        <w:tc>
          <w:tcPr>
            <w:tcW w:w="1160" w:type="dxa"/>
            <w:vAlign w:val="bottom"/>
          </w:tcPr>
          <w:p>
            <w:pPr>
              <w:jc w:val="right"/>
              <w:ind w:right="2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(loss) on hedging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Balance as of September 28, 2012</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(Loss) per Share of Common Stock</w:t>
      </w:r>
    </w:p>
    <w:p>
      <w:pPr>
        <w:spacing w:after="0" w:line="9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compute net income (loss) per share of common stock using the two-class method. Basic net income (loss) per share is computed using the weighted average number of common shares and participating securities outstanding. Our unvested restricted shares (including restricted stock awards and performance share awards) contain rights to receive non-forfeitable dividends and therefore are considered to be participating securities and would be included in the calculations of net income per basic and diluted common share. However, we incurred a net loss in all periods presented and the undistributed losses were not allocated to unvested restricted shares. Therefore the unvested restricted shares were anti-dilutive and excluded from our diluted net loss calculations for the first quarter of fiscal 2013 and 2012.</w:t>
      </w:r>
    </w:p>
    <w:p>
      <w:pPr>
        <w:spacing w:after="0" w:line="13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potential weighted average shares of common stock outstanding have been excluded from the diluted net loss per share calculations, as their effect would have been anti-dilutive: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8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6"/>
              </w:rPr>
              <w:t>Quarter Ended</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Pr>
          <w:p>
            <w:pPr>
              <w:spacing w:after="0"/>
              <w:rPr>
                <w:sz w:val="16"/>
                <w:szCs w:val="16"/>
                <w:color w:val="auto"/>
              </w:rPr>
            </w:pPr>
          </w:p>
        </w:tc>
      </w:tr>
      <w:tr>
        <w:trPr>
          <w:trHeight w:val="152"/>
        </w:trPr>
        <w:tc>
          <w:tcPr>
            <w:tcW w:w="108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1280" w:type="dxa"/>
            <w:vAlign w:val="bottom"/>
            <w:gridSpan w:val="5"/>
          </w:tcPr>
          <w:p>
            <w:pPr>
              <w:ind w:left="100"/>
              <w:spacing w:after="0" w:line="153" w:lineRule="exact"/>
              <w:rPr>
                <w:sz w:val="20"/>
                <w:szCs w:val="20"/>
                <w:color w:val="auto"/>
              </w:rPr>
            </w:pPr>
            <w:r>
              <w:rPr>
                <w:rFonts w:ascii="Arial" w:cs="Arial" w:eastAsia="Arial" w:hAnsi="Arial"/>
                <w:sz w:val="14"/>
                <w:szCs w:val="14"/>
                <w:b w:val="1"/>
                <w:bCs w:val="1"/>
                <w:color w:val="auto"/>
              </w:rPr>
              <w:t>September 28,</w:t>
            </w:r>
          </w:p>
        </w:tc>
        <w:tc>
          <w:tcPr>
            <w:tcW w:w="2140" w:type="dxa"/>
            <w:vAlign w:val="bottom"/>
            <w:gridSpan w:val="5"/>
          </w:tcPr>
          <w:p>
            <w:pPr>
              <w:jc w:val="center"/>
              <w:ind w:right="1108"/>
              <w:spacing w:after="0" w:line="153" w:lineRule="exact"/>
              <w:rPr>
                <w:sz w:val="20"/>
                <w:szCs w:val="20"/>
                <w:color w:val="auto"/>
              </w:rPr>
            </w:pPr>
            <w:r>
              <w:rPr>
                <w:rFonts w:ascii="Arial" w:cs="Arial" w:eastAsia="Arial" w:hAnsi="Arial"/>
                <w:sz w:val="14"/>
                <w:szCs w:val="14"/>
                <w:b w:val="1"/>
                <w:bCs w:val="1"/>
                <w:color w:val="auto"/>
                <w:w w:val="91"/>
              </w:rPr>
              <w:t>September 30,</w:t>
            </w:r>
          </w:p>
        </w:tc>
      </w:tr>
      <w:tr>
        <w:trPr>
          <w:trHeight w:val="192"/>
        </w:trPr>
        <w:tc>
          <w:tcPr>
            <w:tcW w:w="108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Pr>
          <w:p>
            <w:pPr>
              <w:spacing w:after="0"/>
              <w:rPr>
                <w:sz w:val="16"/>
                <w:szCs w:val="16"/>
                <w:color w:val="auto"/>
              </w:rPr>
            </w:pPr>
          </w:p>
        </w:tc>
      </w:tr>
      <w:tr>
        <w:trPr>
          <w:trHeight w:val="196"/>
        </w:trPr>
        <w:tc>
          <w:tcPr>
            <w:tcW w:w="108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1080" w:type="dxa"/>
            <w:vAlign w:val="bottom"/>
          </w:tcPr>
          <w:p>
            <w:pPr>
              <w:spacing w:after="0"/>
              <w:rPr>
                <w:sz w:val="22"/>
                <w:szCs w:val="22"/>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3.8</w:t>
            </w:r>
          </w:p>
        </w:tc>
        <w:tc>
          <w:tcPr>
            <w:tcW w:w="1060" w:type="dxa"/>
            <w:vAlign w:val="bottom"/>
          </w:tcPr>
          <w:p>
            <w:pPr>
              <w:spacing w:after="0"/>
              <w:rPr>
                <w:sz w:val="22"/>
                <w:szCs w:val="22"/>
                <w:color w:val="auto"/>
              </w:rPr>
            </w:pPr>
          </w:p>
        </w:tc>
      </w:tr>
      <w:tr>
        <w:trPr>
          <w:trHeight w:val="243"/>
        </w:trPr>
        <w:tc>
          <w:tcPr>
            <w:tcW w:w="108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2.1</w:t>
            </w:r>
          </w:p>
        </w:tc>
        <w:tc>
          <w:tcPr>
            <w:tcW w:w="106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1080" w:type="dxa"/>
            <w:vAlign w:val="bottom"/>
          </w:tcPr>
          <w:p>
            <w:pPr>
              <w:spacing w:after="0"/>
              <w:rPr>
                <w:sz w:val="22"/>
                <w:szCs w:val="22"/>
                <w:color w:val="auto"/>
              </w:rPr>
            </w:pPr>
          </w:p>
        </w:tc>
        <w:tc>
          <w:tcPr>
            <w:tcW w:w="6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potential shares of common stock excluded</w:t>
            </w:r>
          </w:p>
        </w:tc>
        <w:tc>
          <w:tcPr>
            <w:tcW w:w="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5.9</w:t>
            </w:r>
          </w:p>
        </w:tc>
        <w:tc>
          <w:tcPr>
            <w:tcW w:w="1060" w:type="dxa"/>
            <w:vAlign w:val="bottom"/>
          </w:tcPr>
          <w:p>
            <w:pPr>
              <w:spacing w:after="0"/>
              <w:rPr>
                <w:sz w:val="22"/>
                <w:szCs w:val="22"/>
                <w:color w:val="auto"/>
              </w:rPr>
            </w:pPr>
          </w:p>
        </w:tc>
      </w:tr>
      <w:tr>
        <w:trPr>
          <w:trHeight w:val="80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Note 4. Balance Sheet Components</w:t>
            </w:r>
          </w:p>
        </w:tc>
        <w:tc>
          <w:tcPr>
            <w:tcW w:w="3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r>
      <w:tr>
        <w:trPr>
          <w:trHeight w:val="297"/>
        </w:trPr>
        <w:tc>
          <w:tcPr>
            <w:tcW w:w="8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Receivables</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97"/>
        </w:trPr>
        <w:tc>
          <w:tcPr>
            <w:tcW w:w="8000" w:type="dxa"/>
            <w:vAlign w:val="bottom"/>
            <w:gridSpan w:val="2"/>
          </w:tcPr>
          <w:p>
            <w:pPr>
              <w:ind w:left="440"/>
              <w:spacing w:after="0"/>
              <w:rPr>
                <w:sz w:val="20"/>
                <w:szCs w:val="20"/>
                <w:color w:val="auto"/>
              </w:rPr>
            </w:pPr>
            <w:r>
              <w:rPr>
                <w:rFonts w:ascii="Arial" w:cs="Arial" w:eastAsia="Arial" w:hAnsi="Arial"/>
                <w:sz w:val="18"/>
                <w:szCs w:val="18"/>
                <w:color w:val="auto"/>
              </w:rPr>
              <w:t>Our receivables are summarized below:</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8"/>
        </w:trPr>
        <w:tc>
          <w:tcPr>
            <w:tcW w:w="10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September 28,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28"/>
              <w:spacing w:after="0"/>
              <w:rPr>
                <w:sz w:val="20"/>
                <w:szCs w:val="20"/>
                <w:color w:val="auto"/>
              </w:rPr>
            </w:pPr>
            <w:r>
              <w:rPr>
                <w:rFonts w:ascii="Arial" w:cs="Arial" w:eastAsia="Arial" w:hAnsi="Arial"/>
                <w:sz w:val="14"/>
                <w:szCs w:val="14"/>
                <w:b w:val="1"/>
                <w:bCs w:val="1"/>
                <w:color w:val="auto"/>
                <w:w w:val="96"/>
              </w:rPr>
              <w:t>June 29,</w:t>
            </w:r>
          </w:p>
        </w:tc>
      </w:tr>
      <w:tr>
        <w:trPr>
          <w:trHeight w:val="192"/>
        </w:trPr>
        <w:tc>
          <w:tcPr>
            <w:tcW w:w="108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528"/>
              <w:spacing w:after="0"/>
              <w:rPr>
                <w:sz w:val="20"/>
                <w:szCs w:val="20"/>
                <w:color w:val="auto"/>
              </w:rPr>
            </w:pPr>
            <w:r>
              <w:rPr>
                <w:rFonts w:ascii="Arial" w:cs="Arial" w:eastAsia="Arial" w:hAnsi="Arial"/>
                <w:sz w:val="14"/>
                <w:szCs w:val="14"/>
                <w:b w:val="1"/>
                <w:bCs w:val="1"/>
                <w:color w:val="auto"/>
              </w:rPr>
              <w:t>2012</w:t>
            </w:r>
          </w:p>
        </w:tc>
      </w:tr>
      <w:tr>
        <w:trPr>
          <w:trHeight w:val="196"/>
        </w:trPr>
        <w:tc>
          <w:tcPr>
            <w:tcW w:w="108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40" w:type="dxa"/>
            <w:vAlign w:val="bottom"/>
            <w:gridSpan w:val="5"/>
          </w:tcPr>
          <w:p>
            <w:pPr>
              <w:jc w:val="right"/>
              <w:ind w:right="1068"/>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7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7"/>
              </w:rPr>
              <w:t>125.3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105.8</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Notes receivable due within one year</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1.1</w:t>
            </w:r>
          </w:p>
        </w:tc>
      </w:tr>
      <w:tr>
        <w:trPr>
          <w:trHeight w:val="27"/>
        </w:trPr>
        <w:tc>
          <w:tcPr>
            <w:tcW w:w="108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7"/>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106.9</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Less allowances for collection losses</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108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69"/>
        </w:trPr>
        <w:tc>
          <w:tcPr>
            <w:tcW w:w="1080" w:type="dxa"/>
            <w:vAlign w:val="bottom"/>
            <w:tcBorders>
              <w:bottom w:val="single" w:sz="8" w:color="CCEEFF"/>
            </w:tcBorders>
            <w:shd w:val="clear" w:color="auto" w:fill="CCEEFF"/>
          </w:tcPr>
          <w:p>
            <w:pPr>
              <w:spacing w:after="0"/>
              <w:rPr>
                <w:sz w:val="22"/>
                <w:szCs w:val="22"/>
                <w:color w:val="auto"/>
              </w:rPr>
            </w:pPr>
          </w:p>
        </w:tc>
        <w:tc>
          <w:tcPr>
            <w:tcW w:w="69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7"/>
              </w:rPr>
              <w:t>109.3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90.7</w:t>
            </w: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We regularly require letters of credit from some customers who request extended payment terms of up to one year or more, which we generally discount with various financial institutions. Under these arrangements, collection risk is fully transferred to the financial institutions. We record the cost of discounting these letters of credit as interest expense. Total customer letters of credit being discounted and related interest expense were as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2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222"/>
              <w:spacing w:after="0"/>
              <w:rPr>
                <w:sz w:val="20"/>
                <w:szCs w:val="20"/>
                <w:color w:val="auto"/>
              </w:rPr>
            </w:pPr>
            <w:r>
              <w:rPr>
                <w:rFonts w:ascii="Arial" w:cs="Arial" w:eastAsia="Arial" w:hAnsi="Arial"/>
                <w:sz w:val="14"/>
                <w:szCs w:val="14"/>
                <w:b w:val="1"/>
                <w:bCs w:val="1"/>
                <w:color w:val="auto"/>
                <w:w w:val="96"/>
              </w:rPr>
              <w:t>Quarter Ended</w:t>
            </w:r>
          </w:p>
        </w:tc>
        <w:tc>
          <w:tcPr>
            <w:tcW w:w="380" w:type="dxa"/>
            <w:vAlign w:val="bottom"/>
            <w:tcBorders>
              <w:bottom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52"/>
        </w:trPr>
        <w:tc>
          <w:tcPr>
            <w:tcW w:w="6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82"/>
              <w:spacing w:after="0" w:line="153" w:lineRule="exact"/>
              <w:rPr>
                <w:sz w:val="20"/>
                <w:szCs w:val="20"/>
                <w:color w:val="auto"/>
              </w:rPr>
            </w:pPr>
            <w:r>
              <w:rPr>
                <w:rFonts w:ascii="Arial" w:cs="Arial" w:eastAsia="Arial" w:hAnsi="Arial"/>
                <w:sz w:val="14"/>
                <w:szCs w:val="14"/>
                <w:b w:val="1"/>
                <w:bCs w:val="1"/>
                <w:color w:val="auto"/>
                <w:w w:val="89"/>
              </w:rPr>
              <w:t>September 28,</w:t>
            </w:r>
          </w:p>
        </w:tc>
        <w:tc>
          <w:tcPr>
            <w:tcW w:w="2080" w:type="dxa"/>
            <w:vAlign w:val="bottom"/>
            <w:gridSpan w:val="5"/>
          </w:tcPr>
          <w:p>
            <w:pPr>
              <w:jc w:val="center"/>
              <w:ind w:right="88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2"/>
        </w:trPr>
        <w:tc>
          <w:tcPr>
            <w:tcW w:w="6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auto"/>
            </w:tcBorders>
            <w:gridSpan w:val="2"/>
          </w:tcPr>
          <w:p>
            <w:pPr>
              <w:jc w:val="center"/>
              <w:ind w:left="356"/>
              <w:spacing w:after="0"/>
              <w:rPr>
                <w:sz w:val="20"/>
                <w:szCs w:val="20"/>
                <w:color w:val="auto"/>
              </w:rPr>
            </w:pPr>
            <w:r>
              <w:rPr>
                <w:rFonts w:ascii="Arial" w:cs="Arial" w:eastAsia="Arial" w:hAnsi="Arial"/>
                <w:sz w:val="14"/>
                <w:szCs w:val="14"/>
                <w:b w:val="1"/>
                <w:bCs w:val="1"/>
                <w:color w:val="auto"/>
                <w:w w:val="89"/>
              </w:rPr>
              <w:t>2011</w:t>
            </w:r>
          </w:p>
        </w:tc>
        <w:tc>
          <w:tcPr>
            <w:tcW w:w="380" w:type="dxa"/>
            <w:vAlign w:val="bottom"/>
            <w:tcBorders>
              <w:bottom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4"/>
        </w:trPr>
        <w:tc>
          <w:tcPr>
            <w:tcW w:w="6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gridSpan w:val="3"/>
          </w:tcPr>
          <w:p>
            <w:pPr>
              <w:jc w:val="center"/>
              <w:ind w:left="202"/>
              <w:spacing w:after="0"/>
              <w:rPr>
                <w:sz w:val="20"/>
                <w:szCs w:val="20"/>
                <w:color w:val="auto"/>
              </w:rPr>
            </w:pPr>
            <w:r>
              <w:rPr>
                <w:rFonts w:ascii="Arial" w:cs="Arial" w:eastAsia="Arial" w:hAnsi="Arial"/>
                <w:sz w:val="14"/>
                <w:szCs w:val="14"/>
                <w:b w:val="1"/>
                <w:bCs w:val="1"/>
                <w:color w:val="auto"/>
                <w:w w:val="96"/>
              </w:rPr>
              <w:t>(In millions)</w:t>
            </w: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5"/>
        </w:trPr>
        <w:tc>
          <w:tcPr>
            <w:tcW w:w="6620" w:type="dxa"/>
            <w:vAlign w:val="bottom"/>
          </w:tcPr>
          <w:p>
            <w:pPr>
              <w:ind w:left="40"/>
              <w:spacing w:after="0"/>
              <w:rPr>
                <w:sz w:val="20"/>
                <w:szCs w:val="20"/>
                <w:color w:val="auto"/>
              </w:rPr>
            </w:pPr>
            <w:r>
              <w:rPr>
                <w:rFonts w:ascii="Arial" w:cs="Arial" w:eastAsia="Arial" w:hAnsi="Arial"/>
                <w:sz w:val="18"/>
                <w:szCs w:val="18"/>
                <w:color w:val="auto"/>
              </w:rPr>
              <w:t>Customer letters of credit being discounted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2"/>
              <w:spacing w:after="0"/>
              <w:rPr>
                <w:sz w:val="20"/>
                <w:szCs w:val="20"/>
                <w:color w:val="auto"/>
              </w:rPr>
            </w:pPr>
            <w:r>
              <w:rPr>
                <w:rFonts w:ascii="Arial" w:cs="Arial" w:eastAsia="Arial" w:hAnsi="Arial"/>
                <w:sz w:val="18"/>
                <w:szCs w:val="18"/>
                <w:color w:val="auto"/>
              </w:rPr>
              <w:t>21.7</w:t>
            </w:r>
          </w:p>
        </w:tc>
        <w:tc>
          <w:tcPr>
            <w:tcW w:w="52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11.3</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0.1</w:t>
            </w:r>
          </w:p>
        </w:tc>
        <w:tc>
          <w:tcPr>
            <w:tcW w:w="5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459"/>
        </w:trPr>
        <w:tc>
          <w:tcPr>
            <w:tcW w:w="6620" w:type="dxa"/>
            <w:vAlign w:val="bottom"/>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7"/>
        </w:trPr>
        <w:tc>
          <w:tcPr>
            <w:tcW w:w="6620" w:type="dxa"/>
            <w:vAlign w:val="bottom"/>
          </w:tcPr>
          <w:p>
            <w:pPr>
              <w:ind w:left="440"/>
              <w:spacing w:after="0"/>
              <w:rPr>
                <w:sz w:val="20"/>
                <w:szCs w:val="20"/>
                <w:color w:val="auto"/>
              </w:rPr>
            </w:pPr>
            <w:r>
              <w:rPr>
                <w:rFonts w:ascii="Arial" w:cs="Arial" w:eastAsia="Arial" w:hAnsi="Arial"/>
                <w:sz w:val="18"/>
                <w:szCs w:val="18"/>
                <w:color w:val="auto"/>
              </w:rPr>
              <w:t>Our inventories are summarized below:</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8"/>
        </w:trPr>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28,</w:t>
            </w:r>
          </w:p>
        </w:tc>
        <w:tc>
          <w:tcPr>
            <w:tcW w:w="340" w:type="dxa"/>
            <w:vAlign w:val="bottom"/>
          </w:tcPr>
          <w:p>
            <w:pPr>
              <w:spacing w:after="0"/>
              <w:rPr>
                <w:sz w:val="24"/>
                <w:szCs w:val="24"/>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6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50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2012</w:t>
            </w:r>
          </w:p>
        </w:tc>
      </w:tr>
      <w:tr>
        <w:trPr>
          <w:trHeight w:val="196"/>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7"/>
                <w:szCs w:val="17"/>
                <w:color w:val="auto"/>
              </w:rPr>
            </w:pPr>
          </w:p>
        </w:tc>
      </w:tr>
      <w:tr>
        <w:trPr>
          <w:trHeight w:val="256"/>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center"/>
              <w:ind w:left="33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49.2</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8"/>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6.9</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r>
      <w:tr>
        <w:trPr>
          <w:trHeight w:val="237"/>
        </w:trPr>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56.8</w:t>
            </w:r>
          </w:p>
        </w:tc>
      </w:tr>
      <w:tr>
        <w:trPr>
          <w:trHeight w:val="67"/>
        </w:trPr>
        <w:tc>
          <w:tcPr>
            <w:tcW w:w="66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5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56"/>
        </w:trPr>
        <w:tc>
          <w:tcPr>
            <w:tcW w:w="6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Deferred cost of sales included within finished goods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center"/>
              <w:ind w:left="33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During the first quarter of fiscal 2013 and 2012, we recorded charges to adjust our inventory and customer service inventory to the lower of cost or market, primarily due to excess and obsolete inventory,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4"/>
              </w:rPr>
              <w:t>Quarter Ended</w:t>
            </w: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September 28,</w:t>
            </w:r>
          </w:p>
        </w:tc>
        <w:tc>
          <w:tcPr>
            <w:tcW w:w="1260" w:type="dxa"/>
            <w:vAlign w:val="bottom"/>
            <w:gridSpan w:val="4"/>
          </w:tcPr>
          <w:p>
            <w:pPr>
              <w:ind w:left="140"/>
              <w:spacing w:after="0" w:line="153" w:lineRule="exact"/>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2011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3"/>
          </w:tcPr>
          <w:p>
            <w:pPr>
              <w:ind w:left="70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charges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120" w:type="dxa"/>
            <w:vAlign w:val="bottom"/>
          </w:tcPr>
          <w:p>
            <w:pPr>
              <w:spacing w:after="0"/>
              <w:rPr>
                <w:sz w:val="21"/>
                <w:szCs w:val="21"/>
                <w:color w:val="auto"/>
              </w:rPr>
            </w:pPr>
          </w:p>
        </w:tc>
        <w:tc>
          <w:tcPr>
            <w:tcW w:w="1020" w:type="dxa"/>
            <w:vAlign w:val="bottom"/>
          </w:tcPr>
          <w:p>
            <w:pPr>
              <w:ind w:left="60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As % of revenue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ind w:left="600"/>
              <w:spacing w:after="0"/>
              <w:rPr>
                <w:sz w:val="20"/>
                <w:szCs w:val="20"/>
                <w:color w:val="auto"/>
              </w:rPr>
            </w:pPr>
            <w:r>
              <w:rPr>
                <w:rFonts w:ascii="Arial" w:cs="Arial" w:eastAsia="Arial" w:hAnsi="Arial"/>
                <w:sz w:val="18"/>
                <w:szCs w:val="18"/>
                <w:color w:val="auto"/>
                <w:w w:val="97"/>
              </w:rPr>
              <w:t>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w w:val="97"/>
              </w:rPr>
              <w:t>1.3%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6460" w:type="dxa"/>
            <w:vAlign w:val="bottom"/>
          </w:tcPr>
          <w:p>
            <w:pPr>
              <w:spacing w:after="0"/>
              <w:rPr>
                <w:sz w:val="20"/>
                <w:szCs w:val="20"/>
                <w:color w:val="auto"/>
              </w:rPr>
            </w:pPr>
            <w:r>
              <w:rPr>
                <w:rFonts w:ascii="Arial" w:cs="Arial" w:eastAsia="Arial" w:hAnsi="Arial"/>
                <w:sz w:val="18"/>
                <w:szCs w:val="18"/>
                <w:b w:val="1"/>
                <w:bCs w:val="1"/>
                <w:i w:val="1"/>
                <w:iCs w:val="1"/>
                <w:color w:val="auto"/>
              </w:rPr>
              <w:t>Property, Plant and Equipment</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60" w:type="dxa"/>
            <w:vAlign w:val="bottom"/>
          </w:tcPr>
          <w:p>
            <w:pPr>
              <w:ind w:left="440"/>
              <w:spacing w:after="0"/>
              <w:rPr>
                <w:sz w:val="20"/>
                <w:szCs w:val="20"/>
                <w:color w:val="auto"/>
              </w:rPr>
            </w:pPr>
            <w:r>
              <w:rPr>
                <w:rFonts w:ascii="Arial" w:cs="Arial" w:eastAsia="Arial" w:hAnsi="Arial"/>
                <w:sz w:val="18"/>
                <w:szCs w:val="18"/>
                <w:color w:val="auto"/>
              </w:rPr>
              <w:t>Our property, plant and equipment are summarized below:</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4"/>
          </w:tcPr>
          <w:p>
            <w:pPr>
              <w:ind w:left="220"/>
              <w:spacing w:after="0"/>
              <w:rPr>
                <w:sz w:val="20"/>
                <w:szCs w:val="20"/>
                <w:color w:val="auto"/>
              </w:rPr>
            </w:pPr>
            <w:r>
              <w:rPr>
                <w:rFonts w:ascii="Arial" w:cs="Arial" w:eastAsia="Arial" w:hAnsi="Arial"/>
                <w:sz w:val="14"/>
                <w:szCs w:val="14"/>
                <w:b w:val="1"/>
                <w:bCs w:val="1"/>
                <w:color w:val="auto"/>
              </w:rPr>
              <w:t>September 28,</w:t>
            </w:r>
          </w:p>
        </w:tc>
        <w:tc>
          <w:tcPr>
            <w:tcW w:w="380" w:type="dxa"/>
            <w:vAlign w:val="bottom"/>
          </w:tcPr>
          <w:p>
            <w:pPr>
              <w:spacing w:after="0"/>
              <w:rPr>
                <w:sz w:val="24"/>
                <w:szCs w:val="24"/>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w w:val="92"/>
              </w:rPr>
              <w:t>June 29,</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$1.6 million and $0.8 million, respectively, in the first quarter of fiscal 2013 and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90" w:lineRule="exact"/>
        <w:rPr>
          <w:sz w:val="20"/>
          <w:szCs w:val="20"/>
          <w:color w:val="auto"/>
        </w:rPr>
      </w:pPr>
    </w:p>
    <w:p>
      <w:pPr>
        <w:ind w:right="360" w:firstLine="432"/>
        <w:spacing w:after="0" w:line="342" w:lineRule="auto"/>
        <w:rPr>
          <w:sz w:val="20"/>
          <w:szCs w:val="20"/>
          <w:color w:val="auto"/>
        </w:rPr>
      </w:pPr>
      <w:r>
        <w:rPr>
          <w:rFonts w:ascii="Arial" w:cs="Arial" w:eastAsia="Arial" w:hAnsi="Arial"/>
          <w:sz w:val="16"/>
          <w:szCs w:val="16"/>
          <w:color w:val="auto"/>
        </w:rPr>
        <w:t>We have accrued for the estimated cost to repair or replace products under warranty at the time of sale. Changes in our warranty liability, which are included as a component of other accrued expenses on the consolidated balance sheets, during the first quarter of fiscal 2013 and 2012 were as follows: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968"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836"/>
              <w:spacing w:after="0"/>
              <w:rPr>
                <w:sz w:val="20"/>
                <w:szCs w:val="20"/>
                <w:color w:val="auto"/>
              </w:rPr>
            </w:pPr>
            <w:r>
              <w:rPr>
                <w:rFonts w:ascii="Arial" w:cs="Arial" w:eastAsia="Arial" w:hAnsi="Arial"/>
                <w:sz w:val="14"/>
                <w:szCs w:val="14"/>
                <w:b w:val="1"/>
                <w:bCs w:val="1"/>
                <w:color w:val="auto"/>
              </w:rPr>
              <w:t>Quarter Ended</w:t>
            </w:r>
          </w:p>
        </w:tc>
      </w:tr>
      <w:tr>
        <w:trPr>
          <w:trHeight w:val="152"/>
        </w:trPr>
        <w:tc>
          <w:tcPr>
            <w:tcW w:w="8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80" w:type="dxa"/>
            <w:vAlign w:val="bottom"/>
          </w:tcPr>
          <w:p>
            <w:pPr>
              <w:spacing w:after="0"/>
              <w:rPr>
                <w:sz w:val="13"/>
                <w:szCs w:val="13"/>
                <w:color w:val="auto"/>
              </w:rPr>
            </w:pPr>
          </w:p>
        </w:tc>
        <w:tc>
          <w:tcPr>
            <w:tcW w:w="118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192"/>
        </w:trPr>
        <w:tc>
          <w:tcPr>
            <w:tcW w:w="8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r>
      <w:tr>
        <w:trPr>
          <w:trHeight w:val="196"/>
        </w:trPr>
        <w:tc>
          <w:tcPr>
            <w:tcW w:w="8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gridSpan w:val="4"/>
          </w:tcPr>
          <w:p>
            <w:pPr>
              <w:jc w:val="right"/>
              <w:ind w:right="936"/>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fiscal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Warranty provision for revenue recorded during the period</w:t>
            </w: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0.4</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848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2.6</w:t>
            </w:r>
          </w:p>
        </w:tc>
      </w:tr>
      <w:tr>
        <w:trPr>
          <w:trHeight w:val="27"/>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 of Assets and Liabilities</w:t>
      </w:r>
    </w:p>
    <w:p>
      <w:pPr>
        <w:spacing w:after="0" w:line="94" w:lineRule="exact"/>
        <w:rPr>
          <w:sz w:val="20"/>
          <w:szCs w:val="20"/>
          <w:color w:val="auto"/>
        </w:rPr>
      </w:pPr>
    </w:p>
    <w:p>
      <w:pPr>
        <w:ind w:right="40" w:firstLine="432"/>
        <w:spacing w:after="0" w:line="299"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try to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sz w:val="20"/>
          <w:szCs w:val="20"/>
          <w:color w:val="auto"/>
        </w:rPr>
      </w:pPr>
    </w:p>
    <w:p>
      <w:pPr>
        <w:ind w:left="980" w:right="180" w:hanging="324"/>
        <w:spacing w:after="0" w:line="305"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 Observable inputs other than quoted prices included in Level 1 that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 and</w:t>
      </w:r>
    </w:p>
    <w:p>
      <w:pPr>
        <w:spacing w:after="0" w:line="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reflecting our own assumptions.</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September 28, 2012 and June 29, 2012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4"/>
                <w:szCs w:val="14"/>
                <w:b w:val="1"/>
                <w:bCs w:val="1"/>
                <w:color w:val="auto"/>
              </w:rPr>
              <w:t>September 28, 2012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29, 2012</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53"/>
        </w:trPr>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38"/>
              <w:spacing w:after="0" w:line="153" w:lineRule="exact"/>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3"/>
                <w:szCs w:val="13"/>
                <w:color w:val="auto"/>
              </w:rPr>
            </w:pPr>
          </w:p>
        </w:tc>
        <w:tc>
          <w:tcPr>
            <w:tcW w:w="9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940" w:type="dxa"/>
            <w:vAlign w:val="bottom"/>
          </w:tcPr>
          <w:p>
            <w:pPr>
              <w:jc w:val="right"/>
              <w:ind w:right="198"/>
              <w:spacing w:after="0" w:line="153" w:lineRule="exact"/>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3"/>
                <w:szCs w:val="13"/>
                <w:color w:val="auto"/>
              </w:rPr>
            </w:pPr>
          </w:p>
        </w:tc>
        <w:tc>
          <w:tcPr>
            <w:tcW w:w="86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rPr>
              <w:t>Fair</w:t>
            </w:r>
          </w:p>
        </w:tc>
        <w:tc>
          <w:tcPr>
            <w:tcW w:w="114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Valuation</w:t>
            </w:r>
          </w:p>
        </w:tc>
      </w:tr>
      <w:tr>
        <w:trPr>
          <w:trHeight w:val="192"/>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278"/>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940" w:type="dxa"/>
            <w:vAlign w:val="bottom"/>
          </w:tcPr>
          <w:p>
            <w:pPr>
              <w:jc w:val="right"/>
              <w:ind w:right="238"/>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spacing w:after="0"/>
              <w:rPr>
                <w:sz w:val="16"/>
                <w:szCs w:val="16"/>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tcPr>
          <w:p>
            <w:pPr>
              <w:ind w:left="380"/>
              <w:spacing w:after="0"/>
              <w:rPr>
                <w:sz w:val="20"/>
                <w:szCs w:val="20"/>
                <w:color w:val="auto"/>
              </w:rPr>
            </w:pPr>
            <w:r>
              <w:rPr>
                <w:rFonts w:ascii="Arial" w:cs="Arial" w:eastAsia="Arial" w:hAnsi="Arial"/>
                <w:sz w:val="14"/>
                <w:szCs w:val="14"/>
                <w:b w:val="1"/>
                <w:bCs w:val="1"/>
                <w:color w:val="auto"/>
              </w:rPr>
              <w:t>Inputs</w:t>
            </w:r>
          </w:p>
        </w:tc>
      </w:tr>
      <w:tr>
        <w:trPr>
          <w:trHeight w:val="264"/>
        </w:trPr>
        <w:tc>
          <w:tcPr>
            <w:tcW w:w="52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120" w:type="dxa"/>
            <w:vAlign w:val="bottom"/>
            <w:tcBorders>
              <w:top w:val="single" w:sz="8" w:color="auto"/>
            </w:tcBorders>
            <w:gridSpan w:val="4"/>
          </w:tcPr>
          <w:p>
            <w:pPr>
              <w:jc w:val="right"/>
              <w:ind w:right="738"/>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23.4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50.8</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6"/>
              </w:rPr>
              <w:t>Level 1</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Bank certificates of deposit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8"/>
              <w:spacing w:after="0"/>
              <w:rPr>
                <w:sz w:val="20"/>
                <w:szCs w:val="20"/>
                <w:color w:val="auto"/>
              </w:rPr>
            </w:pPr>
            <w:r>
              <w:rPr>
                <w:rFonts w:ascii="Arial" w:cs="Arial" w:eastAsia="Arial" w:hAnsi="Arial"/>
                <w:sz w:val="18"/>
                <w:szCs w:val="18"/>
                <w:color w:val="auto"/>
              </w:rPr>
              <w:t>0.9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0.3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8"/>
              <w:spacing w:after="0"/>
              <w:rPr>
                <w:sz w:val="20"/>
                <w:szCs w:val="20"/>
                <w:color w:val="auto"/>
              </w:rPr>
            </w:pPr>
            <w:r>
              <w:rPr>
                <w:rFonts w:ascii="Arial" w:cs="Arial" w:eastAsia="Arial" w:hAnsi="Arial"/>
                <w:sz w:val="18"/>
                <w:szCs w:val="18"/>
                <w:color w:val="auto"/>
              </w:rPr>
              <w:t>0.1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0.1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classify investments within Level 1 if quoted prices are available in active markets. Our Level 1 investments include shares in money market funds purchased from two major financial institutions. As of September 28, 2012 and June 29, 2012, these money market shares were valued at $1.00 net asset value per share by these financial institutions.</w:t>
      </w:r>
    </w:p>
    <w:p>
      <w:pPr>
        <w:spacing w:after="0" w:line="127"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We classify items in Level 2 if the investments are valued using observable inputs to quoted market prices, benchmark yields, reported trades, broker/dealer quotes or alternative pricing sources with reasonable levels of price transparency. Our bank certificates of deposit and foreign exchange forward contracts are classified within Level 2. Foreign currency forward contracts are measured at fair value using observable foreign currency exchange rates.</w:t>
      </w:r>
    </w:p>
    <w:p>
      <w:pPr>
        <w:spacing w:after="0" w:line="9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quarter of fiscal 2013 and 2012, we had no transfers between levels of the fair value hierarchy of our assets or liabilities measured at fair value.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1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6. Credit Facility and Debt</w:t>
      </w:r>
    </w:p>
    <w:p>
      <w:pPr>
        <w:spacing w:after="0" w:line="175"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During the quarter ended October 1, 2010, we terminated our previous credit facility with two commercial banks and entered into a new $40.0 million credit facility with Silicon Valley Bank ("SVB") for an initial term of one year expiring on September 30, 2011. We repaid the outstanding debt of $5.0 million under the previous credit facility on October 1, 2010 with the proceeds of advance borrowings of $6.0 million under the new facility. On September 23, 2011, the availability of the facility was extended and, on November 2, 2011, the facility was amended to expire on February 28, 2014 and provide for a two-year term loan for up to $8.3 million to fund the redemption of the preference shares issued by our Singapore subsidiary. On January 30, 2012, we borrowed $8.3 million to complete that redemption. The term loan matures on January 31, 2014 and must be repaid in 24 equal monthly principal payments.</w:t>
      </w:r>
    </w:p>
    <w:p>
      <w:pPr>
        <w:spacing w:after="0" w:line="11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Our current SVB credit facility provides for a committed amount of $40.0 million. The facility provides for (1) advance borrowings (with no stated maturity date other than the February 28, 2014 expiration of the facility); (2) fixed term Eurodollar loans for up to six months, (3) a two-year term loan of $8.3 million, and (4) the issuance of standby or commercial letters of credit. As of September 28, 2012, available credit under this facility was $21.5 million reflecting borrowings of $11.8 million and outstanding letters of credit of $6.7 million.</w:t>
      </w:r>
    </w:p>
    <w:p>
      <w:pPr>
        <w:spacing w:after="0" w:line="133"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As of September 28, 2012, our outstanding debt under the SVB facility consisted of the $6.0 million advance borrowings in fiscal 2011 and a $5.8 million outstanding balance on the original $8.3 million term loan, $4.1 million of the term loan was classified as a current liability. Since we do not expect to repay within the next 12 months, the $6.0 million advance borrowings were classified as long-term debt as of September 28, 2012 and June 29, 2012.</w:t>
      </w:r>
    </w:p>
    <w:p>
      <w:pPr>
        <w:spacing w:after="0" w:line="93" w:lineRule="exact"/>
        <w:rPr>
          <w:sz w:val="20"/>
          <w:szCs w:val="20"/>
          <w:color w:val="auto"/>
        </w:rPr>
      </w:pPr>
    </w:p>
    <w:p>
      <w:pPr>
        <w:ind w:right="200" w:firstLine="432"/>
        <w:spacing w:after="0" w:line="286" w:lineRule="auto"/>
        <w:rPr>
          <w:sz w:val="20"/>
          <w:szCs w:val="20"/>
          <w:color w:val="auto"/>
        </w:rPr>
      </w:pPr>
      <w:r>
        <w:rPr>
          <w:rFonts w:ascii="Arial" w:cs="Arial" w:eastAsia="Arial" w:hAnsi="Arial"/>
          <w:sz w:val="16"/>
          <w:szCs w:val="16"/>
          <w:color w:val="auto"/>
        </w:rPr>
        <w:t xml:space="preserve">The advance borrowings carry an interest rate computed at the daily prime rate as published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Interest on Eurodollar loans is offered at LIBOR plus a spread of between 2.00% to 2.75% based on our current leverage ratio. The interest rate on Eurodollar loans was set initially at a spread of 2.75% for the fiscal quarter ended October 1, 2010 and is adjustable quarterly thereafter based on the computed actual leverage ratio for the most recently completed fiscal quarter. During the first quarter of fiscal 2013, the weighted average interest rate on our $6.0 million advance borrowings was</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3.25%. The two-year term loan bears a fixed interest rate of 5% per annum and provides for equal monthly payments of principal. The SVB facility, as further amended on September 28, 2012, contains a minimum liquidity ratio covenant and a minimum profitability covenant. As of September 28, 2012, we were in compliance with these financial covenants. The facility also imposes certain restrictions on our ability to pay dividends or make distributions to our stockholders under certain circumstances. Certain of our assets, including accounts receivable, inventory, and equipment, are pledged as collateral for the credit facility. Pursuant to the loan and security agreement, if a material adverse event occurs, all obligations in connection with the agreement would be immediately due and payable.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Activities</w:t>
      </w:r>
    </w:p>
    <w:p>
      <w:pPr>
        <w:spacing w:after="0" w:line="94"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During the first quarter of fiscal 2011, we initiated a restructuring plan (the “Fiscal 2011 Plan”) to reduce our operational costs. The Fiscal 2011 Plan was intended to bring our cost structure in line with the changing dynamics of the worldwide microwave radio and telecommunication markets, primarily in North America, Europe and Asia. Activities under the Fiscal 2011 Plan included reductions in force to reduce our operating expenses and the downsizing or closures of our Morrisville, North Carolina, Santa Clara, California, Montreal, Canada and certain international field offices.</w:t>
      </w:r>
    </w:p>
    <w:p>
      <w:pPr>
        <w:spacing w:after="0" w:line="36"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following table summarizes our costs incurred during the first quarter of fiscal 2013 and 2012, estimated additional costs to be incurred and estimated total costs expected to be incurred as of September 28, 2012 under the Fiscal 2011 Plan: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Costs Incurred During</w:t>
            </w:r>
          </w:p>
        </w:tc>
        <w:tc>
          <w:tcPr>
            <w:tcW w:w="16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Cumulative</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Estimated</w:t>
            </w: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Total Restructuring</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6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38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Through</w:t>
            </w:r>
          </w:p>
        </w:tc>
        <w:tc>
          <w:tcPr>
            <w:tcW w:w="180" w:type="dxa"/>
            <w:vAlign w:val="bottom"/>
          </w:tcPr>
          <w:p>
            <w:pPr>
              <w:spacing w:after="0"/>
              <w:rPr>
                <w:sz w:val="4"/>
                <w:szCs w:val="4"/>
                <w:color w:val="auto"/>
              </w:rPr>
            </w:pPr>
          </w:p>
        </w:tc>
        <w:tc>
          <w:tcPr>
            <w:tcW w:w="12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Costs</w:t>
            </w:r>
          </w:p>
        </w:tc>
        <w:tc>
          <w:tcPr>
            <w:tcW w:w="160" w:type="dxa"/>
            <w:vAlign w:val="bottom"/>
          </w:tcPr>
          <w:p>
            <w:pPr>
              <w:spacing w:after="0"/>
              <w:rPr>
                <w:sz w:val="4"/>
                <w:szCs w:val="4"/>
                <w:color w:val="auto"/>
              </w:rPr>
            </w:pPr>
          </w:p>
        </w:tc>
        <w:tc>
          <w:tcPr>
            <w:tcW w:w="1180" w:type="dxa"/>
            <w:vAlign w:val="bottom"/>
            <w:vMerge w:val="restart"/>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79"/>
        </w:trPr>
        <w:tc>
          <w:tcPr>
            <w:tcW w:w="3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28, 2012</w:t>
            </w:r>
          </w:p>
        </w:tc>
        <w:tc>
          <w:tcPr>
            <w:tcW w:w="120" w:type="dxa"/>
            <w:vAlign w:val="bottom"/>
          </w:tcPr>
          <w:p>
            <w:pPr>
              <w:spacing w:after="0"/>
              <w:rPr>
                <w:sz w:val="6"/>
                <w:szCs w:val="6"/>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September 30, 2011</w:t>
            </w:r>
          </w:p>
        </w:tc>
        <w:tc>
          <w:tcPr>
            <w:tcW w:w="16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4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September 28, 2012</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to be Incurred</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382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2011 Plan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97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80" w:right="259" w:bottom="1440" w:gutter="0" w:footer="0" w:header="0"/>
        </w:sectPr>
      </w:pPr>
    </w:p>
    <w:bookmarkStart w:id="11" w:name="page12"/>
    <w:bookmarkEnd w:id="11"/>
    <w:p>
      <w:pPr>
        <w:ind w:firstLine="432"/>
        <w:spacing w:after="0" w:line="264" w:lineRule="auto"/>
        <w:rPr>
          <w:sz w:val="20"/>
          <w:szCs w:val="20"/>
          <w:color w:val="auto"/>
        </w:rPr>
      </w:pPr>
      <w:r>
        <w:rPr>
          <w:rFonts w:ascii="Arial" w:cs="Arial" w:eastAsia="Arial" w:hAnsi="Arial"/>
          <w:sz w:val="18"/>
          <w:szCs w:val="18"/>
          <w:color w:val="auto"/>
        </w:rPr>
        <w:t>During the first quarter of fiscal 2013 and 2012, we continued executing restructuring activities to reduce our operating costs worldwide under the Fiscal 2011 Plan. The $0.5 million facilities charges in the first quarter of fiscal 2012 primarily related to the sublease and relocation of our Morrisville, North Carolina office during the period.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intend to complete the remaining restructuring activities under the Fiscal 2011 Plan during fiscal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information in the following table summarizes our restructuring activities during the first quarter of fiscal 2013 and restructuring liability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2012:</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Severance and</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Facilities and</w:t>
            </w:r>
          </w:p>
        </w:tc>
        <w:tc>
          <w:tcPr>
            <w:tcW w:w="34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Benefits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Restructuring liability as of June 29, 2012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Provision related to Fiscal 2011 Plan</w:t>
            </w: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97"/>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Restructuring liability as of September 28, 2012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restructuring liability as of September 28, 2012</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Long-term portion of restructuring liability as of September 28, 2012</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Divestiture</w:t>
      </w:r>
    </w:p>
    <w:p>
      <w:pPr>
        <w:spacing w:after="0" w:line="94"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In March 2011, our board of directors approved a plan for the sale of our WiMAX business. On September 2, 2011, we sold to EION Networks, Inc. (“EION”) our WiMAX business and related assets consisting of certain technology, inventory and equipment. We assigned customer contracts for WiMAX products and maintenance and agreed to license related patents to EION. We also agreed to indemnification for customary seller representations and warranties, and the provision of transitional services. As consideration for the sale of assets, EION agreed to pay us $0.4 million in cash and up to $2.8 million in additional cash payments contingent upon specific factors related to future WiMAX business performance. Currently we are not able to estimate the amount of consideration that we will receive beyond the $0.4 million nor the probability of any such payment. Accordingly, any future consideration will be recorded as a contingent gain in the period that it is received. EION is also entitled to receive cash payments up to $2.0 million upon collection of certain WiMAX accounts receivable, of which $1.5 million has been paid by us to EION as of September 28, 2012.</w:t>
      </w:r>
    </w:p>
    <w:p>
      <w:pPr>
        <w:spacing w:after="0" w:line="112"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From the third quarter of fiscal 2011, we began accounting for the WiMAX business as a discontinued operation and, therefore, the operating results of our WiMAX business are included in discontinued operations in our condensed consolidated financial statements for all periods presented. We recognized a $2.0 million loss on disposition of the WiMAX business in the first quarter of fiscal 2012. The loss incurred in the first quarter of fiscal 2013 was primarily due to write-down of certain WiMAX deferred cost of sales that were not transferred to EION. As of September 28, 2012 and June 29, 2012, our accrued liabilities related to the disposition of the WiMAX business were $0.5 million and $0.6 million, respectively.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results of operations for the WiMAX business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6"/>
              </w:rPr>
              <w:t>Quarter Ended</w:t>
            </w:r>
          </w:p>
        </w:tc>
      </w:tr>
      <w:tr>
        <w:trPr>
          <w:trHeight w:val="152"/>
        </w:trPr>
        <w:tc>
          <w:tcPr>
            <w:tcW w:w="8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8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r>
      <w:tr>
        <w:trPr>
          <w:trHeight w:val="250"/>
        </w:trPr>
        <w:tc>
          <w:tcPr>
            <w:tcW w:w="8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r>
      <w:tr>
        <w:trPr>
          <w:trHeight w:val="276"/>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color w:val="auto"/>
              </w:rPr>
              <w:t>Loss from operations related to WiMAX</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loss from discontinued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8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80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9. Stockholders’ Equity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Stock Equity Plan</w:t>
      </w:r>
    </w:p>
    <w:p>
      <w:pPr>
        <w:spacing w:after="0" w:line="94"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As of September 28, 2012, we had one stock incentive plan for our employees and outside directors, the 2007 Stock Equity Plan, as amended and restated effective November 17, 2011 (the “2007 Stock Plan”). The 2007 Stock Plan provides for accelerated vesting of certain share-based awards if there is a change in control. The 2007 Stock Plan provides for the issuance of share-based awards in the form of stock options, stock appreciation rights, restricted stock awards and units, and performance share awards and units. We have various incentive programs under the 2007 Stock Plan, including annual or long-term incentive programs ("AIP" or "LTIP"), global equity program ("GEP") and product development incentive programs (“PDIP”).</w:t>
      </w:r>
    </w:p>
    <w:p>
      <w:pPr>
        <w:spacing w:after="0" w:line="104"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Under the 2007 Stock Plan, option exercise prices are equal to the fair market value on the date the options are granted using our closing stock price. Options may be exercised for a period set at the time of grant, which is generally seven years after the date of grant. Options generally vest in installments of 50% one year from the grant date and 25% each year thereafter or one-third annually over a three-year period from the date of grant, or one-fourth annually over a four-year period from date of grant. Stock options are issued to directors annually and generally vest in full one year from the grant date.</w:t>
      </w:r>
    </w:p>
    <w:p>
      <w:pPr>
        <w:spacing w:after="0" w:line="100"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Restricted stock is not transferable until vested and the restrictions lapse upon the achievement of continued employment or service over a specified time period. Restricted stock issued to employees generally vests one-third annually over a three-year period from the date of grant or vests in full three years after the grant date. Restricted stock is issued to directors annually and generally cliff vests one year from grant date.</w:t>
      </w:r>
    </w:p>
    <w:p>
      <w:pPr>
        <w:spacing w:after="0" w:line="11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Vesting of performance share awards under our AIP, LTIP or GEP is subject to financial performance criteria including revenue, operating income, or cash flow targets for the periods as defined in the programs and continued employment through the end of the applicable period. Performance shares under our PDIPs are issued to employees related to new product development projects and vest upon achievement of the product development milestones as defined in the programs.</w:t>
      </w:r>
    </w:p>
    <w:p>
      <w:pPr>
        <w:spacing w:after="0" w:line="13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During the first quarter of fiscal 2013, there were 377,784 performance shares based vested upon achievement of financial performance targets and 208,951 performance shares canceled because the performance target threshold were not met. No new share-based award were granted during the first quarter of fiscal 2013.</w:t>
      </w:r>
    </w:p>
    <w:p>
      <w:pPr>
        <w:spacing w:after="0" w:line="12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Upon the exercise of stock options, vesting of restricted stock awards and units, or vesting of performance share awards and units, we issue new shares of our common stock to our employees. All awards that are cancelled prior to vesting or expire unexercised are returned to the approved pool of reserved shares under the 2007 Stock Plan and made available for future grants. Shares of our common stock remaining available for future issuance under the 2007 Stock Plan totaled 7,113,709 as of September 28, 2012. Currently we do not anticipate repurchasing shares to provide a source of shares for our rewards of share-based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Compensations</w:t>
      </w:r>
    </w:p>
    <w:p>
      <w:pPr>
        <w:spacing w:after="0" w:line="9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Total compensation expense for share-based awards included in our consolidated statements of operations for the first quarter of fiscal 2013 and 2012 was as follows: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688" w:right="2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4"/>
                <w:szCs w:val="14"/>
                <w:b w:val="1"/>
                <w:bCs w:val="1"/>
                <w:color w:val="auto"/>
              </w:rPr>
              <w:t>Quarter Ended</w:t>
            </w:r>
          </w:p>
        </w:tc>
      </w:tr>
      <w:tr>
        <w:trPr>
          <w:trHeight w:val="264"/>
        </w:trPr>
        <w:tc>
          <w:tcPr>
            <w:tcW w:w="812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2"/>
                <w:szCs w:val="22"/>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28, 2012</w:t>
            </w:r>
          </w:p>
        </w:tc>
        <w:tc>
          <w:tcPr>
            <w:tcW w:w="140" w:type="dxa"/>
            <w:vAlign w:val="bottom"/>
          </w:tcPr>
          <w:p>
            <w:pPr>
              <w:spacing w:after="0"/>
              <w:rPr>
                <w:sz w:val="22"/>
                <w:szCs w:val="22"/>
                <w:color w:val="auto"/>
              </w:rPr>
            </w:pPr>
          </w:p>
        </w:tc>
        <w:tc>
          <w:tcPr>
            <w:tcW w:w="142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September 30, 2011</w:t>
            </w:r>
          </w:p>
        </w:tc>
      </w:tr>
      <w:tr>
        <w:trPr>
          <w:trHeight w:val="189"/>
        </w:trPr>
        <w:tc>
          <w:tcPr>
            <w:tcW w:w="812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By Expense Category:</w:t>
            </w: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63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Cost of product sales and services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0.6</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37"/>
        </w:trPr>
        <w:tc>
          <w:tcPr>
            <w:tcW w:w="40" w:type="dxa"/>
            <w:vAlign w:val="bottom"/>
          </w:tcPr>
          <w:p>
            <w:pPr>
              <w:spacing w:after="0"/>
              <w:rPr>
                <w:sz w:val="20"/>
                <w:szCs w:val="20"/>
                <w:color w:val="auto"/>
              </w:rPr>
            </w:pPr>
          </w:p>
        </w:tc>
        <w:tc>
          <w:tcPr>
            <w:tcW w:w="8080" w:type="dxa"/>
            <w:vAlign w:val="bottom"/>
            <w:gridSpan w:val="3"/>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r>
      <w:tr>
        <w:trPr>
          <w:trHeight w:val="67"/>
        </w:trPr>
        <w:tc>
          <w:tcPr>
            <w:tcW w:w="40" w:type="dxa"/>
            <w:vAlign w:val="bottom"/>
            <w:tcBorders>
              <w:bottom w:val="single" w:sz="8" w:color="CCEEFF"/>
            </w:tcBorders>
          </w:tcPr>
          <w:p>
            <w:pPr>
              <w:spacing w:after="0"/>
              <w:rPr>
                <w:sz w:val="5"/>
                <w:szCs w:val="5"/>
                <w:color w:val="auto"/>
              </w:rPr>
            </w:pPr>
          </w:p>
        </w:tc>
        <w:tc>
          <w:tcPr>
            <w:tcW w:w="15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63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156"/>
        </w:trPr>
        <w:tc>
          <w:tcPr>
            <w:tcW w:w="8120" w:type="dxa"/>
            <w:vAlign w:val="bottom"/>
            <w:gridSpan w:val="4"/>
            <w:shd w:val="clear" w:color="auto" w:fill="CCEEFF"/>
          </w:tcPr>
          <w:p>
            <w:pPr>
              <w:ind w:left="40"/>
              <w:spacing w:after="0" w:line="156" w:lineRule="exact"/>
              <w:rPr>
                <w:sz w:val="20"/>
                <w:szCs w:val="20"/>
                <w:color w:val="auto"/>
              </w:rPr>
            </w:pPr>
            <w:r>
              <w:rPr>
                <w:rFonts w:ascii="Arial" w:cs="Arial" w:eastAsia="Arial" w:hAnsi="Arial"/>
                <w:sz w:val="18"/>
                <w:szCs w:val="18"/>
                <w:b w:val="1"/>
                <w:bCs w:val="1"/>
                <w:color w:val="auto"/>
              </w:rPr>
              <w:t>By Types of Award:</w:t>
            </w: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52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3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Options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0.6</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Restricted stock awards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Performance shares</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40" w:firstLine="432"/>
        <w:spacing w:after="0" w:line="277" w:lineRule="auto"/>
        <w:rPr>
          <w:sz w:val="20"/>
          <w:szCs w:val="20"/>
          <w:color w:val="auto"/>
        </w:rPr>
      </w:pPr>
      <w:r>
        <w:rPr>
          <w:rFonts w:ascii="Arial" w:cs="Arial" w:eastAsia="Arial" w:hAnsi="Arial"/>
          <w:sz w:val="18"/>
          <w:szCs w:val="18"/>
          <w:color w:val="auto"/>
        </w:rPr>
        <w:t>As of September 28, 2012, there was $4.5 million of total unrecognized compensation expense related to nonvested share-based awards granted under our 2007 Stock Equity Plan. This expense is expected to be recognized over a weighted-average period of 1.9 years.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fair value of each option grant under our 2007 Stock Equity Plan was estimated using the Black-Scholes option pricing model on the date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significant weighted average assumptions we used in the Black-Scholes valuation model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20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Quarter Ended</w:t>
            </w:r>
          </w:p>
        </w:tc>
      </w:tr>
      <w:tr>
        <w:trPr>
          <w:trHeight w:val="264"/>
        </w:trPr>
        <w:tc>
          <w:tcPr>
            <w:tcW w:w="804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September 28, 2012</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September 30, 2011</w:t>
            </w: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166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N/A</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660" w:type="dxa"/>
            <w:vAlign w:val="bottom"/>
            <w:gridSpan w:val="2"/>
          </w:tcPr>
          <w:p>
            <w:pPr>
              <w:ind w:left="1220"/>
              <w:spacing w:after="0"/>
              <w:rPr>
                <w:sz w:val="20"/>
                <w:szCs w:val="20"/>
                <w:color w:val="auto"/>
              </w:rPr>
            </w:pPr>
            <w:r>
              <w:rPr>
                <w:rFonts w:ascii="Arial" w:cs="Arial" w:eastAsia="Arial" w:hAnsi="Arial"/>
                <w:sz w:val="18"/>
                <w:szCs w:val="18"/>
                <w:color w:val="auto"/>
              </w:rPr>
              <w:t>N/A</w:t>
            </w:r>
          </w:p>
        </w:tc>
        <w:tc>
          <w:tcPr>
            <w:tcW w:w="154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7"/>
        </w:trPr>
        <w:tc>
          <w:tcPr>
            <w:tcW w:w="8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66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N/A</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1660" w:type="dxa"/>
            <w:vAlign w:val="bottom"/>
            <w:gridSpan w:val="2"/>
          </w:tcPr>
          <w:p>
            <w:pPr>
              <w:ind w:left="1220"/>
              <w:spacing w:after="0"/>
              <w:rPr>
                <w:sz w:val="20"/>
                <w:szCs w:val="20"/>
                <w:color w:val="auto"/>
              </w:rPr>
            </w:pPr>
            <w:r>
              <w:rPr>
                <w:rFonts w:ascii="Arial" w:cs="Arial" w:eastAsia="Arial" w:hAnsi="Arial"/>
                <w:sz w:val="18"/>
                <w:szCs w:val="18"/>
                <w:color w:val="auto"/>
              </w:rPr>
              <w:t>N/A</w:t>
            </w: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4.38</w:t>
            </w:r>
          </w:p>
        </w:tc>
      </w:tr>
      <w:tr>
        <w:trPr>
          <w:trHeight w:val="27"/>
        </w:trPr>
        <w:tc>
          <w:tcPr>
            <w:tcW w:w="8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8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 granted</w:t>
            </w:r>
          </w:p>
        </w:tc>
        <w:tc>
          <w:tcPr>
            <w:tcW w:w="16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N/A</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80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Expected volatility is based on historical volatility of our common stock using the daily closing price of our common stock over a period commensurate with the expected term of the options. The expected term of the options is calculated using the simplified method as we do not have sufficient stock option exercise data to derive a reasonable estimate of the expected life of an option. In addition, the types of employees that receive option grants have been significantly changed as we granted share-based awards to employees who are not eligible for the long-term incentive programs in fiscal 2012. The risk-free rate for the expected term of the option is based on the U.S. Treasury yield curve in effect at the time of grant. The expected dividend yield is zero because we have not historically paid dividends and have no intention to pay dividends.</w:t>
      </w:r>
    </w:p>
    <w:p>
      <w:pPr>
        <w:spacing w:after="0" w:line="124"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The fair value of each restricted stock grant is based on the closing price of our common stock on the date of grant and is amortized to compensation expense over its vesting period. The fair value of each performance share is based on the closing price of our common stock on the date of grant and is amortized to compensation expense over its vesting period if achievement of the performance conditions is considered probable. Any previously recognized compensation cost would be reversed if the performance condition is not satisfied or if it is not probable that the performance conditions will be achieved.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and Geographic Information</w:t>
      </w:r>
    </w:p>
    <w:p>
      <w:pPr>
        <w:spacing w:after="0" w:line="121"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the Chief Operating Decision Maker (the “CODM”).</w:t>
      </w:r>
    </w:p>
    <w:p>
      <w:pPr>
        <w:spacing w:after="0" w:line="4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the first quarter of fiscal 2013 and 2012 are as follows: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806"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Quarter Ended</w:t>
            </w:r>
          </w:p>
        </w:tc>
      </w:tr>
      <w:tr>
        <w:trPr>
          <w:trHeight w:val="264"/>
        </w:trPr>
        <w:tc>
          <w:tcPr>
            <w:tcW w:w="81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28, 2012</w:t>
            </w:r>
          </w:p>
        </w:tc>
        <w:tc>
          <w:tcPr>
            <w:tcW w:w="160" w:type="dxa"/>
            <w:vAlign w:val="bottom"/>
          </w:tcPr>
          <w:p>
            <w:pPr>
              <w:spacing w:after="0"/>
              <w:rPr>
                <w:sz w:val="22"/>
                <w:szCs w:val="22"/>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1"/>
              </w:rPr>
              <w:t>September 30, 2011</w:t>
            </w:r>
          </w:p>
        </w:tc>
      </w:tr>
      <w:tr>
        <w:trPr>
          <w:trHeight w:val="250"/>
        </w:trPr>
        <w:tc>
          <w:tcPr>
            <w:tcW w:w="8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w:t>
            </w:r>
          </w:p>
        </w:tc>
      </w:tr>
      <w:tr>
        <w:trPr>
          <w:trHeight w:val="243"/>
        </w:trPr>
        <w:tc>
          <w:tcPr>
            <w:tcW w:w="8100" w:type="dxa"/>
            <w:vAlign w:val="bottom"/>
          </w:tcPr>
          <w:p>
            <w:pPr>
              <w:ind w:left="720"/>
              <w:spacing w:after="0"/>
              <w:rPr>
                <w:sz w:val="20"/>
                <w:szCs w:val="20"/>
                <w:color w:val="auto"/>
              </w:rPr>
            </w:pPr>
            <w:r>
              <w:rPr>
                <w:rFonts w:ascii="Arial" w:cs="Arial" w:eastAsia="Arial" w:hAnsi="Arial"/>
                <w:sz w:val="18"/>
                <w:szCs w:val="18"/>
                <w:color w:val="auto"/>
              </w:rPr>
              <w:t>Africa and Middle East</w:t>
            </w:r>
          </w:p>
        </w:tc>
        <w:tc>
          <w:tcPr>
            <w:tcW w:w="12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42.7</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Europe and Russia</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r>
      <w:tr>
        <w:trPr>
          <w:trHeight w:val="243"/>
        </w:trPr>
        <w:tc>
          <w:tcPr>
            <w:tcW w:w="8100" w:type="dxa"/>
            <w:vAlign w:val="bottom"/>
          </w:tcPr>
          <w:p>
            <w:pPr>
              <w:ind w:left="720"/>
              <w:spacing w:after="0"/>
              <w:rPr>
                <w:sz w:val="20"/>
                <w:szCs w:val="20"/>
                <w:color w:val="auto"/>
              </w:rPr>
            </w:pPr>
            <w:r>
              <w:rPr>
                <w:rFonts w:ascii="Arial" w:cs="Arial" w:eastAsia="Arial" w:hAnsi="Arial"/>
                <w:sz w:val="18"/>
                <w:szCs w:val="18"/>
                <w:color w:val="auto"/>
              </w:rPr>
              <w:t>Latin America and Asia Pacific</w:t>
            </w:r>
          </w:p>
        </w:tc>
        <w:tc>
          <w:tcPr>
            <w:tcW w:w="12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19.2</w:t>
            </w: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111.4</w:t>
            </w:r>
          </w:p>
        </w:tc>
      </w:tr>
      <w:tr>
        <w:trPr>
          <w:trHeight w:val="20"/>
        </w:trPr>
        <w:tc>
          <w:tcPr>
            <w:tcW w:w="8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During the first quarter of both fiscal 2013 and 2012, we had one international customer in Africa (Mobile Telephone Networks Group or MTN Group) that accounted for more than 10% of our total revenue. As of September 28, 2012, MTN Group accounted for more than 10% of our accounts receivable. We had no customers accounted for more than 10% of our accounts receivable at June 29, 2012.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94"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The determination of our provision for income taxes for the first quarter of fiscal 2013 and 2012 was based on our estimated annual effective tax rate adjusted for losses in separate jurisdictions for which no tax benefit can be recognized. The tax expense for the first quarter of fiscal 2013 was primarily attributable to an increase in unrecognized tax benefit liability of $1.4 million as the result of management's re-measurement of an unrecognized tax benefit liability based on additional information identified during an on-going audit in Nigeria, as disclosed below.</w:t>
      </w:r>
    </w:p>
    <w:p>
      <w:pPr>
        <w:spacing w:after="0" w:line="11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 We accrued tax expenses for foreign jurisdictions that are anticipated to be profitable for fiscal 2013. We have a number of years with open tax audits which vary from jurisdiction to jurisdiction. Our major tax jurisdictions include the U.S., Singapore and Nigeria. The earliest years still open and subject to potential audits for these jurisdictions are as follows: U.S. — 2003; Singapore — 2006; and Nigeria — 2004.</w:t>
      </w:r>
    </w:p>
    <w:p>
      <w:pPr>
        <w:spacing w:after="0" w:line="148" w:lineRule="exact"/>
        <w:rPr>
          <w:sz w:val="20"/>
          <w:szCs w:val="20"/>
          <w:color w:val="auto"/>
        </w:rPr>
      </w:pPr>
    </w:p>
    <w:p>
      <w:pPr>
        <w:ind w:firstLine="432"/>
        <w:spacing w:after="0" w:line="272" w:lineRule="auto"/>
        <w:rPr>
          <w:sz w:val="20"/>
          <w:szCs w:val="20"/>
          <w:color w:val="auto"/>
        </w:rPr>
      </w:pPr>
      <w:r>
        <w:rPr>
          <w:rFonts w:ascii="Arial" w:cs="Arial" w:eastAsia="Arial" w:hAnsi="Arial"/>
          <w:sz w:val="18"/>
          <w:szCs w:val="18"/>
          <w:color w:val="auto"/>
        </w:rPr>
        <w:t>In fiscal year 2011, our Nigerian entity was notified that it was being audited for fiscal years 2004 through 2009 by the Federal Inland Revenue Service. As of September 28, 2012, we have received a tentative assessment and we have been working with the Federal Inland Revenue Service on reconciling the differences between its assertion and our financial and contractual records. In fiscal 2012, the Inland Revenue Authority of Singapore started a compliance review of our Singapore subsidiary for fiscal years 2007 through 2009. As of September 28, 2012, we have been working with the Inland Revenue Authority of Singapore on responses to its inquiries.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account for interest and penalties related to unrecognized tax benefits as part of our provision for federal, foreign, and state income taxes.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 and Hedging Activities</w:t>
      </w:r>
    </w:p>
    <w:p>
      <w:pPr>
        <w:spacing w:after="0" w:line="94"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We use derivative instruments to manage our market exposures to foreign currency risk. Our objectives for using derivatives are to reduce the volatility of earnings and cash flows associated with changes in foreign currency exchange rates. We do not hold or issue derivatives for trading purposes or make speculative investments in foreign currencies. All derivative instruments are carried on the balance sheet at fair value.</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major foreign currency hedging activities are described below:</w:t>
      </w:r>
    </w:p>
    <w:p>
      <w:pPr>
        <w:spacing w:after="0" w:line="17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i w:val="1"/>
          <w:iCs w:val="1"/>
          <w:color w:val="auto"/>
        </w:rPr>
        <w:t>Cash Flow Hedges</w:t>
      </w:r>
      <w:r>
        <w:rPr>
          <w:rFonts w:ascii="Arial" w:cs="Arial" w:eastAsia="Arial" w:hAnsi="Arial"/>
          <w:sz w:val="17"/>
          <w:szCs w:val="17"/>
          <w:color w:val="auto"/>
        </w:rPr>
        <w:t>. We use currency forward contracts to hedge exposures related to certain forecasted foreign currency transactions relating to</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product costs, operating expenses and intercompany transactions. As of September 28, 2012, hedged transactions included our customer and intercompany backlog and, to a much lesser extent, outstanding purchase commitments denominated primarily in the Australian dollar, Euro, Polish zloty and South Africa rand. These derivatives are designated as cash flow hedges and typically have maturities from one to three months with a maximum of six months, which in general closely match the underlying forecasted transaction in duration.</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819" w:right="279" w:bottom="1440" w:gutter="0" w:footer="0" w:header="0"/>
        </w:sectPr>
      </w:pPr>
    </w:p>
    <w:bookmarkStart w:id="15" w:name="page16"/>
    <w:bookmarkEnd w:id="15"/>
    <w:p>
      <w:pPr>
        <w:ind w:firstLine="432"/>
        <w:spacing w:after="0" w:line="272" w:lineRule="auto"/>
        <w:rPr>
          <w:sz w:val="20"/>
          <w:szCs w:val="20"/>
          <w:color w:val="auto"/>
        </w:rPr>
      </w:pPr>
      <w:r>
        <w:rPr>
          <w:rFonts w:ascii="Arial" w:cs="Arial" w:eastAsia="Arial" w:hAnsi="Arial"/>
          <w:sz w:val="17"/>
          <w:szCs w:val="17"/>
          <w:color w:val="auto"/>
        </w:rPr>
        <w:t>We measure the effectiveness of the hedges of forecasted transactions on a monthly basis by comparing the fair values of the designated currency forward contracts with the fair values of the forecasted transactions. The effective portion of the contract’s gain and loss is initially recognized in other comprehensive income or loss (“OCI”) and, upon occurrence of the forecasted transaction, is reclassified into the income or expense line item to which the hedged transaction relates. Any ineffective portion of the derivative hedging gain or loss as well as changes in the fair value of the derivative’s time value (which are excluded from the assessment of hedge effectiveness) is recorded in current period earnings, specifically, in cost of product sales as these gains and losses are considered by us to be operational in nature. If the forecasted transaction does not occur, or it becomes probable that it will not occur, the gain or loss on the related cash flow hedge is recognized immediately in cost of product sales.</w:t>
      </w:r>
    </w:p>
    <w:p>
      <w:pPr>
        <w:spacing w:after="0" w:line="12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As of September 28, 2012, it is expected that less than $0.1 million of derivative net loss on both outstanding and matured derivatives recorded in AOCI will be reclassified to net income or loss during the next twelve months as a result of underlying hedged transactions also being recorded in net income or loss. Actual amounts ultimately to be reclassified to net income or loss depend on the exchange rates in effect when currently outstanding derivative contracts mature.</w:t>
      </w:r>
    </w:p>
    <w:p>
      <w:pPr>
        <w:spacing w:after="0" w:line="133"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i w:val="1"/>
          <w:iCs w:val="1"/>
          <w:color w:val="auto"/>
        </w:rPr>
        <w:t>Balance Sheet Hedges</w:t>
      </w:r>
      <w:r>
        <w:rPr>
          <w:rFonts w:ascii="Arial" w:cs="Arial" w:eastAsia="Arial" w:hAnsi="Arial"/>
          <w:sz w:val="16"/>
          <w:szCs w:val="16"/>
          <w:color w:val="auto"/>
        </w:rPr>
        <w:t>. We also use foreign exchange forward contracts to mitigate the gains and losses generated from the re-measurement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monetary assets and liabilities denominated in a foreign currency, including primarily cash balances, third party accounts receivable and accounts payable, and intercompany transactions recorded on the balance sheet. These derivatives are not designated and do not qualify as hedge instruments and accordingly are carried at fair value with changes recorded in the cost of product sales in current period. Changes in the fair value of these derivatives are largely offset by re-measurement of the underlying assets and liabilities. These derivatives have maturities of approximately one month.</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gross notional value of all our foreign exchange forward contracts outstanding as of September 28, 2012 and June 29,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28, 2012</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June 29, 2012</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Australian dollar</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Euro</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6060" w:type="dxa"/>
            <w:vAlign w:val="bottom"/>
          </w:tcPr>
          <w:p>
            <w:pPr>
              <w:ind w:left="440"/>
              <w:spacing w:after="0"/>
              <w:rPr>
                <w:sz w:val="20"/>
                <w:szCs w:val="20"/>
                <w:color w:val="auto"/>
              </w:rPr>
            </w:pPr>
            <w:r>
              <w:rPr>
                <w:rFonts w:ascii="Arial" w:cs="Arial" w:eastAsia="Arial" w:hAnsi="Arial"/>
                <w:sz w:val="18"/>
                <w:szCs w:val="18"/>
                <w:color w:val="auto"/>
              </w:rPr>
              <w:t>Polish zloty</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Republic of South Africa rand</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 flow hedges</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Balance sheet hedges:</w:t>
            </w: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Australian dollar</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Canadian dollar</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Philippine peso</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Polish zloty</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Singapore dollar</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Thailand baht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Republic of South Africa rand</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non-designated hedges</w:t>
            </w: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fair value of derivative instruments included within our consolidated balance sheet as of September 28, 2012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29, 2012: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Asset Derivatives</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Liability Derivatives</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Balance Sheet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3"/>
                <w:szCs w:val="13"/>
                <w:color w:val="auto"/>
              </w:rPr>
            </w:pPr>
          </w:p>
        </w:tc>
        <w:tc>
          <w:tcPr>
            <w:tcW w:w="76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w w:val="92"/>
              </w:rPr>
              <w:t>June 29,</w:t>
            </w:r>
          </w:p>
        </w:tc>
        <w:tc>
          <w:tcPr>
            <w:tcW w:w="100" w:type="dxa"/>
            <w:vAlign w:val="bottom"/>
          </w:tcPr>
          <w:p>
            <w:pPr>
              <w:spacing w:after="0"/>
              <w:rPr>
                <w:sz w:val="13"/>
                <w:szCs w:val="13"/>
                <w:color w:val="auto"/>
              </w:rPr>
            </w:pPr>
          </w:p>
        </w:tc>
        <w:tc>
          <w:tcPr>
            <w:tcW w:w="128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220" w:type="dxa"/>
            <w:vAlign w:val="bottom"/>
          </w:tcPr>
          <w:p>
            <w:pPr>
              <w:spacing w:after="0"/>
              <w:rPr>
                <w:sz w:val="13"/>
                <w:szCs w:val="13"/>
                <w:color w:val="auto"/>
              </w:rPr>
            </w:pPr>
          </w:p>
        </w:tc>
        <w:tc>
          <w:tcPr>
            <w:tcW w:w="92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Location</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60" w:type="dxa"/>
            <w:vAlign w:val="bottom"/>
            <w:vMerge w:val="restart"/>
          </w:tcPr>
          <w:p>
            <w:pPr>
              <w:ind w:left="40"/>
              <w:spacing w:after="0"/>
              <w:rPr>
                <w:sz w:val="20"/>
                <w:szCs w:val="20"/>
                <w:color w:val="auto"/>
              </w:rPr>
            </w:pPr>
            <w:r>
              <w:rPr>
                <w:rFonts w:ascii="Arial" w:cs="Arial" w:eastAsia="Arial" w:hAnsi="Arial"/>
                <w:sz w:val="18"/>
                <w:szCs w:val="18"/>
                <w:color w:val="auto"/>
              </w:rPr>
              <w:t>Foreign exchange forward contracts</w:t>
            </w:r>
          </w:p>
        </w:tc>
        <w:tc>
          <w:tcPr>
            <w:tcW w:w="1240" w:type="dxa"/>
            <w:vAlign w:val="bottom"/>
          </w:tcPr>
          <w:p>
            <w:pPr>
              <w:ind w:left="20"/>
              <w:spacing w:after="0"/>
              <w:rPr>
                <w:sz w:val="20"/>
                <w:szCs w:val="20"/>
                <w:color w:val="auto"/>
              </w:rPr>
            </w:pPr>
            <w:r>
              <w:rPr>
                <w:rFonts w:ascii="Arial" w:cs="Arial" w:eastAsia="Arial" w:hAnsi="Arial"/>
                <w:sz w:val="18"/>
                <w:szCs w:val="18"/>
                <w:color w:val="auto"/>
              </w:rPr>
              <w:t>Other current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Other accrued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4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1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0"/>
                <w:szCs w:val="10"/>
                <w:color w:val="auto"/>
              </w:rPr>
            </w:pPr>
          </w:p>
        </w:tc>
        <w:tc>
          <w:tcPr>
            <w:tcW w:w="1280" w:type="dxa"/>
            <w:vAlign w:val="bottom"/>
            <w:vMerge w:val="restart"/>
          </w:tcPr>
          <w:p>
            <w:pPr>
              <w:ind w:left="20"/>
              <w:spacing w:after="0"/>
              <w:rPr>
                <w:sz w:val="20"/>
                <w:szCs w:val="20"/>
                <w:color w:val="auto"/>
              </w:rPr>
            </w:pPr>
            <w:r>
              <w:rPr>
                <w:rFonts w:ascii="Arial" w:cs="Arial" w:eastAsia="Arial" w:hAnsi="Arial"/>
                <w:sz w:val="18"/>
                <w:szCs w:val="18"/>
                <w:color w:val="auto"/>
              </w:rPr>
              <w:t>expenses</w:t>
            </w:r>
          </w:p>
        </w:tc>
        <w:tc>
          <w:tcPr>
            <w:tcW w:w="44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0"/>
                <w:szCs w:val="10"/>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08"/>
        </w:trPr>
        <w:tc>
          <w:tcPr>
            <w:tcW w:w="346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0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44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60" w:type="dxa"/>
            <w:vAlign w:val="bottom"/>
            <w:vMerge w:val="restart"/>
          </w:tcPr>
          <w:p>
            <w:pPr>
              <w:ind w:left="40"/>
              <w:spacing w:after="0"/>
              <w:rPr>
                <w:sz w:val="20"/>
                <w:szCs w:val="20"/>
                <w:color w:val="auto"/>
              </w:rPr>
            </w:pPr>
            <w:r>
              <w:rPr>
                <w:rFonts w:ascii="Arial" w:cs="Arial" w:eastAsia="Arial" w:hAnsi="Arial"/>
                <w:sz w:val="18"/>
                <w:szCs w:val="18"/>
                <w:color w:val="auto"/>
              </w:rPr>
              <w:t>Foreign exchange forward contracts</w:t>
            </w:r>
          </w:p>
        </w:tc>
        <w:tc>
          <w:tcPr>
            <w:tcW w:w="1240" w:type="dxa"/>
            <w:vAlign w:val="bottom"/>
          </w:tcPr>
          <w:p>
            <w:pPr>
              <w:ind w:left="20"/>
              <w:spacing w:after="0"/>
              <w:rPr>
                <w:sz w:val="20"/>
                <w:szCs w:val="20"/>
                <w:color w:val="auto"/>
              </w:rPr>
            </w:pPr>
            <w:r>
              <w:rPr>
                <w:rFonts w:ascii="Arial" w:cs="Arial" w:eastAsia="Arial" w:hAnsi="Arial"/>
                <w:sz w:val="18"/>
                <w:szCs w:val="18"/>
                <w:color w:val="auto"/>
              </w:rPr>
              <w:t>Other current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Other accrued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0"/>
                <w:szCs w:val="10"/>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0"/>
                <w:szCs w:val="10"/>
                <w:color w:val="auto"/>
              </w:rPr>
            </w:pPr>
          </w:p>
        </w:tc>
        <w:tc>
          <w:tcPr>
            <w:tcW w:w="1280" w:type="dxa"/>
            <w:vAlign w:val="bottom"/>
            <w:vMerge w:val="restart"/>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vMerge w:val="restart"/>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restart"/>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46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w:t>
            </w:r>
          </w:p>
        </w:tc>
        <w:tc>
          <w:tcPr>
            <w:tcW w:w="1240" w:type="dxa"/>
            <w:vAlign w:val="bottom"/>
            <w:shd w:val="clear" w:color="auto" w:fill="CCEEFF"/>
          </w:tcPr>
          <w:p>
            <w:pPr>
              <w:spacing w:after="0"/>
              <w:rPr>
                <w:sz w:val="22"/>
                <w:szCs w:val="22"/>
                <w:color w:val="auto"/>
              </w:rPr>
            </w:pP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location and amount of the gains and losses on derivative instruments reported in our financial statements:</w:t>
      </w:r>
    </w:p>
    <w:p>
      <w:pPr>
        <w:spacing w:after="0" w:line="242"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23495</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03" w:lineRule="exact"/>
        <w:rPr>
          <w:sz w:val="20"/>
          <w:szCs w:val="20"/>
          <w:color w:val="auto"/>
        </w:rPr>
      </w:pPr>
    </w:p>
    <w:p>
      <w:pPr>
        <w:ind w:left="40"/>
        <w:spacing w:after="0"/>
        <w:tabs>
          <w:tab w:leader="none" w:pos="8580" w:val="left"/>
          <w:tab w:leader="none" w:pos="10120" w:val="left"/>
        </w:tabs>
        <w:rPr>
          <w:sz w:val="20"/>
          <w:szCs w:val="20"/>
          <w:color w:val="auto"/>
        </w:rPr>
      </w:pPr>
      <w:r>
        <w:rPr>
          <w:rFonts w:ascii="Arial" w:cs="Arial" w:eastAsia="Arial" w:hAnsi="Arial"/>
          <w:sz w:val="14"/>
          <w:szCs w:val="14"/>
          <w:b w:val="1"/>
          <w:bCs w:val="1"/>
          <w:color w:val="auto"/>
        </w:rPr>
        <w:t>Locations of Gains (Losses) on Derivative Instruments</w:t>
      </w:r>
      <w:r>
        <w:rPr>
          <w:sz w:val="20"/>
          <w:szCs w:val="20"/>
          <w:color w:val="auto"/>
        </w:rPr>
        <w:tab/>
      </w:r>
      <w:r>
        <w:rPr>
          <w:rFonts w:ascii="Arial" w:cs="Arial" w:eastAsia="Arial" w:hAnsi="Arial"/>
          <w:sz w:val="14"/>
          <w:szCs w:val="14"/>
          <w:b w:val="1"/>
          <w:bCs w:val="1"/>
          <w:color w:val="auto"/>
        </w:rPr>
        <w:t>September 28, 2012</w:t>
      </w:r>
      <w:r>
        <w:rPr>
          <w:sz w:val="20"/>
          <w:szCs w:val="20"/>
          <w:color w:val="auto"/>
        </w:rPr>
        <w:tab/>
      </w:r>
      <w:r>
        <w:rPr>
          <w:rFonts w:ascii="Arial" w:cs="Arial" w:eastAsia="Arial" w:hAnsi="Arial"/>
          <w:sz w:val="12"/>
          <w:szCs w:val="12"/>
          <w:b w:val="1"/>
          <w:bCs w:val="1"/>
          <w:color w:val="auto"/>
        </w:rPr>
        <w:t>September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as cash flow hedges (foreign exchange forward contracts):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ind w:left="40"/>
              <w:spacing w:after="0"/>
              <w:rPr>
                <w:sz w:val="20"/>
                <w:szCs w:val="20"/>
                <w:color w:val="auto"/>
              </w:rPr>
            </w:pPr>
            <w:r>
              <w:rPr>
                <w:rFonts w:ascii="Arial" w:cs="Arial" w:eastAsia="Arial" w:hAnsi="Arial"/>
                <w:sz w:val="18"/>
                <w:szCs w:val="18"/>
                <w:color w:val="auto"/>
              </w:rPr>
              <w:t>Effective portion of gain (loss) recognized in OCI</w:t>
            </w:r>
          </w:p>
        </w:tc>
        <w:tc>
          <w:tcPr>
            <w:tcW w:w="20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7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portion of gain (loss) reclassified from AOCI into:</w:t>
            </w:r>
          </w:p>
        </w:tc>
        <w:tc>
          <w:tcPr>
            <w:tcW w:w="20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360"/>
              <w:spacing w:after="0"/>
              <w:rPr>
                <w:sz w:val="20"/>
                <w:szCs w:val="20"/>
                <w:color w:val="auto"/>
              </w:rPr>
            </w:pPr>
            <w:r>
              <w:rPr>
                <w:rFonts w:ascii="Arial" w:cs="Arial" w:eastAsia="Arial" w:hAnsi="Arial"/>
                <w:sz w:val="18"/>
                <w:szCs w:val="18"/>
                <w:color w:val="auto"/>
              </w:rPr>
              <w:t>Revenue</w:t>
            </w:r>
          </w:p>
        </w:tc>
        <w:tc>
          <w:tcPr>
            <w:tcW w:w="20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Cost of Products Sold</w:t>
            </w:r>
          </w:p>
        </w:tc>
        <w:tc>
          <w:tcPr>
            <w:tcW w:w="20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Loss associated with excluded time value recognized in cost of product sales</w:t>
            </w:r>
          </w:p>
        </w:tc>
        <w:tc>
          <w:tcPr>
            <w:tcW w:w="20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due to hedge ineffectiveness recognized in cost of product sales</w:t>
            </w:r>
          </w:p>
        </w:tc>
        <w:tc>
          <w:tcPr>
            <w:tcW w:w="20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60" w:type="dxa"/>
            <w:vAlign w:val="bottom"/>
          </w:tcPr>
          <w:p>
            <w:pPr>
              <w:spacing w:after="0"/>
              <w:rPr>
                <w:sz w:val="20"/>
                <w:szCs w:val="20"/>
                <w:color w:val="auto"/>
              </w:rPr>
            </w:pPr>
            <w:r>
              <w:rPr>
                <w:rFonts w:ascii="Arial" w:cs="Arial" w:eastAsia="Arial" w:hAnsi="Arial"/>
                <w:sz w:val="18"/>
                <w:szCs w:val="18"/>
                <w:b w:val="1"/>
                <w:bCs w:val="1"/>
                <w:color w:val="auto"/>
              </w:rPr>
              <w:t>Not designated as cash flow hedges (foreign exchange forward contracts):</w:t>
            </w:r>
          </w:p>
        </w:tc>
        <w:tc>
          <w:tcPr>
            <w:tcW w:w="2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7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(loss) recognized in cost of product sales</w:t>
            </w:r>
          </w:p>
        </w:tc>
        <w:tc>
          <w:tcPr>
            <w:tcW w:w="20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6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70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9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exposed to credit-related losses in the event of non-performance by counterparties to hedging instruments. The counterparties to all derivative transactions are major financial institutions with investment grade credit ratings. However, this does not eliminate our exposure to credit risk with these institutions. Should any of these counterparties fail to perform as contracted, we could incur interest charges and unanticipated gains or losses on the settlement of the derivatives in addition to the recorded fair value of the derivative due to non-delivery of the currency. To manage this risk, we have established strict counterparty credit guidelines for financial institutions providing foreign currency exchange services in accordance with corporate policy. As a result of the above considerations, we consider the risk of counterparty default to be immaterial.</w:t>
      </w:r>
    </w:p>
    <w:p>
      <w:pPr>
        <w:spacing w:after="0" w:line="124"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credit facilities we have with financial institutions under which we transact foreign exchange transactions are generally restricted to a total notional amount outstanding, a maximum settlement amount in any one day and a maximum term. There are no formal written agreements supporting these facilities other than the financial institutions’ general terms and conditions for trading. None of the facilities are collateralized and none require compliance with financial covenants or contain cross default or other provisions which could affect other credit arrangements we have with the same or other banks. If we fail to deliver currencies as required upon settlement of a trade, the bank may require early settlement on a net basis of all derivatives outstanding and if any amounts are still owing to the bank, they may charge any cash account we have with the bank for that amount.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 Commitments</w:t>
      </w:r>
    </w:p>
    <w:p>
      <w:pPr>
        <w:spacing w:after="0" w:line="94" w:lineRule="exact"/>
        <w:rPr>
          <w:sz w:val="20"/>
          <w:szCs w:val="20"/>
          <w:color w:val="auto"/>
        </w:rPr>
      </w:pPr>
    </w:p>
    <w:p>
      <w:pPr>
        <w:ind w:right="1060" w:firstLine="432"/>
        <w:spacing w:after="0" w:line="277"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April 2020. We lease approximately 129,000 square feet of office space in Santa Clara, California as our corporate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headquarters. As of September 28, 2012, future minimum lease payments for our headquarters total $19.3 million through April 2020.</w:t>
      </w:r>
    </w:p>
    <w:p>
      <w:pPr>
        <w:spacing w:after="0" w:line="17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of September 28, 2012, our future minimum lease payments under all non-cancelable operating leases with an initial lease term in excess of one year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80" w:type="dxa"/>
            <w:vAlign w:val="bottom"/>
          </w:tcPr>
          <w:p>
            <w:pPr>
              <w:ind w:left="40"/>
              <w:spacing w:after="0"/>
              <w:rPr>
                <w:sz w:val="20"/>
                <w:szCs w:val="20"/>
                <w:color w:val="auto"/>
              </w:rPr>
            </w:pPr>
            <w:r>
              <w:rPr>
                <w:rFonts w:ascii="Arial" w:cs="Arial" w:eastAsia="Arial" w:hAnsi="Arial"/>
                <w:sz w:val="14"/>
                <w:szCs w:val="14"/>
                <w:b w:val="1"/>
                <w:bCs w:val="1"/>
                <w:color w:val="auto"/>
              </w:rPr>
              <w:t>Fiscal Years Ending in June</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Amounts</w:t>
            </w:r>
          </w:p>
        </w:tc>
      </w:tr>
      <w:tr>
        <w:trPr>
          <w:trHeight w:val="196"/>
        </w:trPr>
        <w:tc>
          <w:tcPr>
            <w:tcW w:w="9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4.9</w:t>
            </w:r>
          </w:p>
        </w:tc>
      </w:tr>
      <w:tr>
        <w:trPr>
          <w:trHeight w:val="27"/>
        </w:trPr>
        <w:tc>
          <w:tcPr>
            <w:tcW w:w="9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3.2</w:t>
            </w:r>
          </w:p>
        </w:tc>
      </w:tr>
      <w:tr>
        <w:trPr>
          <w:trHeight w:val="27"/>
        </w:trPr>
        <w:tc>
          <w:tcPr>
            <w:tcW w:w="9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8.0</w:t>
            </w:r>
          </w:p>
        </w:tc>
      </w:tr>
      <w:tr>
        <w:trPr>
          <w:trHeight w:val="27"/>
        </w:trPr>
        <w:tc>
          <w:tcPr>
            <w:tcW w:w="9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9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27.0</w:t>
            </w:r>
          </w:p>
        </w:tc>
      </w:tr>
      <w:tr>
        <w:trPr>
          <w:trHeight w:val="20"/>
        </w:trPr>
        <w:tc>
          <w:tcPr>
            <w:tcW w:w="9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These commitments do not contain any material rent escalations, rent holidays, contingent rent, rent concessions, leasehold improvement incentives or unusual provisions or conditions. Total minimum rentals to be received in the future under our noncancelable subleases was $1.2 million as of September 28, 2012.</w:t>
      </w:r>
    </w:p>
    <w:p>
      <w:pPr>
        <w:spacing w:after="0" w:line="12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Rental expense for operating leases, including rentals on a month-to-month basis was $2.1 million and $2.4 million in the first quarter of fiscal 2013 and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Orders and Other Commitments</w:t>
      </w:r>
    </w:p>
    <w:p>
      <w:pPr>
        <w:spacing w:after="0" w:line="12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It is not our intent that we would cancel a purchase order that we have executed.</w:t>
      </w:r>
    </w:p>
    <w:p>
      <w:pPr>
        <w:ind w:right="100"/>
        <w:spacing w:after="0" w:line="254" w:lineRule="auto"/>
        <w:rPr>
          <w:sz w:val="20"/>
          <w:szCs w:val="20"/>
          <w:color w:val="auto"/>
        </w:rPr>
      </w:pPr>
      <w:r>
        <w:rPr>
          <w:rFonts w:ascii="Arial" w:cs="Arial" w:eastAsia="Arial" w:hAnsi="Arial"/>
          <w:sz w:val="18"/>
          <w:szCs w:val="18"/>
          <w:color w:val="auto"/>
        </w:rPr>
        <w:t>Because these agreements do not specify fixed or minimum quantities, do not specify minimum or variable price provisions, and do not specify the approximate timing of the transaction, we have no basis to estimate any future liability under these agreements. As of September 28, 2012, we had purchase obligations with our suppliers or contract manufacturers of $52.3 million outstanding. In addition, we had approximately $5.4 million contractual obligations associated with major capital purchase and service agreements as of September 28,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Guarantees and Commercial Commitments</w:t>
      </w:r>
    </w:p>
    <w:p>
      <w:pPr>
        <w:spacing w:after="0" w:line="94"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September 28, 2012, we had no guarantees applicable to our debt arrangements.</w:t>
      </w:r>
    </w:p>
    <w:p>
      <w:pPr>
        <w:spacing w:after="0" w:line="36"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September 28, 2012, we had commercial commitments of $53.1 million outstanding that were not recorded on our consolidated balance sheets. We do not believe, based on historical experience and information currently available, that it is probable that any amounts will be required to be paid on the performance guarantees.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175"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software products infringe the intellectual property rights of a third party. To date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 final judgment on behalf of any customer related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65" w:right="239" w:bottom="1440" w:gutter="0" w:footer="0" w:header="0"/>
        </w:sectPr>
      </w:pPr>
    </w:p>
    <w:bookmarkStart w:id="18" w:name="page19"/>
    <w:bookmarkEnd w:id="18"/>
    <w:p>
      <w:pPr>
        <w:jc w:val="both"/>
        <w:spacing w:after="0" w:line="286" w:lineRule="auto"/>
        <w:rPr>
          <w:sz w:val="20"/>
          <w:szCs w:val="20"/>
          <w:color w:val="auto"/>
        </w:rPr>
      </w:pPr>
      <w:r>
        <w:rPr>
          <w:rFonts w:ascii="Arial" w:cs="Arial" w:eastAsia="Arial" w:hAnsi="Arial"/>
          <w:sz w:val="17"/>
          <w:szCs w:val="17"/>
          <w:color w:val="auto"/>
        </w:rPr>
        <w:t>an infringement claim arising from the use of our software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September 28, 2012, we had not recorded any liabilities related to these indemnifications.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Certain of our former executive officers and directors were named in a complaint filed on July 18, 2011 in the United States District Court for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 District of Delaware by plaintiff Howard Taylor. Plaintiff purports to bring this action derivatively on behalf of Aviat Networks, which is named as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nominal defendant. Plaintiff brings a claim for breach of fiduciary duty against the officer and director defendants based on the allegations of securities law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violations alleged in the class action described above and also alleges that the defendants caused us to acquire the Microwave Communications Division,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Harris Corporation at an inflated price. Plaintiff seeks to recover unspecified damages and other relief on behalf of Aviat Networks, as well as 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and attorneys' fees. On September 27, 2012, the Court granted defendants' motion to dismiss and granted plaintiff leave to amend by October 18, 2012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only as to the allegations related to the class action. On October 18, 2012, Plaintiff did not amend but filed a motion for a stay of the action and sent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demand to the Company's Board that it investigate and pursue the claims that were dismissed by the Court.</w:t>
      </w:r>
    </w:p>
    <w:p>
      <w:pPr>
        <w:spacing w:after="0" w:line="21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 adverse impact on our operating results, cash flows or financial position.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94"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17"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19" w:name="page20"/>
    <w:bookmarkEnd w:id="19"/>
    <w:p>
      <w:pPr>
        <w:ind w:firstLine="432"/>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Aviat Networks.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the following:</w:t>
      </w:r>
    </w:p>
    <w:p>
      <w:pPr>
        <w:spacing w:after="0" w:line="26"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continued price erosion as a result of increased competition in the microwave transmission industry;</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the customer, product and geographic mix of our product orders;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volume and timing of product orders and the timing of completion of our product deliveries and installations;</w:t>
      </w:r>
    </w:p>
    <w:p>
      <w:pPr>
        <w:spacing w:after="0" w:line="63"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 such as the natural disasters in Thailand in 2011;</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effects of currency and interest rate risks;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political turmoil in countries where we have significant business; and</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timing and size of future restructuring plans and write-offs.</w:t>
      </w:r>
    </w:p>
    <w:p>
      <w:pPr>
        <w:spacing w:after="0" w:line="17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2012 Annual Report on Form 10-K for more information regarding factors that may cause our results to differ materially from those expressed or implied by the forward-looking statements contained in this Quarterly Report on Form 10-Q.</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undertake no obligation, other than as imposed by law, to update forward-looking statements to reflect further developments or information obtained after the date of filing of this Quarterly Report on Form 10-Q or, in the case of any document incorporated by reference, the date of that document.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2012 and 2013 Results</w:t>
      </w:r>
    </w:p>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consolidated financial statements and the accompanying notes. In the discussion below, our fiscal year ending June 28, 2013 is referred to as “fiscal 2013” or “2013” and fiscal year ended June 29, 2012 as “fiscal 2012” or “2012”.</w:t>
      </w:r>
    </w:p>
    <w:p>
      <w:pPr>
        <w:spacing w:after="0" w:line="133" w:lineRule="exact"/>
        <w:rPr>
          <w:sz w:val="20"/>
          <w:szCs w:val="20"/>
          <w:color w:val="auto"/>
        </w:rPr>
      </w:pPr>
    </w:p>
    <w:p>
      <w:pPr>
        <w:ind w:right="280" w:firstLine="432"/>
        <w:spacing w:after="0" w:line="273"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government agencies, transportation and utility companies, public safety agencies and broadcast system operators across the globe. Our products include point-to-point (PTP)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and multiplexers, necessary to build and deploy a wireless transmission network, and a full suite of turnkey support services.</w:t>
      </w:r>
    </w:p>
    <w:p>
      <w:pPr>
        <w:spacing w:after="0" w:line="12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We work continuously to improve our established brands and to create new products that meet our customers’ evolving needs and preferences. Our fundamental business goal is to generate superior returns for our stockholders over the long term.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746"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We believe that increases in revenue, operating profits and earnings per share are the key measures of financial performance for our business.</w:t>
      </w:r>
    </w:p>
    <w:p>
      <w:pPr>
        <w:spacing w:after="0" w:line="17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Our strategic focus in the next fiscal year will be to continue to accelerate innovation and optimize our product portfolio, improve costs and operational efficiencies, grow our revenue and create a sustainable, profitable business model. To do this, we have examined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71"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While the general trend of increasing demand for bandwidth to support mobile networks applies in all markets, we expect to see quarter-to-quarter fluctuations within markets and with individual customers based on customers' past purchasing patterns. As well, seasonality is a factor that impacts our business. Our fiscal third quarter revenue and orders have historically been lower than the revenue and orders in the immediately preceding second quarter because many of our customers utilize a significant portion of their capital budgets at the end of their fiscal year, which is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 and other factors. Please refer to the section entitled “Risk Factors” in Item 1A in our fiscal 2012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21"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During the first quarter of fiscal 2013, we secured orders and continued to expand our footprint with our customers in the mobile operator market using our current technology and service capabilities. The market for mobile backhaul continues to be our primary addressable market segment and the demand for increasing the backhaul capacity in our customers' networks continues to grow in line with our expectations. In the quarter we saw increased demand in North America as we supported the LTE deployments of our key customers. Internationally our business continued to rely on a combination of customers increasing their capacity to handle subscriber growth, the ongoing build-out of some large 3G deployments, and the emergence of early stage LTE deployments.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Despite a difficult macro-economic environment, our new products and product roadmap seem to be resonating broadly across all of our geographic and application areas. However, as disclosed above and in the “Risk Factors” section of our 2012 Annual Report on Form 10-K, a number of factors could prevent us from achieving our objectives, including ongoing pricing pressures attributable to competition and macroeconomic conditions in the geographic markets that we service.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first quarter of Fiscal 2013, we incurred restructuring expenses under the Fiscal 2011 Plan that will allow us to reduce our operational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intend to complete remaining restructuring activities under the Fiscal 2011 Plan during fiscal 2013.</w:t>
      </w:r>
    </w:p>
    <w:p>
      <w:pPr>
        <w:spacing w:after="0" w:line="15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 the fourth quarter of fiscal 2012, we re-evaluated our reportable segments primarily due to changes in our management, product platform and business processes, and determined that we operate in one single reportable industry segment. Accordingly, financial information for the first quarter of fiscal 2012 has been recast to conform with the current reportable segment disclosure.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Africa and Middle East, Europe and Russia, and Latin America and Asia Pacific. Revenue by region for the first quarter of fiscal 2013 and 2012 and the related changes are shown in the table below:</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46"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193"/>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64"/>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4"/>
              </w:rPr>
              <w:t>September 28, 2012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4"/>
              </w:rPr>
              <w:t>September 30, 2011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20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14.8 %</w:t>
            </w: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20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revenue in North America increased $1.6 million, or 4.3%, in the first quarter of fiscal 2013 compared with the same quarter of fiscal 2012. We saw improved sales with North American wireless network operators which was attributable to the ongoing buildout of LTE capable networks in the region. At the same time, business with power utilities, state and local government private networks also remained strong in North America. We also saw growth in demand for our network services and support in the region and experienced an increase in service revenue during the period primarily with mobile operator customers. We also completed our first low latency projects for a private network operator.</w:t>
      </w:r>
    </w:p>
    <w:p>
      <w:pPr>
        <w:spacing w:after="0" w:line="173" w:lineRule="exact"/>
        <w:rPr>
          <w:sz w:val="20"/>
          <w:szCs w:val="20"/>
          <w:color w:val="auto"/>
        </w:rPr>
      </w:pPr>
    </w:p>
    <w:p>
      <w:pPr>
        <w:ind w:right="560" w:firstLine="405"/>
        <w:spacing w:after="0" w:line="312" w:lineRule="auto"/>
        <w:rPr>
          <w:sz w:val="20"/>
          <w:szCs w:val="20"/>
          <w:color w:val="auto"/>
        </w:rPr>
      </w:pPr>
      <w:r>
        <w:rPr>
          <w:rFonts w:ascii="Arial" w:cs="Arial" w:eastAsia="Arial" w:hAnsi="Arial"/>
          <w:sz w:val="16"/>
          <w:szCs w:val="16"/>
          <w:color w:val="auto"/>
        </w:rPr>
        <w:t>Our revenue in Africa and Middle East increased substantially over the same period in fiscal 2012. We experienced year over year increases with customers in both East and West Africa. Revenue was down year over year in Latin America and Asia Pacific primarily due to a decline in customer purchasing patterns, which we believe was temporary. Sales to our European customers were about the same as in the first quarter of fiscal 2012.</w:t>
      </w:r>
    </w:p>
    <w:p>
      <w:pPr>
        <w:spacing w:after="0" w:line="147"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Our services revenue constituted a larger share of the total revenue in the first quarter of fiscal 2013 than in the year-ago period, consisting 27% of total revenue compared to 20% of total revenue in the first quarter of fiscal 2012. The services revenue increase was predominantly in North America as discussed above. Our product sales were down in the first quarter of fiscal 2013 compared with the same quarter of fiscal 2012 mostly due to reduced purchases of microwave radio equipment by customers in North America and Latin America and Asia.</w:t>
      </w:r>
    </w:p>
    <w:p>
      <w:pPr>
        <w:spacing w:after="0" w:line="117"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During the first quarter of both fiscal 2013 and 2012, the MTN Group in Africa accounted for more than 10% of our total revenue. We have entered into separate and distinct contracts with MTN Group as well as separate arrangements with MTN Group subsidiaries. None of such contracts on an individual basis are material to our operations. The loss of all MTN Group business could adversely affect our results of operations, cash flows and financial position.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194"/>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4"/>
              </w:rPr>
              <w:t>September 28, 2012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4"/>
              </w:rPr>
              <w:t>September 30, 2011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21"/>
                <w:szCs w:val="21"/>
                <w:color w:val="auto"/>
              </w:rPr>
            </w:pPr>
          </w:p>
        </w:tc>
        <w:tc>
          <w:tcPr>
            <w:tcW w:w="1520" w:type="dxa"/>
            <w:vAlign w:val="bottom"/>
          </w:tcPr>
          <w:p>
            <w:pPr>
              <w:jc w:val="right"/>
              <w:ind w:right="96"/>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94"/>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4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0"/>
        </w:trPr>
        <w:tc>
          <w:tcPr>
            <w:tcW w:w="466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17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Gross margin for the first quarter of fiscal 2013 increased $1.0 million, or 3.1%, compared with the same quarter of fiscal 2012. Gross margin as a percentage of revenue remained approximately the same compared with the first quarter of fiscal 2012. The increase in gross margin was due largely to higher sales volume and product mix in North America and in Africa and Middle East compared to the same period in previous year. We saw a higher portion of our revenue from services in the first quarter fiscal 2013 compared to the same period in the prior year. The increased service revenue volume also has higher gross margin rate compared to the prior year period resulting from improved efficiency on execution of services and spreading our fixed costs over a larger economic scale. We anticipate improvements in gross margin as a percentage of revenue over time as we bring more new products to market and the new products represent a larger share of our revenues.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87"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ind w:left="122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452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20" w:type="dxa"/>
            <w:vAlign w:val="bottom"/>
          </w:tcPr>
          <w:p>
            <w:pPr>
              <w:spacing w:after="0"/>
              <w:rPr>
                <w:sz w:val="22"/>
                <w:szCs w:val="22"/>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28, 2012</w:t>
            </w:r>
          </w:p>
        </w:tc>
        <w:tc>
          <w:tcPr>
            <w:tcW w:w="220" w:type="dxa"/>
            <w:vAlign w:val="bottom"/>
          </w:tcPr>
          <w:p>
            <w:pPr>
              <w:spacing w:after="0"/>
              <w:rPr>
                <w:sz w:val="22"/>
                <w:szCs w:val="22"/>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2011</w:t>
            </w:r>
          </w:p>
        </w:tc>
        <w:tc>
          <w:tcPr>
            <w:tcW w:w="220" w:type="dxa"/>
            <w:vAlign w:val="bottom"/>
          </w:tcPr>
          <w:p>
            <w:pPr>
              <w:spacing w:after="0"/>
              <w:rPr>
                <w:sz w:val="22"/>
                <w:szCs w:val="22"/>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80" w:type="dxa"/>
            <w:vAlign w:val="bottom"/>
          </w:tcPr>
          <w:p>
            <w:pPr>
              <w:jc w:val="right"/>
              <w:ind w:right="2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20" w:type="dxa"/>
            <w:vAlign w:val="bottom"/>
          </w:tcPr>
          <w:p>
            <w:pPr>
              <w:spacing w:after="0"/>
              <w:rPr>
                <w:sz w:val="21"/>
                <w:szCs w:val="21"/>
                <w:color w:val="auto"/>
              </w:rPr>
            </w:pPr>
          </w:p>
        </w:tc>
        <w:tc>
          <w:tcPr>
            <w:tcW w:w="1620" w:type="dxa"/>
            <w:vAlign w:val="bottom"/>
          </w:tcPr>
          <w:p>
            <w:pPr>
              <w:ind w:left="1200"/>
              <w:spacing w:after="0"/>
              <w:rPr>
                <w:sz w:val="20"/>
                <w:szCs w:val="20"/>
                <w:color w:val="auto"/>
              </w:rPr>
            </w:pPr>
            <w:r>
              <w:rPr>
                <w:rFonts w:ascii="Arial" w:cs="Arial" w:eastAsia="Arial" w:hAnsi="Arial"/>
                <w:sz w:val="18"/>
                <w:szCs w:val="18"/>
                <w:color w:val="auto"/>
                <w:w w:val="97"/>
              </w:rPr>
              <w:t>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ind w:left="1200"/>
              <w:spacing w:after="0"/>
              <w:rPr>
                <w:sz w:val="20"/>
                <w:szCs w:val="20"/>
                <w:color w:val="auto"/>
              </w:rPr>
            </w:pPr>
            <w:r>
              <w:rPr>
                <w:rFonts w:ascii="Arial" w:cs="Arial" w:eastAsia="Arial" w:hAnsi="Arial"/>
                <w:sz w:val="18"/>
                <w:szCs w:val="18"/>
                <w:color w:val="auto"/>
                <w:w w:val="97"/>
              </w:rPr>
              <w:t>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pacing w:after="0" w:line="17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Our research and development (“R&amp;D”) expenses increased $0.3 million, or 3.3%, in the first quarter of fiscal 2013 compared with the same quarter of fiscal 2012. As a percentage of revenue, R&amp;D expenses remained 8.1% for the first quarter of both fiscal 2013 and 2012. The increase in R&amp;D expenses of $0.3 million, consisting mostly of personnel expenses, was primarily due to investment in our new product development projects. We continue to invest in new product features, new functionality and lower cost platforms that we believe will enable our product lines to retain their technology leads in a cost effective manner.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4"/>
          </w:tcPr>
          <w:p>
            <w:pPr>
              <w:jc w:val="center"/>
              <w:ind w:right="96"/>
              <w:spacing w:after="0"/>
              <w:rPr>
                <w:sz w:val="20"/>
                <w:szCs w:val="20"/>
                <w:color w:val="auto"/>
              </w:rPr>
            </w:pPr>
            <w:r>
              <w:rPr>
                <w:rFonts w:ascii="Arial" w:cs="Arial" w:eastAsia="Arial" w:hAnsi="Arial"/>
                <w:sz w:val="14"/>
                <w:szCs w:val="14"/>
                <w:b w:val="1"/>
                <w:bCs w:val="1"/>
                <w:color w:val="auto"/>
                <w:w w:val="96"/>
              </w:rPr>
              <w:t>Quarter Ended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474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Pr>
          <w:p>
            <w:pPr>
              <w:spacing w:after="0"/>
              <w:rPr>
                <w:sz w:val="22"/>
                <w:szCs w:val="22"/>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28, 2012</w:t>
            </w:r>
          </w:p>
        </w:tc>
        <w:tc>
          <w:tcPr>
            <w:tcW w:w="260" w:type="dxa"/>
            <w:vAlign w:val="bottom"/>
          </w:tcPr>
          <w:p>
            <w:pPr>
              <w:spacing w:after="0"/>
              <w:rPr>
                <w:sz w:val="22"/>
                <w:szCs w:val="22"/>
                <w:color w:val="auto"/>
              </w:rPr>
            </w:pPr>
          </w:p>
        </w:tc>
        <w:tc>
          <w:tcPr>
            <w:tcW w:w="18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2011</w:t>
            </w:r>
          </w:p>
        </w:tc>
        <w:tc>
          <w:tcPr>
            <w:tcW w:w="22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2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22.7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00" w:type="dxa"/>
            <w:vAlign w:val="bottom"/>
          </w:tcPr>
          <w:p>
            <w:pPr>
              <w:spacing w:after="0"/>
              <w:rPr>
                <w:sz w:val="21"/>
                <w:szCs w:val="21"/>
                <w:color w:val="auto"/>
              </w:rPr>
            </w:pPr>
          </w:p>
        </w:tc>
        <w:tc>
          <w:tcPr>
            <w:tcW w:w="1580" w:type="dxa"/>
            <w:vAlign w:val="bottom"/>
          </w:tcPr>
          <w:p>
            <w:pPr>
              <w:ind w:left="1080"/>
              <w:spacing w:after="0"/>
              <w:rPr>
                <w:sz w:val="20"/>
                <w:szCs w:val="20"/>
                <w:color w:val="auto"/>
              </w:rPr>
            </w:pPr>
            <w:r>
              <w:rPr>
                <w:rFonts w:ascii="Arial" w:cs="Arial" w:eastAsia="Arial" w:hAnsi="Arial"/>
                <w:sz w:val="18"/>
                <w:szCs w:val="18"/>
                <w:color w:val="auto"/>
                <w:w w:val="93"/>
              </w:rPr>
              <w:t>19.7%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ind w:left="1220"/>
              <w:spacing w:after="0"/>
              <w:rPr>
                <w:sz w:val="20"/>
                <w:szCs w:val="20"/>
                <w:color w:val="auto"/>
              </w:rPr>
            </w:pPr>
            <w:r>
              <w:rPr>
                <w:rFonts w:ascii="Arial" w:cs="Arial" w:eastAsia="Arial" w:hAnsi="Arial"/>
                <w:sz w:val="18"/>
                <w:szCs w:val="18"/>
                <w:color w:val="auto"/>
                <w:w w:val="97"/>
              </w:rPr>
              <w:t>22.1%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17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selling and administrative expenses declined $1.9 million, or 7.7%, in the first quarter of fiscal 2013 compared with the same quarter of fiscal 2012. The decrease was due primarily to a $1.3 million reduction in professional services, a $0.6 million reduction in compensation expenses and a decrease of $0.9 million in expenses for information technology projects, partially offset by an increase of $0.6 million in bad debt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1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During the first quarter of fiscal 2011, we initiated the Fiscal 2011 Plan to reduce our operational costs. The Fiscal 2011 Plan was intended to bring our cost structure in line with the changing business environment of the worldwide microwave radio and telecommunication markets, primarily in North America, Europe and Asia. Activities under the Fiscal 2011 Plan included the reductions in force to reduce our operating expenses and downsizing or closures of our Morrisville, North Carolina, Santa Clara, California, Montreal, Canada and certain international field offices.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restructuring charges by plan for the first quarter of fiscal 2013 and 2012 are summarized in the table below:</w:t>
      </w:r>
    </w:p>
    <w:p>
      <w:pPr>
        <w:spacing w:after="0" w:line="392"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Quarter Ended</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28, 2012</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2011</w:t>
            </w:r>
          </w:p>
        </w:tc>
        <w:tc>
          <w:tcPr>
            <w:tcW w:w="180" w:type="dxa"/>
            <w:vAlign w:val="bottom"/>
          </w:tcPr>
          <w:p>
            <w:pPr>
              <w:spacing w:after="0"/>
              <w:rPr>
                <w:sz w:val="22"/>
                <w:szCs w:val="22"/>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040" w:type="dxa"/>
            <w:vAlign w:val="bottom"/>
          </w:tcPr>
          <w:p>
            <w:pPr>
              <w:jc w:val="right"/>
              <w:ind w:right="119"/>
              <w:spacing w:after="0"/>
              <w:rPr>
                <w:sz w:val="20"/>
                <w:szCs w:val="20"/>
                <w:color w:val="auto"/>
              </w:rPr>
            </w:pPr>
            <w:r>
              <w:rPr>
                <w:rFonts w:ascii="Arial" w:cs="Arial" w:eastAsia="Arial" w:hAnsi="Arial"/>
                <w:sz w:val="14"/>
                <w:szCs w:val="14"/>
                <w:b w:val="1"/>
                <w:bCs w:val="1"/>
                <w:color w:val="auto"/>
              </w:rPr>
              <w:t>% Change</w:t>
            </w:r>
          </w:p>
        </w:tc>
      </w:tr>
      <w:tr>
        <w:trPr>
          <w:trHeight w:val="243"/>
        </w:trPr>
        <w:tc>
          <w:tcPr>
            <w:tcW w:w="3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w:t>
            </w:r>
          </w:p>
        </w:tc>
        <w:tc>
          <w:tcPr>
            <w:tcW w:w="54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7"/>
        </w:trPr>
        <w:tc>
          <w:tcPr>
            <w:tcW w:w="36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Restructuring charges declined $0.6 million in the first quarter of fiscal 2013 compared with the same quarter of fiscal 2012. The changes were due to the absence of a $0.5 million facilities charge in the first quarter of fiscal 2012 primarily related to the sublease and relocation of our Morrisville, North Carolina office during the period.</w:t>
      </w:r>
    </w:p>
    <w:p>
      <w:pPr>
        <w:spacing w:after="0" w:line="12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restructuring expenses consisted primarily of severance and related benefit charges, and to a lesser extent, facilities costs related to obligations under non-cancelable leases for facilities that we ceased to use. We intend to complete remaining restructuring activities under the Fiscal 2011 Plan in fiscal 2013.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Interest Income and Interest Expense</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194"/>
              <w:spacing w:after="0"/>
              <w:rPr>
                <w:sz w:val="20"/>
                <w:szCs w:val="20"/>
                <w:color w:val="auto"/>
              </w:rPr>
            </w:pPr>
            <w:r>
              <w:rPr>
                <w:rFonts w:ascii="Arial" w:cs="Arial" w:eastAsia="Arial" w:hAnsi="Arial"/>
                <w:sz w:val="14"/>
                <w:szCs w:val="14"/>
                <w:b w:val="1"/>
                <w:bCs w:val="1"/>
                <w:color w:val="auto"/>
              </w:rPr>
              <w:t>Quarter Ended</w:t>
            </w:r>
          </w:p>
        </w:tc>
      </w:tr>
      <w:tr>
        <w:trPr>
          <w:trHeight w:val="264"/>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0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6"/>
              </w:rPr>
              <w:t>September 28, 2012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4"/>
              </w:rPr>
              <w:t>September 30, 2011</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4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7"/>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0.2</w:t>
            </w:r>
          </w:p>
        </w:tc>
      </w:tr>
      <w:tr>
        <w:trPr>
          <w:trHeight w:val="27"/>
        </w:trPr>
        <w:tc>
          <w:tcPr>
            <w:tcW w:w="38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459"/>
        </w:trPr>
        <w:tc>
          <w:tcPr>
            <w:tcW w:w="3840" w:type="dxa"/>
            <w:vAlign w:val="bottom"/>
          </w:tcPr>
          <w:p>
            <w:pPr>
              <w:spacing w:after="0"/>
              <w:rPr>
                <w:sz w:val="24"/>
                <w:szCs w:val="24"/>
                <w:color w:val="auto"/>
              </w:rPr>
            </w:pPr>
          </w:p>
        </w:tc>
        <w:tc>
          <w:tcPr>
            <w:tcW w:w="4060" w:type="dxa"/>
            <w:vAlign w:val="bottom"/>
          </w:tcPr>
          <w:p>
            <w:pPr>
              <w:jc w:val="right"/>
              <w:ind w:right="201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1022" w:right="239" w:bottom="1440" w:gutter="0" w:footer="0" w:header="0"/>
        </w:sectPr>
      </w:pPr>
    </w:p>
    <w:bookmarkStart w:id="23" w:name="page24"/>
    <w:bookmarkEnd w:id="23"/>
    <w:p>
      <w:pPr>
        <w:ind w:left="440"/>
        <w:spacing w:after="0"/>
        <w:rPr>
          <w:sz w:val="20"/>
          <w:szCs w:val="20"/>
          <w:color w:val="auto"/>
        </w:rPr>
      </w:pPr>
      <w:r>
        <w:rPr>
          <w:rFonts w:ascii="Arial" w:cs="Arial" w:eastAsia="Arial" w:hAnsi="Arial"/>
          <w:sz w:val="17"/>
          <w:szCs w:val="17"/>
          <w:color w:val="auto"/>
        </w:rPr>
        <w:t>Other expense for the first quarter of fiscal 2013 consisted primarily of transactional tax assessments related to certain international entities.</w:t>
      </w:r>
    </w:p>
    <w:p>
      <w:pPr>
        <w:spacing w:after="0" w:line="18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Interest expense was primarily related to interest associated with borrowings, term loan and letters of credit under our credit facilities and preference dividends on our $8.25 million redeemable preference shares. The $8.25 million preference shares were redeemed at their carrying value on January 30, 2012, funded by a two-year term loan of $8.25 million under our credit facility at a fixed interest rate of 5% per annum.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jc w:val="right"/>
              <w:ind w:right="1274"/>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4"/>
        </w:trPr>
        <w:tc>
          <w:tcPr>
            <w:tcW w:w="618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Pr>
          <w:p>
            <w:pPr>
              <w:spacing w:after="0"/>
              <w:rPr>
                <w:sz w:val="22"/>
                <w:szCs w:val="22"/>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28, 2012</w:t>
            </w:r>
          </w:p>
        </w:tc>
        <w:tc>
          <w:tcPr>
            <w:tcW w:w="220" w:type="dxa"/>
            <w:vAlign w:val="bottom"/>
          </w:tcPr>
          <w:p>
            <w:pPr>
              <w:spacing w:after="0"/>
              <w:rPr>
                <w:sz w:val="22"/>
                <w:szCs w:val="22"/>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2011</w:t>
            </w:r>
          </w:p>
        </w:tc>
        <w:tc>
          <w:tcPr>
            <w:tcW w:w="240" w:type="dxa"/>
            <w:vAlign w:val="bottom"/>
          </w:tcPr>
          <w:p>
            <w:pPr>
              <w:spacing w:after="0"/>
              <w:rPr>
                <w:sz w:val="22"/>
                <w:szCs w:val="22"/>
                <w:color w:val="auto"/>
              </w:rPr>
            </w:pPr>
          </w:p>
        </w:tc>
        <w:tc>
          <w:tcPr>
            <w:tcW w:w="1100" w:type="dxa"/>
            <w:vAlign w:val="bottom"/>
          </w:tcPr>
          <w:p>
            <w:pPr>
              <w:jc w:val="right"/>
              <w:ind w:right="29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7"/>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5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0.5</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income (loss) from continuing operations before income taxes</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7"/>
        </w:trPr>
        <w:tc>
          <w:tcPr>
            <w:tcW w:w="6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determination of our provision for income taxes for first quarters of fiscal 2013 and fiscal 2012 was based on our estimated annual effective tax rate adjusted for losses in separate jurisdictions for which no tax benefit can be recognized. That determination also reflected tax expense and benefit generated in certain foreign jurisdictions. The tax expense for the first quarter 2013 was primarily attributable to an increase in unrecognized tax benefit liability of $1.4 million as the result of additional information identified during a recent audit in Nigeria. The tax expense for the first quarter of fiscal 2012 was primarily attributable to profitable foreign entities for which we have accrued income taxes. We accrued tax expenses for foreign jurisdictions that are anticipated to be profitable for fiscal 2013.</w:t>
      </w:r>
    </w:p>
    <w:p>
      <w:pPr>
        <w:spacing w:after="0" w:line="19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Discontinued Operations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1239"/>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28, 2012</w:t>
            </w:r>
          </w:p>
        </w:tc>
        <w:tc>
          <w:tcPr>
            <w:tcW w:w="180" w:type="dxa"/>
            <w:vAlign w:val="bottom"/>
          </w:tcPr>
          <w:p>
            <w:pPr>
              <w:spacing w:after="0"/>
              <w:rPr>
                <w:sz w:val="22"/>
                <w:szCs w:val="22"/>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2011</w:t>
            </w:r>
          </w:p>
        </w:tc>
        <w:tc>
          <w:tcPr>
            <w:tcW w:w="220" w:type="dxa"/>
            <w:vAlign w:val="bottom"/>
          </w:tcPr>
          <w:p>
            <w:pPr>
              <w:spacing w:after="0"/>
              <w:rPr>
                <w:sz w:val="22"/>
                <w:szCs w:val="22"/>
                <w:color w:val="auto"/>
              </w:rPr>
            </w:pPr>
          </w:p>
        </w:tc>
        <w:tc>
          <w:tcPr>
            <w:tcW w:w="1020" w:type="dxa"/>
            <w:vAlign w:val="bottom"/>
          </w:tcPr>
          <w:p>
            <w:pPr>
              <w:jc w:val="right"/>
              <w:ind w:right="259"/>
              <w:spacing w:after="0"/>
              <w:rPr>
                <w:sz w:val="20"/>
                <w:szCs w:val="20"/>
                <w:color w:val="auto"/>
              </w:rPr>
            </w:pPr>
            <w:r>
              <w:rPr>
                <w:rFonts w:ascii="Arial" w:cs="Arial" w:eastAsia="Arial" w:hAnsi="Arial"/>
                <w:sz w:val="14"/>
                <w:szCs w:val="14"/>
                <w:b w:val="1"/>
                <w:bCs w:val="1"/>
                <w:color w:val="auto"/>
              </w:rPr>
              <w:t>$ Change</w:t>
            </w:r>
          </w:p>
        </w:tc>
      </w:tr>
      <w:tr>
        <w:trPr>
          <w:trHeight w:val="243"/>
        </w:trPr>
        <w:tc>
          <w:tcPr>
            <w:tcW w:w="6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1.7</w:t>
            </w:r>
          </w:p>
        </w:tc>
      </w:tr>
      <w:tr>
        <w:trPr>
          <w:trHeight w:val="27"/>
        </w:trPr>
        <w:tc>
          <w:tcPr>
            <w:tcW w:w="6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Our discontinued operations consist of the WiMAX business, which was sold to EION on September 2, 2011. We completed the business transition with EION in fiscal 2012. The loss from discontinued operations decreased $1.7 million in the first quarter of fiscal 2013 compared with the same quarter of fiscal 2012. The loss incurred in the first quarter of fiscal 2013 was primarily due to write-down of certain WiMAX deferred cost of sales that were not transferred to EION. The loss in the first quarter of fiscal 2012 included a $2.0 million loss on disposition of the WiMAX business.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9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As of September 28, 2012, our total cash and cash equivalents were $85.1 million. Approximately $16.9 million, or 19.9% of our total cash and cash equivalents, was held by entities domiciled in the United States. The remaining balance of $68.2 million or 80.1% was held by entities outside the United States, primarily in Singapore and Nigeria. A portion of the non-U.S. cash and cash equivalents is utilized for working capital and other operating purposes. We are not aware of any local regulatory requirements in these countries that significantly restrict the ability of our operations to repatriate the excess cash generated by our foreign operations. However, there are practical limitations on repatriation of cash to the U.S. from these countries because of the resulting withholding and other taxes.</w:t>
      </w:r>
    </w:p>
    <w:p>
      <w:pPr>
        <w:spacing w:after="0" w:line="58"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As of September 28, 2012, our principal sources of liquidity consisted of the $85.1 million in cash and cash equivalents, $21.5 million of available credit under our current $40.0 million credit facility with SVB, and future collections of receivables from customers. We regularly require letters of credit from some customers that request extended payment terms up to one year or more. These letters of credit are generally discounted without recourse shortly after shipment occurs in order to meet immediate liquidity requirements and to reduce our credit and sovereign risk. Historically our primary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746" w:right="259" w:bottom="1440" w:gutter="0" w:footer="0" w:header="0"/>
        </w:sectPr>
      </w:pPr>
    </w:p>
    <w:bookmarkStart w:id="24" w:name="page25"/>
    <w:bookmarkEnd w:id="24"/>
    <w:p>
      <w:pPr>
        <w:spacing w:after="0" w:line="264" w:lineRule="auto"/>
        <w:rPr>
          <w:sz w:val="20"/>
          <w:szCs w:val="20"/>
          <w:color w:val="auto"/>
        </w:rPr>
      </w:pPr>
      <w:r>
        <w:rPr>
          <w:rFonts w:ascii="Arial" w:cs="Arial" w:eastAsia="Arial" w:hAnsi="Arial"/>
          <w:sz w:val="18"/>
          <w:szCs w:val="18"/>
          <w:color w:val="auto"/>
        </w:rPr>
        <w:t>sources of liquidity have been cash flows from operations, credit facilities and cash proceeds from sale of our equity securities. During the first quarter of fiscal 2013, our total cash and cash equivalents decreased by $10.9 million primarily due to $9.2 million cash used in operating activities, $1.3 million of cash used for capital expenditures, and $1.0 million repayment on our long-term debt.</w:t>
      </w:r>
    </w:p>
    <w:p>
      <w:pPr>
        <w:spacing w:after="0" w:line="127"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Cash used in operating activities was $9.2 million in the first quarter of fiscal 2013 primarily due to an increase in receivables of $19.7 million and a net decrease in accounts payable and accrued expenses of $1.4 million, partially offset by a decrease in inventory of $3.2 million, a decrease in unbilled costs of $4.9 million and our net loss adjusted for non-cash items. Our accounts receivable increased significantly during the first quarter of fiscal 2013 primarily due to larger volume of shipments late in the quarter. The timing of billing and collections from customers associated with these shipments resulted in higher cash collections in the following month after the end of the quarter. The decrease in accounts payable and accrued expenses was primarily due to timing of disbursements. We also used $0.9 million in cash during the first quarter of fiscal 2013 related to restructuring liabilities. The decrease in our inventory was due to larger volume of inventory shipments late in the quarter. The decrease in unbilled costs was due to the completion of customer projects during the quarter.</w:t>
      </w:r>
    </w:p>
    <w:p>
      <w:pPr>
        <w:spacing w:after="0" w:line="138"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During the remainder of fiscal year 2013, we expect to spend approximately $10.0 million for capital expenditures primarily on equipment for development of new products and improvement of our information technology infrastructure. We currently believe that our existing cash and cash equivalents, the available line of credit under the SVB facility and future cash collections from customers will be sufficient to provide for our anticipated requirements for working capital and capital expenditures for the next 12 months and the foreseeable future. There can be no assurance, however, that our business will generate cash flow, or that anticipated operational improvements will be achieved. If we are unable to maintain cash balances or generate sufficient cash flow from operations to service our obligations,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Borrowings and Repayment of Debt</w:t>
      </w:r>
    </w:p>
    <w:p>
      <w:pPr>
        <w:spacing w:after="0" w:line="9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As of September 28, 2012, we had $21.5 million of credit available under our revolving credit facility with SVB. The total amount of revolving credit available was $40.0 million less $11.8 million in outstanding borrowings and $6.7 million in outstanding standby letters of credit issued under the SVB facility.</w:t>
      </w:r>
    </w:p>
    <w:p>
      <w:pPr>
        <w:spacing w:after="0" w:line="4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 xml:space="preserve">In an amendment to the facility effective November 2, 2011, the commitment of $40.0 million under the facility was extended to expire on February 28, 2014 and provides for (1) advance borrowings at the prime rate published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(2) fixed term Eurodollar loans for up to six months at LIBOR plus a spread of between 2.00% to 2.75% based on the company’s current leverage ratio, (3) a two-year term loan in the amount of $8.25 million at a fixed rate of 5% per annum expiring on January 31, 2014, and (4) the issuance of standby or commercial letters of credit. As of September 28, 2012, we had $6.0 million advance borrowings under the credit facility which we do not expect to repay within the next 12 months. The term loan drawn on January 30, 2012 is repaid in 24 equal monthly installments of principal plus accrued interest commencing February 29, 2012. The SVB facility contains a minimum liquidity ratio covenant and a minimum profitability covenant and is secured by certain of the company’s assets including accounts receivable, inventory, and equipment. The facility also imposes certain restrictions on our ability to pay dividends or make distributions to our stockholders under certain circumstances.</w:t>
      </w:r>
    </w:p>
    <w:p>
      <w:pPr>
        <w:spacing w:after="0" w:line="112"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Based on financial covenants included as part of the amended SVB credit facility effective September 28, 2012, we must maintain, as measured at the last day of each fiscal quarter beginning September 28, 2012 through December 27, 2013, (1) no less than a minimum liquidity ratio of 1.50 to 1 (defined as the ratio of total domestic unrestricted cash and cash equivalents plus short-term and long-term marketable securities plus the lesser of 25% of eligible accounts receivable or $12.5 million to total obligations outstanding with the bank) and (2) minimum consolidated EBITDA measured for each fiscal quarter. As of September 28, 2012, we were in compliance with these financial covenants.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90"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We have a liability for restructuring activities totaling $1.6 million as of September 28, 2012, $1.0 million of which is classified as current liability and expected to be paid out in cash over the next 12 months. In addition, we expect to incur approximately $1.1 million of additional charges from our restructuring activities in fiscal 2013. We expect to fund these future payments with available cash and cash flow provided by operations.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665"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90" w:lineRule="exact"/>
        <w:rPr>
          <w:sz w:val="20"/>
          <w:szCs w:val="20"/>
          <w:color w:val="auto"/>
        </w:rPr>
      </w:pPr>
    </w:p>
    <w:p>
      <w:pPr>
        <w:ind w:right="280" w:firstLine="432"/>
        <w:spacing w:after="0" w:line="279" w:lineRule="auto"/>
        <w:rPr>
          <w:sz w:val="20"/>
          <w:szCs w:val="20"/>
          <w:color w:val="auto"/>
        </w:rPr>
      </w:pPr>
      <w:r>
        <w:rPr>
          <w:rFonts w:ascii="Arial" w:cs="Arial" w:eastAsia="Arial" w:hAnsi="Arial"/>
          <w:sz w:val="17"/>
          <w:szCs w:val="17"/>
          <w:color w:val="auto"/>
        </w:rPr>
        <w:t>The amounts disclosed in our Fiscal 2012 Form 10-K include our commercial commitments and contractual obligations. During the quarter ended September 28, 2012, no material changes occurred in our contractual cash obligations to repay debt, to purchase goods and services and to make payments under operating leases or our commercial commitments and contingent liabilities on outstanding letters of credit, guarantees and other arrangements as disclosed in our Fiscal 2012 Form 10-K. Please refer to Note 13, "Commitments and Contingencies" in this Form 10-Q.</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2012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94"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nor issue derivatives for trading purposes or make speculative investments in foreign currencies.</w:t>
      </w:r>
    </w:p>
    <w:p>
      <w:pPr>
        <w:spacing w:after="0" w:line="12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use foreign exchange forward contracts to hedge forecasted foreign currency transactions relating to forecasted sales and purchase transactions. These derivatives are designated as cash flow hedges and are carried at fair value. The effective portion of the gain or loss is initially reported as a component of accumulated other comprehensive income (loss), and upon occurrence of the forecasted transaction, is subsequently reclassified into the income or expense line item to which the hedged transaction relates. 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11" w:lineRule="exact"/>
        <w:rPr>
          <w:sz w:val="20"/>
          <w:szCs w:val="20"/>
          <w:color w:val="auto"/>
        </w:rPr>
      </w:pPr>
    </w:p>
    <w:p>
      <w:pPr>
        <w:jc w:val="both"/>
        <w:ind w:right="580" w:firstLine="432"/>
        <w:spacing w:after="0" w:line="264" w:lineRule="auto"/>
        <w:rPr>
          <w:sz w:val="20"/>
          <w:szCs w:val="20"/>
          <w:color w:val="auto"/>
        </w:rPr>
      </w:pPr>
      <w:r>
        <w:rPr>
          <w:rFonts w:ascii="Arial" w:cs="Arial" w:eastAsia="Arial" w:hAnsi="Arial"/>
          <w:sz w:val="18"/>
          <w:szCs w:val="18"/>
          <w:color w:val="auto"/>
        </w:rPr>
        <w:t>As of September 28, 2012, we had foreign currency forward contracts outstanding with a total notional amount of $38.7 million consisting of 13 different currencies. The following is a summary of the notional amount of our outstanding contracts grouped by the underlying foreign currency as of September 28, 2012:</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vMerge w:val="restart"/>
          </w:tcPr>
          <w:p>
            <w:pPr>
              <w:jc w:val="center"/>
              <w:ind w:right="257"/>
              <w:spacing w:after="0"/>
              <w:rPr>
                <w:sz w:val="20"/>
                <w:szCs w:val="20"/>
                <w:color w:val="auto"/>
              </w:rPr>
            </w:pPr>
            <w:r>
              <w:rPr>
                <w:rFonts w:ascii="Arial" w:cs="Arial" w:eastAsia="Arial" w:hAnsi="Arial"/>
                <w:sz w:val="14"/>
                <w:szCs w:val="14"/>
                <w:b w:val="1"/>
                <w:bCs w:val="1"/>
                <w:color w:val="auto"/>
                <w:w w:val="95"/>
              </w:rPr>
              <w:t>Notional Contract</w:t>
            </w:r>
          </w:p>
        </w:tc>
        <w:tc>
          <w:tcPr>
            <w:tcW w:w="280" w:type="dxa"/>
            <w:vAlign w:val="bottom"/>
          </w:tcPr>
          <w:p>
            <w:pPr>
              <w:spacing w:after="0"/>
              <w:rPr>
                <w:sz w:val="14"/>
                <w:szCs w:val="14"/>
                <w:color w:val="auto"/>
              </w:rPr>
            </w:pPr>
          </w:p>
        </w:tc>
        <w:tc>
          <w:tcPr>
            <w:tcW w:w="1080" w:type="dxa"/>
            <w:vAlign w:val="bottom"/>
          </w:tcPr>
          <w:p>
            <w:pPr>
              <w:jc w:val="center"/>
              <w:ind w:right="196"/>
              <w:spacing w:after="0"/>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8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82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2"/>
                <w:szCs w:val="12"/>
                <w:color w:val="auto"/>
              </w:rPr>
            </w:pPr>
          </w:p>
        </w:tc>
        <w:tc>
          <w:tcPr>
            <w:tcW w:w="1080" w:type="dxa"/>
            <w:vAlign w:val="bottom"/>
          </w:tcPr>
          <w:p>
            <w:pPr>
              <w:jc w:val="center"/>
              <w:ind w:right="216"/>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8240" w:type="dxa"/>
            <w:vAlign w:val="bottom"/>
            <w:gridSpan w:val="2"/>
            <w:vMerge w:val="continue"/>
          </w:tcPr>
          <w:p>
            <w:pPr>
              <w:spacing w:after="0"/>
              <w:rPr>
                <w:sz w:val="16"/>
                <w:szCs w:val="16"/>
                <w:color w:val="auto"/>
              </w:rPr>
            </w:pPr>
          </w:p>
        </w:tc>
        <w:tc>
          <w:tcPr>
            <w:tcW w:w="1820" w:type="dxa"/>
            <w:vAlign w:val="bottom"/>
          </w:tcPr>
          <w:p>
            <w:pPr>
              <w:jc w:val="center"/>
              <w:ind w:right="277"/>
              <w:spacing w:after="0"/>
              <w:rPr>
                <w:sz w:val="20"/>
                <w:szCs w:val="20"/>
                <w:color w:val="auto"/>
              </w:rPr>
            </w:pPr>
            <w:r>
              <w:rPr>
                <w:rFonts w:ascii="Arial" w:cs="Arial" w:eastAsia="Arial" w:hAnsi="Arial"/>
                <w:sz w:val="14"/>
                <w:szCs w:val="14"/>
                <w:b w:val="1"/>
                <w:bCs w:val="1"/>
                <w:color w:val="auto"/>
                <w:w w:val="95"/>
              </w:rPr>
              <w:t>(Local Currency)</w:t>
            </w:r>
          </w:p>
        </w:tc>
        <w:tc>
          <w:tcPr>
            <w:tcW w:w="280" w:type="dxa"/>
            <w:vAlign w:val="bottom"/>
          </w:tcPr>
          <w:p>
            <w:pPr>
              <w:spacing w:after="0"/>
              <w:rPr>
                <w:sz w:val="16"/>
                <w:szCs w:val="16"/>
                <w:color w:val="auto"/>
              </w:rPr>
            </w:pPr>
          </w:p>
        </w:tc>
        <w:tc>
          <w:tcPr>
            <w:tcW w:w="1080" w:type="dxa"/>
            <w:vAlign w:val="bottom"/>
          </w:tcPr>
          <w:p>
            <w:pPr>
              <w:jc w:val="center"/>
              <w:ind w:right="216"/>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8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182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1820" w:type="dxa"/>
            <w:vAlign w:val="bottom"/>
          </w:tcPr>
          <w:p>
            <w:pPr>
              <w:jc w:val="right"/>
              <w:ind w:right="357"/>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Philippine peso</w:t>
            </w:r>
          </w:p>
        </w:tc>
        <w:tc>
          <w:tcPr>
            <w:tcW w:w="182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8"/>
                <w:szCs w:val="18"/>
                <w:color w:val="auto"/>
              </w:rPr>
              <w:t>136.2</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1820" w:type="dxa"/>
            <w:vAlign w:val="bottom"/>
          </w:tcPr>
          <w:p>
            <w:pPr>
              <w:jc w:val="right"/>
              <w:ind w:right="357"/>
              <w:spacing w:after="0"/>
              <w:rPr>
                <w:sz w:val="20"/>
                <w:szCs w:val="20"/>
                <w:color w:val="auto"/>
              </w:rPr>
            </w:pPr>
            <w:r>
              <w:rPr>
                <w:rFonts w:ascii="Arial" w:cs="Arial" w:eastAsia="Arial" w:hAnsi="Arial"/>
                <w:sz w:val="18"/>
                <w:szCs w:val="18"/>
                <w:color w:val="auto"/>
              </w:rPr>
              <w:t>29.2</w:t>
            </w: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Thailand baht</w:t>
            </w:r>
          </w:p>
        </w:tc>
        <w:tc>
          <w:tcPr>
            <w:tcW w:w="182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8"/>
                <w:szCs w:val="18"/>
                <w:color w:val="auto"/>
              </w:rPr>
              <w:t>38.9</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Republic of South Africa rand</w:t>
            </w:r>
          </w:p>
        </w:tc>
        <w:tc>
          <w:tcPr>
            <w:tcW w:w="1820" w:type="dxa"/>
            <w:vAlign w:val="bottom"/>
          </w:tcPr>
          <w:p>
            <w:pPr>
              <w:jc w:val="right"/>
              <w:ind w:right="357"/>
              <w:spacing w:after="0"/>
              <w:rPr>
                <w:sz w:val="20"/>
                <w:szCs w:val="20"/>
                <w:color w:val="auto"/>
              </w:rPr>
            </w:pPr>
            <w:r>
              <w:rPr>
                <w:rFonts w:ascii="Arial" w:cs="Arial" w:eastAsia="Arial" w:hAnsi="Arial"/>
                <w:sz w:val="18"/>
                <w:szCs w:val="18"/>
                <w:color w:val="auto"/>
              </w:rPr>
              <w:t>84.2</w:t>
            </w: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currencies</w:t>
            </w:r>
          </w:p>
        </w:tc>
        <w:tc>
          <w:tcPr>
            <w:tcW w:w="182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7"/>
        </w:trPr>
        <w:tc>
          <w:tcPr>
            <w:tcW w:w="8240" w:type="dxa"/>
            <w:vAlign w:val="bottom"/>
            <w:gridSpan w:val="2"/>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18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Net foreign exchange loss recorded in our consolidated statements of operations during the first quarter of fiscal 2013 and 2012 totaled $0.3 million and $0.2 million, respectively. A 10% adverse change in currency exchange rates for our foreign currency derivatives held as of September 28, 2012 would have an impact of approximately $2.4 million on the fair value of such instruments. This quantification of exposure to the market risk associated with foreign exchange financial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27"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instruments does not take into account the offsetting impact of changes in the fair value of our foreign denominated assets, liabilities and firm commitments.</w:t>
      </w:r>
    </w:p>
    <w:p>
      <w:pPr>
        <w:spacing w:after="0" w:line="11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Certain of our international business was transacted in non-U.S. dollar currency environments. As discussed above, we utilize foreign currency hedging instruments to minimize the currency risk of international transactions. The impact of translating the assets and liabilities of foreign operations to U.S. dollars is included as a component of stockholders’ equity. As of September 28, 2012 and June 29, 2012, the cumulative translation adjustment decreased our stockholders’ equity by $3.2 million and $4.0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exposure to market risk for changes in interest rates relates primarily to our cash equivalents and long-term debt borrowings under our SVB credit facilities.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w:t>
      </w:r>
    </w:p>
    <w:p>
      <w:pPr>
        <w:spacing w:after="0" w:line="90"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We had $85.1 million in total cash and cash equivalents as of September 28, 2012. Cash equivalents totaled $24.3 million as of September 28, 2012 and were comprised of money market funds and certificates of deposit. Cash equivalents have been recorded at fair value on our balance sheet.</w:t>
      </w:r>
    </w:p>
    <w:p>
      <w:pPr>
        <w:spacing w:after="0" w:line="93"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3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September 28, 2012 was 2.4 days, and these investments had an average yield of 0.29% per annum. A 10% change in interest rates on our cash and cash equivalents is not expected to have a material impact on our financial position, results of operations or 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9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During the first quarter of fiscal 2013, we had $6.0 million of advance borrowings outstanding under our $40.0 million revolving credit facility that incurred interest at the prime rate. We also recorded interest on our $8.3 million long-term borrowing drawn on January 30, 2012 at the fixed rate of 5% per annum. During the first quarter of fiscal 2013, our weighted average interest rate was 4.14% and we recorded total interest expense of $0.1 million on these borrowings.</w:t>
      </w:r>
    </w:p>
    <w:p>
      <w:pPr>
        <w:spacing w:after="0" w:line="133"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SEC rules and forms. Our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as appropriate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2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Management has conducted an evaluation, under the supervision and with the participation of the Chief Executive Officer and Chief Financial Officer, of the effectiveness of the design and operation of our disclosure controls and procedures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0" w:right="239" w:bottom="1440" w:gutter="0" w:footer="0" w:header="0"/>
        </w:sectPr>
      </w:pPr>
    </w:p>
    <w:bookmarkStart w:id="27" w:name="page28"/>
    <w:bookmarkEnd w:id="27"/>
    <w:p>
      <w:pPr>
        <w:ind w:right="240"/>
        <w:spacing w:after="0" w:line="342" w:lineRule="auto"/>
        <w:rPr>
          <w:sz w:val="20"/>
          <w:szCs w:val="20"/>
          <w:color w:val="auto"/>
        </w:rPr>
      </w:pPr>
      <w:r>
        <w:rPr>
          <w:rFonts w:ascii="Arial" w:cs="Arial" w:eastAsia="Arial" w:hAnsi="Arial"/>
          <w:sz w:val="16"/>
          <w:szCs w:val="16"/>
          <w:color w:val="auto"/>
        </w:rPr>
        <w:t>(as defined in Rules 13a-15(e) and 15d-15(e) under the Securities Exchange Act of 1934, as amended (the “Exchange Act”)). Based on this evaluation, the Chief Executive Officer and Chief Financial Officer concluded that our disclosure controls and procedures were effective as of September 28,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There has been no change in our internal controls over financial reporting during our most recently completed fiscal quarter that has materially affected, or is reasonably likely to materially affect, our internal controls over financial reporting.</w:t>
      </w:r>
    </w:p>
    <w:p>
      <w:pPr>
        <w:spacing w:after="0" w:line="27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refer to Legal Proceedings under Note 13, "Commitments and Contingencies" in this Form 10-Q.</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2012 Form 10-K.</w:t>
      </w:r>
    </w:p>
    <w:p>
      <w:pPr>
        <w:spacing w:after="0" w:line="116"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We do not believe that there have been any other material additions or changes to the risk factors previously disclosed in our Fiscal 2012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746"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10160" w:type="dxa"/>
            <w:vAlign w:val="bottom"/>
          </w:tcPr>
          <w:p>
            <w:pPr>
              <w:ind w:left="4700"/>
              <w:spacing w:after="0"/>
              <w:rPr>
                <w:sz w:val="20"/>
                <w:szCs w:val="20"/>
                <w:color w:val="auto"/>
              </w:rPr>
            </w:pPr>
            <w:r>
              <w:rPr>
                <w:rFonts w:ascii="Arial" w:cs="Arial" w:eastAsia="Arial" w:hAnsi="Arial"/>
                <w:sz w:val="14"/>
                <w:szCs w:val="14"/>
                <w:b w:val="1"/>
                <w:bCs w:val="1"/>
                <w:color w:val="auto"/>
              </w:rPr>
              <w:t>Descriptions</w:t>
            </w:r>
          </w:p>
        </w:tc>
      </w:tr>
      <w:tr>
        <w:trPr>
          <w:trHeight w:val="552"/>
        </w:trPr>
        <w:tc>
          <w:tcPr>
            <w:tcW w:w="1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Amendment No. 5 to Loan and Security Agreement, dated as of September 28, 2012, among Aviat Networks, Inc., Aviat U.S., Inc., Aviat</w:t>
            </w:r>
          </w:p>
        </w:tc>
      </w:tr>
      <w:tr>
        <w:trPr>
          <w:trHeight w:val="230"/>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Networks (S) Pte Ltd. and Silicon Valley Bank</w:t>
            </w:r>
          </w:p>
        </w:tc>
      </w:tr>
      <w:tr>
        <w:trPr>
          <w:trHeight w:val="594"/>
        </w:trPr>
        <w:tc>
          <w:tcPr>
            <w:tcW w:w="112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594"/>
        </w:trPr>
        <w:tc>
          <w:tcPr>
            <w:tcW w:w="112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94"/>
        </w:trPr>
        <w:tc>
          <w:tcPr>
            <w:tcW w:w="112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016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500" w:right="180" w:hanging="465"/>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XBRL information is furnished and not filed herewith, is not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29" w:name="page30"/>
    <w:bookmarkEnd w:id="29"/>
    <w:p>
      <w:pPr>
        <w:jc w:val="center"/>
        <w:ind w:right="-7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80"/>
        <w:spacing w:after="0"/>
        <w:tabs>
          <w:tab w:leader="none" w:pos="6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J. Madigan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31750</wp:posOffset>
            </wp:positionV>
            <wp:extent cx="3009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John J. Madigan</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Vice President, Corporate Controller and</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accounting officer and</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20"/>
          </w:cols>
          <w:pgMar w:left="240" w:top="796" w:right="9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297"/>
        </w:trPr>
        <w:tc>
          <w:tcPr>
            <w:tcW w:w="11420" w:type="dxa"/>
            <w:vAlign w:val="bottom"/>
            <w:gridSpan w:val="3"/>
          </w:tcPr>
          <w:p>
            <w:pPr>
              <w:ind w:left="44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tc>
      </w:tr>
      <w:tr>
        <w:trPr>
          <w:trHeight w:val="521"/>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10160" w:type="dxa"/>
            <w:vAlign w:val="bottom"/>
          </w:tcPr>
          <w:p>
            <w:pPr>
              <w:ind w:left="4700"/>
              <w:spacing w:after="0"/>
              <w:rPr>
                <w:sz w:val="20"/>
                <w:szCs w:val="20"/>
                <w:color w:val="auto"/>
              </w:rPr>
            </w:pPr>
            <w:r>
              <w:rPr>
                <w:rFonts w:ascii="Arial" w:cs="Arial" w:eastAsia="Arial" w:hAnsi="Arial"/>
                <w:sz w:val="14"/>
                <w:szCs w:val="14"/>
                <w:b w:val="1"/>
                <w:bCs w:val="1"/>
                <w:color w:val="auto"/>
              </w:rPr>
              <w:t>Descriptions</w:t>
            </w:r>
          </w:p>
        </w:tc>
      </w:tr>
      <w:tr>
        <w:trPr>
          <w:trHeight w:val="552"/>
        </w:trPr>
        <w:tc>
          <w:tcPr>
            <w:tcW w:w="1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Amendment No. 5 to Loan and Security Agreement, dated as of September 28, 2012, among Aviat Networks, Inc., Aviat U.S., Inc., Aviat</w:t>
            </w:r>
          </w:p>
        </w:tc>
      </w:tr>
      <w:tr>
        <w:trPr>
          <w:trHeight w:val="230"/>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Networks (S) Pte Ltd. and Silicon Valley Bank</w:t>
            </w:r>
          </w:p>
        </w:tc>
      </w:tr>
      <w:tr>
        <w:trPr>
          <w:trHeight w:val="594"/>
        </w:trPr>
        <w:tc>
          <w:tcPr>
            <w:tcW w:w="112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594"/>
        </w:trPr>
        <w:tc>
          <w:tcPr>
            <w:tcW w:w="112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94"/>
        </w:trPr>
        <w:tc>
          <w:tcPr>
            <w:tcW w:w="112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016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500" w:right="180" w:hanging="465"/>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XBRL information is furnished and not filed herewith, is not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10.1</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w:t>
      </w:r>
    </w:p>
    <w:p>
      <w:pPr>
        <w:jc w:val="center"/>
        <w:spacing w:after="0"/>
        <w:rPr>
          <w:sz w:val="20"/>
          <w:szCs w:val="20"/>
          <w:color w:val="auto"/>
        </w:rPr>
      </w:pPr>
      <w:r>
        <w:rPr>
          <w:rFonts w:ascii="Arial" w:cs="Arial" w:eastAsia="Arial" w:hAnsi="Arial"/>
          <w:sz w:val="20"/>
          <w:szCs w:val="20"/>
          <w:b w:val="1"/>
          <w:bCs w:val="1"/>
          <w:color w:val="auto"/>
        </w:rPr>
        <w:t>LOAN AND SECURITY AGREEMENT</w:t>
      </w:r>
    </w:p>
    <w:p>
      <w:pPr>
        <w:spacing w:after="0" w:line="19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This Amendment No. 5 to Loan and Security Agreement </w:t>
      </w:r>
      <w:r>
        <w:rPr>
          <w:rFonts w:ascii="Arial" w:cs="Arial" w:eastAsia="Arial" w:hAnsi="Arial"/>
          <w:sz w:val="18"/>
          <w:szCs w:val="18"/>
          <w:color w:val="auto"/>
        </w:rPr>
        <w:t>(this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this 28 day of September, 2012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among </w:t>
      </w:r>
      <w:r>
        <w:rPr>
          <w:rFonts w:ascii="Arial" w:cs="Arial" w:eastAsia="Arial" w:hAnsi="Arial"/>
          <w:sz w:val="18"/>
          <w:szCs w:val="18"/>
          <w:b w:val="1"/>
          <w:bCs w:val="1"/>
          <w:color w:val="auto"/>
        </w:rPr>
        <w:t>Aviat Networks,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Parent</w:t>
      </w:r>
      <w:r>
        <w:rPr>
          <w:rFonts w:ascii="Arial" w:cs="Arial" w:eastAsia="Arial" w:hAnsi="Arial"/>
          <w:sz w:val="18"/>
          <w:szCs w:val="18"/>
          <w:color w:val="auto"/>
        </w:rPr>
        <w:t xml:space="preserve">”), </w:t>
      </w:r>
      <w:r>
        <w:rPr>
          <w:rFonts w:ascii="Arial" w:cs="Arial" w:eastAsia="Arial" w:hAnsi="Arial"/>
          <w:sz w:val="18"/>
          <w:szCs w:val="18"/>
          <w:b w:val="1"/>
          <w:bCs w:val="1"/>
          <w:color w:val="auto"/>
        </w:rPr>
        <w:t>Aviat US., Inc.</w:t>
      </w:r>
      <w:r>
        <w:rPr>
          <w:rFonts w:ascii="Arial" w:cs="Arial" w:eastAsia="Arial" w:hAnsi="Arial"/>
          <w:sz w:val="18"/>
          <w:szCs w:val="18"/>
          <w:color w:val="auto"/>
        </w:rPr>
        <w:t xml:space="preserve"> (“</w:t>
      </w:r>
      <w:r>
        <w:rPr>
          <w:rFonts w:ascii="Arial" w:cs="Arial" w:eastAsia="Arial" w:hAnsi="Arial"/>
          <w:sz w:val="18"/>
          <w:szCs w:val="18"/>
          <w:b w:val="1"/>
          <w:bCs w:val="1"/>
          <w:color w:val="auto"/>
        </w:rPr>
        <w:t>Opco</w:t>
      </w:r>
      <w:r>
        <w:rPr>
          <w:rFonts w:ascii="Arial" w:cs="Arial" w:eastAsia="Arial" w:hAnsi="Arial"/>
          <w:sz w:val="18"/>
          <w:szCs w:val="18"/>
          <w:color w:val="auto"/>
        </w:rPr>
        <w:t>,” together with Parent, the “</w:t>
      </w:r>
      <w:r>
        <w:rPr>
          <w:rFonts w:ascii="Arial" w:cs="Arial" w:eastAsia="Arial" w:hAnsi="Arial"/>
          <w:sz w:val="18"/>
          <w:szCs w:val="18"/>
          <w:b w:val="1"/>
          <w:bCs w:val="1"/>
          <w:color w:val="auto"/>
        </w:rPr>
        <w:t>US Borrowers</w:t>
      </w:r>
      <w:r>
        <w:rPr>
          <w:rFonts w:ascii="Arial" w:cs="Arial" w:eastAsia="Arial" w:hAnsi="Arial"/>
          <w:sz w:val="18"/>
          <w:szCs w:val="18"/>
          <w:color w:val="auto"/>
        </w:rPr>
        <w:t xml:space="preserve">”) and </w:t>
      </w:r>
      <w:r>
        <w:rPr>
          <w:rFonts w:ascii="Arial" w:cs="Arial" w:eastAsia="Arial" w:hAnsi="Arial"/>
          <w:sz w:val="18"/>
          <w:szCs w:val="18"/>
          <w:b w:val="1"/>
          <w:bCs w:val="1"/>
          <w:color w:val="auto"/>
        </w:rPr>
        <w:t>Aviat Networks (S) Pte. Ltd.</w:t>
      </w:r>
      <w:r>
        <w:rPr>
          <w:rFonts w:ascii="Arial" w:cs="Arial" w:eastAsia="Arial" w:hAnsi="Arial"/>
          <w:sz w:val="18"/>
          <w:szCs w:val="18"/>
          <w:color w:val="auto"/>
        </w:rPr>
        <w:t>, a private company limited by shares formed under the laws of the Republic of Singapore (“</w:t>
      </w:r>
      <w:r>
        <w:rPr>
          <w:rFonts w:ascii="Arial" w:cs="Arial" w:eastAsia="Arial" w:hAnsi="Arial"/>
          <w:sz w:val="18"/>
          <w:szCs w:val="18"/>
          <w:b w:val="1"/>
          <w:bCs w:val="1"/>
          <w:color w:val="auto"/>
        </w:rPr>
        <w:t>Aviat</w:t>
      </w:r>
      <w:r>
        <w:rPr>
          <w:rFonts w:ascii="Arial" w:cs="Arial" w:eastAsia="Arial" w:hAnsi="Arial"/>
          <w:sz w:val="18"/>
          <w:szCs w:val="18"/>
          <w:color w:val="auto"/>
        </w:rPr>
        <w:t xml:space="preserve"> </w:t>
      </w:r>
      <w:r>
        <w:rPr>
          <w:rFonts w:ascii="Arial" w:cs="Arial" w:eastAsia="Arial" w:hAnsi="Arial"/>
          <w:sz w:val="18"/>
          <w:szCs w:val="18"/>
          <w:b w:val="1"/>
          <w:bCs w:val="1"/>
          <w:color w:val="auto"/>
        </w:rPr>
        <w:t>Singapore</w:t>
      </w:r>
      <w:r>
        <w:rPr>
          <w:rFonts w:ascii="Arial" w:cs="Arial" w:eastAsia="Arial" w:hAnsi="Arial"/>
          <w:sz w:val="18"/>
          <w:szCs w:val="18"/>
          <w:color w:val="auto"/>
        </w:rPr>
        <w:t>” or “</w:t>
      </w:r>
      <w:r>
        <w:rPr>
          <w:rFonts w:ascii="Arial" w:cs="Arial" w:eastAsia="Arial" w:hAnsi="Arial"/>
          <w:sz w:val="18"/>
          <w:szCs w:val="18"/>
          <w:b w:val="1"/>
          <w:bCs w:val="1"/>
          <w:color w:val="auto"/>
        </w:rPr>
        <w:t>Singapore Borrower</w:t>
      </w:r>
      <w:r>
        <w:rPr>
          <w:rFonts w:ascii="Arial" w:cs="Arial" w:eastAsia="Arial" w:hAnsi="Arial"/>
          <w:sz w:val="18"/>
          <w:szCs w:val="18"/>
          <w:color w:val="auto"/>
        </w:rPr>
        <w:t>,” and together with the US Borrowers, the “</w:t>
      </w:r>
      <w:r>
        <w:rPr>
          <w:rFonts w:ascii="Arial" w:cs="Arial" w:eastAsia="Arial" w:hAnsi="Arial"/>
          <w:sz w:val="18"/>
          <w:szCs w:val="18"/>
          <w:b w:val="1"/>
          <w:bCs w:val="1"/>
          <w:color w:val="auto"/>
        </w:rPr>
        <w:t>Borrowers</w:t>
      </w:r>
      <w:r>
        <w:rPr>
          <w:rFonts w:ascii="Arial" w:cs="Arial" w:eastAsia="Arial" w:hAnsi="Arial"/>
          <w:sz w:val="18"/>
          <w:szCs w:val="18"/>
          <w:color w:val="auto"/>
        </w:rPr>
        <w:t>”), and</w:t>
      </w:r>
      <w:r>
        <w:rPr>
          <w:rFonts w:ascii="Arial" w:cs="Arial" w:eastAsia="Arial" w:hAnsi="Arial"/>
          <w:sz w:val="18"/>
          <w:szCs w:val="18"/>
          <w:b w:val="1"/>
          <w:bCs w:val="1"/>
          <w:color w:val="auto"/>
        </w:rPr>
        <w:t xml:space="preserve"> Silicon Valley Bank </w:t>
      </w: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terms used herein without definition shall have the same meanings given them in the Loan Agreement (as defined below).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jc w:val="both"/>
        <w:ind w:right="20" w:firstLine="656"/>
        <w:spacing w:after="0" w:line="278" w:lineRule="auto"/>
        <w:tabs>
          <w:tab w:leader="none" w:pos="1471" w:val="left"/>
        </w:tabs>
        <w:numPr>
          <w:ilvl w:val="0"/>
          <w:numId w:val="9"/>
        </w:numPr>
        <w:rPr>
          <w:rFonts w:ascii="Arial" w:cs="Arial" w:eastAsia="Arial" w:hAnsi="Arial"/>
          <w:sz w:val="18"/>
          <w:szCs w:val="18"/>
          <w:color w:val="auto"/>
        </w:rPr>
      </w:pPr>
      <w:r>
        <w:rPr>
          <w:rFonts w:ascii="Arial" w:cs="Arial" w:eastAsia="Arial" w:hAnsi="Arial"/>
          <w:sz w:val="20"/>
          <w:szCs w:val="20"/>
          <w:color w:val="auto"/>
        </w:rPr>
        <w:t>Borrowers and Bank have entered into that certain Loan and Security Agreement dated as of September 30, 2010 (as amended, restated, modified and/or supplemented from time to time, the “</w:t>
      </w:r>
      <w:r>
        <w:rPr>
          <w:rFonts w:ascii="Arial" w:cs="Arial" w:eastAsia="Arial" w:hAnsi="Arial"/>
          <w:sz w:val="20"/>
          <w:szCs w:val="20"/>
          <w:b w:val="1"/>
          <w:bCs w:val="1"/>
          <w:color w:val="auto"/>
        </w:rPr>
        <w:t>Loan Agreement</w:t>
      </w:r>
      <w:r>
        <w:rPr>
          <w:rFonts w:ascii="Arial" w:cs="Arial" w:eastAsia="Arial" w:hAnsi="Arial"/>
          <w:sz w:val="20"/>
          <w:szCs w:val="20"/>
          <w:color w:val="auto"/>
        </w:rPr>
        <w:t>”), pursuant to which Bank agreed to extend and make available to Borrowers certain advances of money.</w:t>
      </w:r>
    </w:p>
    <w:p>
      <w:pPr>
        <w:spacing w:after="0" w:line="200" w:lineRule="exact"/>
        <w:rPr>
          <w:rFonts w:ascii="Arial" w:cs="Arial" w:eastAsia="Arial" w:hAnsi="Arial"/>
          <w:sz w:val="18"/>
          <w:szCs w:val="18"/>
          <w:color w:val="auto"/>
        </w:rPr>
      </w:pPr>
    </w:p>
    <w:p>
      <w:pPr>
        <w:ind w:firstLine="656"/>
        <w:spacing w:after="0" w:line="267" w:lineRule="auto"/>
        <w:tabs>
          <w:tab w:leader="none" w:pos="1462" w:val="left"/>
        </w:tabs>
        <w:numPr>
          <w:ilvl w:val="0"/>
          <w:numId w:val="9"/>
        </w:numPr>
        <w:rPr>
          <w:rFonts w:ascii="Arial" w:cs="Arial" w:eastAsia="Arial" w:hAnsi="Arial"/>
          <w:sz w:val="18"/>
          <w:szCs w:val="18"/>
          <w:color w:val="auto"/>
        </w:rPr>
      </w:pPr>
      <w:r>
        <w:rPr>
          <w:rFonts w:ascii="Arial" w:cs="Arial" w:eastAsia="Arial" w:hAnsi="Arial"/>
          <w:sz w:val="20"/>
          <w:szCs w:val="20"/>
          <w:color w:val="auto"/>
        </w:rPr>
        <w:t>Subject to the representations and warranties of each Borrower herein and upon the terms and conditions set forth in this Amendment, Bank is willing to amend the Loan Agreement as set forth herein.</w:t>
      </w:r>
    </w:p>
    <w:p>
      <w:pPr>
        <w:spacing w:after="0" w:line="1" w:lineRule="exact"/>
        <w:rPr>
          <w:rFonts w:ascii="Arial" w:cs="Arial" w:eastAsia="Arial" w:hAnsi="Arial"/>
          <w:sz w:val="18"/>
          <w:szCs w:val="18"/>
          <w:color w:val="auto"/>
        </w:rPr>
      </w:pPr>
    </w:p>
    <w:p>
      <w:pPr>
        <w:spacing w:after="0"/>
        <w:tabs>
          <w:tab w:leader="none" w:pos="0" w:val="left"/>
        </w:tabs>
        <w:numPr>
          <w:ilvl w:val="0"/>
          <w:numId w:val="9"/>
        </w:numPr>
        <w:rPr>
          <w:rFonts w:ascii="Arial" w:cs="Arial" w:eastAsia="Arial" w:hAnsi="Arial"/>
          <w:sz w:val="20"/>
          <w:szCs w:val="20"/>
          <w:color w:val="auto"/>
        </w:rPr>
      </w:pP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Recitals and intending to be legally bound, the parties hereto agree as follows:</w:t>
      </w:r>
    </w:p>
    <w:p>
      <w:pPr>
        <w:spacing w:after="0" w:line="252" w:lineRule="exact"/>
        <w:rPr>
          <w:sz w:val="20"/>
          <w:szCs w:val="20"/>
          <w:color w:val="auto"/>
        </w:rPr>
      </w:pPr>
    </w:p>
    <w:p>
      <w:pPr>
        <w:ind w:left="1440" w:hanging="784"/>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20"/>
          <w:szCs w:val="20"/>
          <w:b w:val="1"/>
          <w:bCs w:val="1"/>
          <w:color w:val="auto"/>
        </w:rPr>
        <w:t>Amendment to Loan Agreement</w:t>
      </w:r>
      <w:r>
        <w:rPr>
          <w:rFonts w:ascii="Arial" w:cs="Arial" w:eastAsia="Arial" w:hAnsi="Arial"/>
          <w:sz w:val="20"/>
          <w:szCs w:val="20"/>
          <w:color w:val="auto"/>
        </w:rPr>
        <w:t>.</w:t>
      </w:r>
    </w:p>
    <w:p>
      <w:pPr>
        <w:spacing w:after="0" w:line="256" w:lineRule="exact"/>
        <w:rPr>
          <w:sz w:val="20"/>
          <w:szCs w:val="20"/>
          <w:color w:val="auto"/>
        </w:rPr>
      </w:pPr>
    </w:p>
    <w:p>
      <w:pPr>
        <w:ind w:left="1300"/>
        <w:spacing w:after="0"/>
        <w:tabs>
          <w:tab w:leader="none" w:pos="21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Section 6.7 (Financial Covenants)</w:t>
      </w:r>
      <w:r>
        <w:rPr>
          <w:rFonts w:ascii="Arial" w:cs="Arial" w:eastAsia="Arial" w:hAnsi="Arial"/>
          <w:sz w:val="16"/>
          <w:szCs w:val="16"/>
          <w:color w:val="auto"/>
        </w:rPr>
        <w:t>. Section 6.7(b) is amended and restated in its entirety as follows:</w:t>
      </w:r>
    </w:p>
    <w:p>
      <w:pPr>
        <w:spacing w:after="0" w:line="49" w:lineRule="exact"/>
        <w:rPr>
          <w:sz w:val="20"/>
          <w:szCs w:val="20"/>
          <w:color w:val="auto"/>
        </w:rPr>
      </w:pPr>
    </w:p>
    <w:p>
      <w:pPr>
        <w:ind w:left="1760" w:hanging="455"/>
        <w:spacing w:after="0"/>
        <w:tabs>
          <w:tab w:leader="none" w:pos="17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EBITDA</w:t>
      </w:r>
      <w:r>
        <w:rPr>
          <w:rFonts w:ascii="Arial" w:cs="Arial" w:eastAsia="Arial" w:hAnsi="Arial"/>
          <w:sz w:val="18"/>
          <w:szCs w:val="18"/>
          <w:color w:val="auto"/>
        </w:rPr>
        <w:t>. Maintain, measured as of the end of each fiscal quarter during the following periods, EBITDA of at least the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following:</w:t>
      </w:r>
    </w:p>
    <w:p>
      <w:pPr>
        <w:spacing w:after="0" w:line="356" w:lineRule="exact"/>
        <w:rPr>
          <w:sz w:val="20"/>
          <w:szCs w:val="20"/>
          <w:color w:val="auto"/>
        </w:rPr>
      </w:pPr>
    </w:p>
    <w:tbl>
      <w:tblPr>
        <w:tblLayout w:type="fixed"/>
        <w:tblInd w:w="1200" w:type="dxa"/>
        <w:tblCellMar>
          <w:top w:w="0" w:type="dxa"/>
          <w:left w:w="0" w:type="dxa"/>
          <w:bottom w:w="0" w:type="dxa"/>
          <w:right w:w="0" w:type="dxa"/>
        </w:tblCellMar>
      </w:tblPr>
      <w:tr>
        <w:trPr>
          <w:trHeight w:val="256"/>
        </w:trPr>
        <w:tc>
          <w:tcPr>
            <w:tcW w:w="5360" w:type="dxa"/>
            <w:vAlign w:val="bottom"/>
          </w:tcPr>
          <w:p>
            <w:pPr>
              <w:ind w:left="2060"/>
              <w:spacing w:after="0"/>
              <w:rPr>
                <w:sz w:val="20"/>
                <w:szCs w:val="20"/>
                <w:color w:val="auto"/>
              </w:rPr>
            </w:pPr>
            <w:r>
              <w:rPr>
                <w:rFonts w:ascii="Arial" w:cs="Arial" w:eastAsia="Arial" w:hAnsi="Arial"/>
                <w:sz w:val="20"/>
                <w:szCs w:val="20"/>
                <w:b w:val="1"/>
                <w:bCs w:val="1"/>
                <w:color w:val="auto"/>
              </w:rPr>
              <w:t>Period</w:t>
            </w:r>
          </w:p>
        </w:tc>
        <w:tc>
          <w:tcPr>
            <w:tcW w:w="2340" w:type="dxa"/>
            <w:vAlign w:val="bottom"/>
          </w:tcPr>
          <w:p>
            <w:pPr>
              <w:ind w:left="680"/>
              <w:spacing w:after="0"/>
              <w:rPr>
                <w:sz w:val="20"/>
                <w:szCs w:val="20"/>
                <w:color w:val="auto"/>
              </w:rPr>
            </w:pPr>
            <w:r>
              <w:rPr>
                <w:rFonts w:ascii="Arial" w:cs="Arial" w:eastAsia="Arial" w:hAnsi="Arial"/>
                <w:sz w:val="20"/>
                <w:szCs w:val="20"/>
                <w:b w:val="1"/>
                <w:bCs w:val="1"/>
                <w:color w:val="auto"/>
                <w:w w:val="97"/>
              </w:rPr>
              <w:t>Minimum EBITDA</w:t>
            </w:r>
          </w:p>
        </w:tc>
      </w:tr>
      <w:tr>
        <w:trPr>
          <w:trHeight w:val="284"/>
        </w:trPr>
        <w:tc>
          <w:tcPr>
            <w:tcW w:w="5360" w:type="dxa"/>
            <w:vAlign w:val="bottom"/>
          </w:tcPr>
          <w:p>
            <w:pPr>
              <w:spacing w:after="0"/>
              <w:rPr>
                <w:sz w:val="20"/>
                <w:szCs w:val="20"/>
                <w:color w:val="auto"/>
              </w:rPr>
            </w:pPr>
            <w:r>
              <w:rPr>
                <w:rFonts w:ascii="Arial" w:cs="Arial" w:eastAsia="Arial" w:hAnsi="Arial"/>
                <w:sz w:val="20"/>
                <w:szCs w:val="20"/>
                <w:color w:val="auto"/>
              </w:rPr>
              <w:t>Fiscal quarter ending September 28, 2012</w:t>
            </w:r>
          </w:p>
        </w:tc>
        <w:tc>
          <w:tcPr>
            <w:tcW w:w="2340" w:type="dxa"/>
            <w:vAlign w:val="bottom"/>
          </w:tcPr>
          <w:p>
            <w:pPr>
              <w:jc w:val="center"/>
              <w:ind w:left="581"/>
              <w:spacing w:after="0"/>
              <w:rPr>
                <w:sz w:val="20"/>
                <w:szCs w:val="20"/>
                <w:color w:val="auto"/>
              </w:rPr>
            </w:pPr>
            <w:r>
              <w:rPr>
                <w:rFonts w:ascii="Arial" w:cs="Arial" w:eastAsia="Arial" w:hAnsi="Arial"/>
                <w:sz w:val="20"/>
                <w:szCs w:val="20"/>
                <w:color w:val="auto"/>
                <w:w w:val="89"/>
              </w:rPr>
              <w:t>$(3,100,000)</w:t>
            </w:r>
          </w:p>
        </w:tc>
      </w:tr>
      <w:tr>
        <w:trPr>
          <w:trHeight w:val="284"/>
        </w:trPr>
        <w:tc>
          <w:tcPr>
            <w:tcW w:w="5360" w:type="dxa"/>
            <w:vAlign w:val="bottom"/>
          </w:tcPr>
          <w:p>
            <w:pPr>
              <w:spacing w:after="0"/>
              <w:rPr>
                <w:sz w:val="20"/>
                <w:szCs w:val="20"/>
                <w:color w:val="auto"/>
              </w:rPr>
            </w:pPr>
            <w:r>
              <w:rPr>
                <w:rFonts w:ascii="Arial" w:cs="Arial" w:eastAsia="Arial" w:hAnsi="Arial"/>
                <w:sz w:val="20"/>
                <w:szCs w:val="20"/>
                <w:color w:val="auto"/>
              </w:rPr>
              <w:t>Fiscal quarter ending December 28, 2012</w:t>
            </w:r>
          </w:p>
        </w:tc>
        <w:tc>
          <w:tcPr>
            <w:tcW w:w="2340" w:type="dxa"/>
            <w:vAlign w:val="bottom"/>
          </w:tcPr>
          <w:p>
            <w:pPr>
              <w:jc w:val="center"/>
              <w:ind w:left="581"/>
              <w:spacing w:after="0"/>
              <w:rPr>
                <w:sz w:val="20"/>
                <w:szCs w:val="20"/>
                <w:color w:val="auto"/>
              </w:rPr>
            </w:pPr>
            <w:r>
              <w:rPr>
                <w:rFonts w:ascii="Arial" w:cs="Arial" w:eastAsia="Arial" w:hAnsi="Arial"/>
                <w:sz w:val="20"/>
                <w:szCs w:val="20"/>
                <w:color w:val="auto"/>
                <w:w w:val="89"/>
              </w:rPr>
              <w:t>$(2,000,000)</w:t>
            </w:r>
          </w:p>
        </w:tc>
      </w:tr>
      <w:tr>
        <w:trPr>
          <w:trHeight w:val="284"/>
        </w:trPr>
        <w:tc>
          <w:tcPr>
            <w:tcW w:w="5360" w:type="dxa"/>
            <w:vAlign w:val="bottom"/>
          </w:tcPr>
          <w:p>
            <w:pPr>
              <w:spacing w:after="0"/>
              <w:rPr>
                <w:sz w:val="20"/>
                <w:szCs w:val="20"/>
                <w:color w:val="auto"/>
              </w:rPr>
            </w:pPr>
            <w:r>
              <w:rPr>
                <w:rFonts w:ascii="Arial" w:cs="Arial" w:eastAsia="Arial" w:hAnsi="Arial"/>
                <w:sz w:val="20"/>
                <w:szCs w:val="20"/>
                <w:color w:val="auto"/>
              </w:rPr>
              <w:t>Fiscal quarter ending March 29, 2013</w:t>
            </w:r>
          </w:p>
        </w:tc>
        <w:tc>
          <w:tcPr>
            <w:tcW w:w="2340" w:type="dxa"/>
            <w:vAlign w:val="bottom"/>
          </w:tcPr>
          <w:p>
            <w:pPr>
              <w:jc w:val="center"/>
              <w:ind w:left="581"/>
              <w:spacing w:after="0"/>
              <w:rPr>
                <w:sz w:val="20"/>
                <w:szCs w:val="20"/>
                <w:color w:val="auto"/>
              </w:rPr>
            </w:pPr>
            <w:r>
              <w:rPr>
                <w:rFonts w:ascii="Arial" w:cs="Arial" w:eastAsia="Arial" w:hAnsi="Arial"/>
                <w:sz w:val="20"/>
                <w:szCs w:val="20"/>
                <w:color w:val="auto"/>
                <w:w w:val="96"/>
              </w:rPr>
              <w:t>$—</w:t>
            </w:r>
          </w:p>
        </w:tc>
      </w:tr>
      <w:tr>
        <w:trPr>
          <w:trHeight w:val="263"/>
        </w:trPr>
        <w:tc>
          <w:tcPr>
            <w:tcW w:w="5360" w:type="dxa"/>
            <w:vAlign w:val="bottom"/>
          </w:tcPr>
          <w:p>
            <w:pPr>
              <w:spacing w:after="0"/>
              <w:rPr>
                <w:sz w:val="20"/>
                <w:szCs w:val="20"/>
                <w:color w:val="auto"/>
              </w:rPr>
            </w:pPr>
            <w:r>
              <w:rPr>
                <w:rFonts w:ascii="Arial" w:cs="Arial" w:eastAsia="Arial" w:hAnsi="Arial"/>
                <w:sz w:val="20"/>
                <w:szCs w:val="20"/>
                <w:color w:val="auto"/>
              </w:rPr>
              <w:t>Fiscal quarter ending June 28, 2013 through fiscal quarter</w:t>
            </w:r>
          </w:p>
        </w:tc>
        <w:tc>
          <w:tcPr>
            <w:tcW w:w="2340" w:type="dxa"/>
            <w:vAlign w:val="bottom"/>
          </w:tcPr>
          <w:p>
            <w:pPr>
              <w:spacing w:after="0"/>
              <w:rPr>
                <w:sz w:val="22"/>
                <w:szCs w:val="22"/>
                <w:color w:val="auto"/>
              </w:rPr>
            </w:pPr>
          </w:p>
        </w:tc>
      </w:tr>
      <w:tr>
        <w:trPr>
          <w:trHeight w:val="250"/>
        </w:trPr>
        <w:tc>
          <w:tcPr>
            <w:tcW w:w="5360" w:type="dxa"/>
            <w:vAlign w:val="bottom"/>
          </w:tcPr>
          <w:p>
            <w:pPr>
              <w:spacing w:after="0"/>
              <w:rPr>
                <w:sz w:val="20"/>
                <w:szCs w:val="20"/>
                <w:color w:val="auto"/>
              </w:rPr>
            </w:pPr>
            <w:r>
              <w:rPr>
                <w:rFonts w:ascii="Arial" w:cs="Arial" w:eastAsia="Arial" w:hAnsi="Arial"/>
                <w:sz w:val="20"/>
                <w:szCs w:val="20"/>
                <w:color w:val="auto"/>
              </w:rPr>
              <w:t>ending December 27, 2013</w:t>
            </w:r>
          </w:p>
        </w:tc>
        <w:tc>
          <w:tcPr>
            <w:tcW w:w="2340" w:type="dxa"/>
            <w:vAlign w:val="bottom"/>
          </w:tcPr>
          <w:p>
            <w:pPr>
              <w:jc w:val="center"/>
              <w:ind w:left="601"/>
              <w:spacing w:after="0"/>
              <w:rPr>
                <w:sz w:val="20"/>
                <w:szCs w:val="20"/>
                <w:color w:val="auto"/>
              </w:rPr>
            </w:pPr>
            <w:r>
              <w:rPr>
                <w:rFonts w:ascii="Arial" w:cs="Arial" w:eastAsia="Arial" w:hAnsi="Arial"/>
                <w:sz w:val="20"/>
                <w:szCs w:val="20"/>
                <w:color w:val="auto"/>
                <w:w w:val="87"/>
              </w:rPr>
              <w:t>$1,000,000</w:t>
            </w:r>
          </w:p>
        </w:tc>
      </w:tr>
    </w:tbl>
    <w:p>
      <w:pPr>
        <w:spacing w:after="0" w:line="230" w:lineRule="exact"/>
        <w:rPr>
          <w:sz w:val="20"/>
          <w:szCs w:val="20"/>
          <w:color w:val="auto"/>
        </w:rPr>
      </w:pPr>
    </w:p>
    <w:p>
      <w:pPr>
        <w:ind w:right="20" w:firstLine="1297"/>
        <w:spacing w:after="0" w:line="323"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9"/>
          <w:szCs w:val="19"/>
          <w:b w:val="1"/>
          <w:bCs w:val="1"/>
          <w:color w:val="auto"/>
        </w:rPr>
        <w:t>Exhibit D to Loan Agreement (Form of Compliance Certificate)</w:t>
      </w:r>
      <w:r>
        <w:rPr>
          <w:rFonts w:ascii="Arial" w:cs="Arial" w:eastAsia="Arial" w:hAnsi="Arial"/>
          <w:sz w:val="19"/>
          <w:szCs w:val="19"/>
          <w:color w:val="auto"/>
        </w:rPr>
        <w:t>. Exhibit D to the Loan Agreement is hereby</w:t>
      </w:r>
      <w:r>
        <w:rPr>
          <w:rFonts w:ascii="Arial" w:cs="Arial" w:eastAsia="Arial" w:hAnsi="Arial"/>
          <w:sz w:val="18"/>
          <w:szCs w:val="18"/>
          <w:color w:val="auto"/>
        </w:rPr>
        <w:t xml:space="preserve"> </w:t>
      </w:r>
      <w:r>
        <w:rPr>
          <w:rFonts w:ascii="Arial" w:cs="Arial" w:eastAsia="Arial" w:hAnsi="Arial"/>
          <w:sz w:val="19"/>
          <w:szCs w:val="19"/>
          <w:color w:val="auto"/>
        </w:rPr>
        <w:t xml:space="preserve">amended in its entirety by deleting it and replacing it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to this Amendment.</w:t>
      </w:r>
    </w:p>
    <w:p>
      <w:pPr>
        <w:spacing w:after="0" w:line="155" w:lineRule="exact"/>
        <w:rPr>
          <w:sz w:val="20"/>
          <w:szCs w:val="20"/>
          <w:color w:val="auto"/>
        </w:rPr>
      </w:pPr>
    </w:p>
    <w:p>
      <w:pPr>
        <w:ind w:left="1440" w:hanging="784"/>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20"/>
          <w:szCs w:val="20"/>
          <w:b w:val="1"/>
          <w:bCs w:val="1"/>
          <w:color w:val="auto"/>
        </w:rPr>
        <w:t>Borrowers' Representations And Warranties</w:t>
      </w:r>
      <w:r>
        <w:rPr>
          <w:rFonts w:ascii="Arial" w:cs="Arial" w:eastAsia="Arial" w:hAnsi="Arial"/>
          <w:sz w:val="20"/>
          <w:szCs w:val="20"/>
          <w:color w:val="auto"/>
        </w:rPr>
        <w:t>. Each Borrower hereby represents and warrants that:</w:t>
      </w:r>
    </w:p>
    <w:p>
      <w:pPr>
        <w:spacing w:after="0" w:line="262" w:lineRule="exact"/>
        <w:rPr>
          <w:rFonts w:ascii="Arial" w:cs="Arial" w:eastAsia="Arial" w:hAnsi="Arial"/>
          <w:sz w:val="18"/>
          <w:szCs w:val="18"/>
          <w:color w:val="auto"/>
        </w:rPr>
      </w:pPr>
    </w:p>
    <w:p>
      <w:pPr>
        <w:ind w:right="20" w:firstLine="1953"/>
        <w:spacing w:after="0" w:line="289" w:lineRule="auto"/>
        <w:tabs>
          <w:tab w:leader="none" w:pos="2793" w:val="left"/>
        </w:tabs>
        <w:numPr>
          <w:ilvl w:val="1"/>
          <w:numId w:val="12"/>
        </w:numPr>
        <w:rPr>
          <w:rFonts w:ascii="Arial" w:cs="Arial" w:eastAsia="Arial" w:hAnsi="Arial"/>
          <w:sz w:val="18"/>
          <w:szCs w:val="18"/>
          <w:color w:val="auto"/>
        </w:rPr>
      </w:pPr>
      <w:r>
        <w:rPr>
          <w:rFonts w:ascii="Arial" w:cs="Arial" w:eastAsia="Arial" w:hAnsi="Arial"/>
          <w:sz w:val="20"/>
          <w:szCs w:val="20"/>
          <w:color w:val="auto"/>
        </w:rPr>
        <w:t>immediately upon giving effect to this Amendment (i) the representations and warranties contained in the Loan Documents are true, accurate and complete in all material respects as of the date</w:t>
      </w:r>
    </w:p>
    <w:p>
      <w:pPr>
        <w:sectPr>
          <w:pgSz w:w="11900" w:h="16838" w:orient="portrait"/>
          <w:cols w:equalWidth="0" w:num="1">
            <w:col w:w="11420"/>
          </w:cols>
          <w:pgMar w:left="240" w:top="796" w:right="239" w:bottom="1440" w:gutter="0" w:footer="0" w:header="0"/>
        </w:sectPr>
      </w:pPr>
    </w:p>
    <w:bookmarkStart w:id="32" w:name="page33"/>
    <w:bookmarkEnd w:id="32"/>
    <w:p>
      <w:pPr>
        <w:spacing w:after="0" w:line="267" w:lineRule="auto"/>
        <w:rPr>
          <w:sz w:val="20"/>
          <w:szCs w:val="20"/>
          <w:color w:val="auto"/>
        </w:rPr>
      </w:pPr>
      <w:r>
        <w:rPr>
          <w:rFonts w:ascii="Arial" w:cs="Arial" w:eastAsia="Arial" w:hAnsi="Arial"/>
          <w:sz w:val="20"/>
          <w:szCs w:val="20"/>
          <w:color w:val="auto"/>
        </w:rPr>
        <w:t>hereof (except to the extent such representations and warranties relate to an earlier date, in which case they are true and correct as of such date), and (ii) no Event of Default has occurred and is continuing;</w:t>
      </w:r>
    </w:p>
    <w:p>
      <w:pPr>
        <w:spacing w:after="0" w:line="1" w:lineRule="exact"/>
        <w:rPr>
          <w:sz w:val="20"/>
          <w:szCs w:val="20"/>
          <w:color w:val="auto"/>
        </w:rPr>
      </w:pPr>
    </w:p>
    <w:p>
      <w:pPr>
        <w:ind w:right="20" w:firstLine="1953"/>
        <w:spacing w:after="0" w:line="289" w:lineRule="auto"/>
        <w:tabs>
          <w:tab w:leader="none" w:pos="2803" w:val="left"/>
        </w:tabs>
        <w:numPr>
          <w:ilvl w:val="1"/>
          <w:numId w:val="13"/>
        </w:numPr>
        <w:rPr>
          <w:rFonts w:ascii="Arial" w:cs="Arial" w:eastAsia="Arial" w:hAnsi="Arial"/>
          <w:sz w:val="18"/>
          <w:szCs w:val="18"/>
          <w:color w:val="auto"/>
        </w:rPr>
      </w:pPr>
      <w:r>
        <w:rPr>
          <w:rFonts w:ascii="Arial" w:cs="Arial" w:eastAsia="Arial" w:hAnsi="Arial"/>
          <w:sz w:val="20"/>
          <w:szCs w:val="20"/>
          <w:color w:val="auto"/>
        </w:rPr>
        <w:t>such Borrower has the corporate power and authority to execute and deliver this Amendment and to perform its obligations under the Loan Agreement, as amended by this Amendment;</w:t>
      </w:r>
    </w:p>
    <w:p>
      <w:pPr>
        <w:spacing w:after="0" w:line="188" w:lineRule="exact"/>
        <w:rPr>
          <w:rFonts w:ascii="Arial" w:cs="Arial" w:eastAsia="Arial" w:hAnsi="Arial"/>
          <w:sz w:val="18"/>
          <w:szCs w:val="18"/>
          <w:color w:val="auto"/>
        </w:rPr>
      </w:pPr>
    </w:p>
    <w:p>
      <w:pPr>
        <w:jc w:val="both"/>
        <w:ind w:firstLine="1953"/>
        <w:spacing w:after="0" w:line="278" w:lineRule="auto"/>
        <w:tabs>
          <w:tab w:leader="none" w:pos="2793" w:val="left"/>
        </w:tabs>
        <w:numPr>
          <w:ilvl w:val="1"/>
          <w:numId w:val="13"/>
        </w:numPr>
        <w:rPr>
          <w:rFonts w:ascii="Arial" w:cs="Arial" w:eastAsia="Arial" w:hAnsi="Arial"/>
          <w:sz w:val="18"/>
          <w:szCs w:val="18"/>
          <w:color w:val="auto"/>
        </w:rPr>
      </w:pPr>
      <w:r>
        <w:rPr>
          <w:rFonts w:ascii="Arial" w:cs="Arial" w:eastAsia="Arial" w:hAnsi="Arial"/>
          <w:sz w:val="20"/>
          <w:szCs w:val="20"/>
          <w:color w:val="auto"/>
        </w:rPr>
        <w:t>the certificate of incorporation, bylaws and other organizational documents of such Borrower delivered to Bank in connection with the Loan Agreement remain true, accurate and complete and have not been amended, supplemented or restated and are and continue to be in full force and effect;</w:t>
      </w:r>
    </w:p>
    <w:p>
      <w:pPr>
        <w:spacing w:after="0" w:line="200" w:lineRule="exact"/>
        <w:rPr>
          <w:rFonts w:ascii="Arial" w:cs="Arial" w:eastAsia="Arial" w:hAnsi="Arial"/>
          <w:sz w:val="18"/>
          <w:szCs w:val="18"/>
          <w:color w:val="auto"/>
        </w:rPr>
      </w:pPr>
    </w:p>
    <w:p>
      <w:pPr>
        <w:jc w:val="both"/>
        <w:ind w:firstLine="1953"/>
        <w:spacing w:after="0" w:line="278" w:lineRule="auto"/>
        <w:tabs>
          <w:tab w:leader="none" w:pos="2803" w:val="left"/>
        </w:tabs>
        <w:numPr>
          <w:ilvl w:val="1"/>
          <w:numId w:val="13"/>
        </w:numPr>
        <w:rPr>
          <w:rFonts w:ascii="Arial" w:cs="Arial" w:eastAsia="Arial" w:hAnsi="Arial"/>
          <w:sz w:val="18"/>
          <w:szCs w:val="18"/>
          <w:color w:val="auto"/>
        </w:rPr>
      </w:pPr>
      <w:r>
        <w:rPr>
          <w:rFonts w:ascii="Arial" w:cs="Arial" w:eastAsia="Arial" w:hAnsi="Arial"/>
          <w:sz w:val="20"/>
          <w:szCs w:val="20"/>
          <w:color w:val="auto"/>
        </w:rPr>
        <w:t>the execution and delivery by such Borrower of this Amendment and the performance by such Borrower of its obligations under the Loan Agreement, as amended by this Amendment, have been duly authorized by all necessary corporate action on the part of such Borrower; and</w:t>
      </w:r>
    </w:p>
    <w:p>
      <w:pPr>
        <w:spacing w:after="0" w:line="200" w:lineRule="exact"/>
        <w:rPr>
          <w:rFonts w:ascii="Arial" w:cs="Arial" w:eastAsia="Arial" w:hAnsi="Arial"/>
          <w:sz w:val="18"/>
          <w:szCs w:val="18"/>
          <w:color w:val="auto"/>
        </w:rPr>
      </w:pPr>
    </w:p>
    <w:p>
      <w:pPr>
        <w:jc w:val="both"/>
        <w:ind w:firstLine="1953"/>
        <w:spacing w:after="0" w:line="274" w:lineRule="auto"/>
        <w:tabs>
          <w:tab w:leader="none" w:pos="2793" w:val="left"/>
        </w:tabs>
        <w:numPr>
          <w:ilvl w:val="1"/>
          <w:numId w:val="13"/>
        </w:numPr>
        <w:rPr>
          <w:rFonts w:ascii="Arial" w:cs="Arial" w:eastAsia="Arial" w:hAnsi="Arial"/>
          <w:sz w:val="18"/>
          <w:szCs w:val="18"/>
          <w:color w:val="auto"/>
        </w:rPr>
      </w:pPr>
      <w:r>
        <w:rPr>
          <w:rFonts w:ascii="Arial" w:cs="Arial" w:eastAsia="Arial" w:hAnsi="Arial"/>
          <w:sz w:val="20"/>
          <w:szCs w:val="20"/>
          <w:color w:val="auto"/>
        </w:rPr>
        <w:t>this Amendment has been duly executed and delivered by such Borrower and is the binding obligation of such Borrower, enforceable against it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99" w:lineRule="exact"/>
        <w:rPr>
          <w:rFonts w:ascii="Arial" w:cs="Arial" w:eastAsia="Arial" w:hAnsi="Arial"/>
          <w:sz w:val="18"/>
          <w:szCs w:val="18"/>
          <w:color w:val="auto"/>
        </w:rPr>
      </w:pPr>
    </w:p>
    <w:p>
      <w:pPr>
        <w:jc w:val="both"/>
        <w:ind w:firstLine="656"/>
        <w:spacing w:after="0" w:line="290" w:lineRule="auto"/>
        <w:tabs>
          <w:tab w:leader="none" w:pos="1431" w:val="left"/>
        </w:tabs>
        <w:numPr>
          <w:ilvl w:val="0"/>
          <w:numId w:val="14"/>
        </w:numPr>
        <w:rPr>
          <w:rFonts w:ascii="Arial" w:cs="Arial" w:eastAsia="Arial" w:hAnsi="Arial"/>
          <w:sz w:val="17"/>
          <w:szCs w:val="17"/>
          <w:color w:val="auto"/>
        </w:rPr>
      </w:pPr>
      <w:r>
        <w:rPr>
          <w:rFonts w:ascii="Arial" w:cs="Arial" w:eastAsia="Arial" w:hAnsi="Arial"/>
          <w:sz w:val="19"/>
          <w:szCs w:val="19"/>
          <w:b w:val="1"/>
          <w:bCs w:val="1"/>
          <w:color w:val="auto"/>
        </w:rPr>
        <w:t>Limitation</w:t>
      </w:r>
      <w:r>
        <w:rPr>
          <w:rFonts w:ascii="Arial" w:cs="Arial" w:eastAsia="Arial" w:hAnsi="Arial"/>
          <w:sz w:val="19"/>
          <w:szCs w:val="19"/>
          <w:color w:val="auto"/>
        </w:rPr>
        <w:t>. The amendment set forth in this Amendment shall be limited precisely as written and shall not be deemed (a) to</w:t>
      </w:r>
      <w:r>
        <w:rPr>
          <w:rFonts w:ascii="Arial" w:cs="Arial" w:eastAsia="Arial" w:hAnsi="Arial"/>
          <w:sz w:val="19"/>
          <w:szCs w:val="19"/>
          <w:b w:val="1"/>
          <w:bCs w:val="1"/>
          <w:color w:val="auto"/>
        </w:rPr>
        <w:t xml:space="preserve"> </w:t>
      </w:r>
      <w:r>
        <w:rPr>
          <w:rFonts w:ascii="Arial" w:cs="Arial" w:eastAsia="Arial" w:hAnsi="Arial"/>
          <w:sz w:val="19"/>
          <w:szCs w:val="19"/>
          <w:color w:val="auto"/>
        </w:rPr>
        <w:t>be a waiver or modification of any other term or condition of the Loan Agreement or of any other instrument or agreement referred to therein or to prejudice any right or remedy which Bank may now have or may have in the future under or in connection with the Loan Agreement or any instrument or agreement referred to therein; or (b) to be a consent to any future amendment or modification or waiver to any instrument or agreement the execution and delivery of which is consented to hereby, or to any waiver of any of the provisions thereof. Except as expressly amended hereby, the Loan Agreement shall continue in full force and effect.</w:t>
      </w:r>
    </w:p>
    <w:p>
      <w:pPr>
        <w:spacing w:after="0" w:line="198" w:lineRule="exact"/>
        <w:rPr>
          <w:rFonts w:ascii="Arial" w:cs="Arial" w:eastAsia="Arial" w:hAnsi="Arial"/>
          <w:sz w:val="17"/>
          <w:szCs w:val="17"/>
          <w:color w:val="auto"/>
        </w:rPr>
      </w:pPr>
    </w:p>
    <w:p>
      <w:pPr>
        <w:ind w:left="1440" w:hanging="784"/>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20"/>
          <w:szCs w:val="20"/>
          <w:b w:val="1"/>
          <w:bCs w:val="1"/>
          <w:color w:val="auto"/>
        </w:rPr>
        <w:t>Effectiveness</w:t>
      </w:r>
      <w:r>
        <w:rPr>
          <w:rFonts w:ascii="Arial" w:cs="Arial" w:eastAsia="Arial" w:hAnsi="Arial"/>
          <w:sz w:val="20"/>
          <w:szCs w:val="20"/>
          <w:color w:val="auto"/>
        </w:rPr>
        <w:t>. This Amendment shall become effective as of the Fifth Amendment Effective Date.</w:t>
      </w:r>
    </w:p>
    <w:p>
      <w:pPr>
        <w:spacing w:after="0" w:line="256" w:lineRule="exact"/>
        <w:rPr>
          <w:rFonts w:ascii="Arial" w:cs="Arial" w:eastAsia="Arial" w:hAnsi="Arial"/>
          <w:sz w:val="18"/>
          <w:szCs w:val="18"/>
          <w:color w:val="auto"/>
        </w:rPr>
      </w:pPr>
    </w:p>
    <w:p>
      <w:pPr>
        <w:jc w:val="both"/>
        <w:ind w:firstLine="656"/>
        <w:spacing w:after="0" w:line="276" w:lineRule="auto"/>
        <w:tabs>
          <w:tab w:leader="none" w:pos="1431" w:val="left"/>
        </w:tabs>
        <w:numPr>
          <w:ilvl w:val="0"/>
          <w:numId w:val="14"/>
        </w:numPr>
        <w:rPr>
          <w:rFonts w:ascii="Arial" w:cs="Arial" w:eastAsia="Arial" w:hAnsi="Arial"/>
          <w:sz w:val="18"/>
          <w:szCs w:val="18"/>
          <w:color w:val="auto"/>
        </w:rPr>
      </w:pPr>
      <w:r>
        <w:rPr>
          <w:rFonts w:ascii="Arial" w:cs="Arial" w:eastAsia="Arial" w:hAnsi="Arial"/>
          <w:sz w:val="20"/>
          <w:szCs w:val="20"/>
          <w:b w:val="1"/>
          <w:bCs w:val="1"/>
          <w:color w:val="auto"/>
        </w:rPr>
        <w:t xml:space="preserve">Fees and Expenses. </w:t>
      </w:r>
      <w:r>
        <w:rPr>
          <w:rFonts w:ascii="Arial" w:cs="Arial" w:eastAsia="Arial" w:hAnsi="Arial"/>
          <w:sz w:val="20"/>
          <w:szCs w:val="20"/>
          <w:color w:val="auto"/>
        </w:rPr>
        <w:t>Borrowers agree to pay (a) Bank Expenses (including the fees and expenses of Bank's counsel, advisors</w:t>
      </w:r>
      <w:r>
        <w:rPr>
          <w:rFonts w:ascii="Arial" w:cs="Arial" w:eastAsia="Arial" w:hAnsi="Arial"/>
          <w:sz w:val="20"/>
          <w:szCs w:val="20"/>
          <w:b w:val="1"/>
          <w:bCs w:val="1"/>
          <w:color w:val="auto"/>
        </w:rPr>
        <w:t xml:space="preserve"> </w:t>
      </w:r>
      <w:r>
        <w:rPr>
          <w:rFonts w:ascii="Arial" w:cs="Arial" w:eastAsia="Arial" w:hAnsi="Arial"/>
          <w:sz w:val="20"/>
          <w:szCs w:val="20"/>
          <w:color w:val="auto"/>
        </w:rPr>
        <w:t>and consultants) accrued and incurred in connection with the transactions contemplated by this Amendment and all other Bank Expenses (including the fees and expenses of Bank's counsel, advisors and consultants) payable in accordance with the Loan Agreement; and (b) a variance fee in the amount of $2,500.</w:t>
      </w:r>
    </w:p>
    <w:p>
      <w:pPr>
        <w:spacing w:after="0" w:line="198" w:lineRule="exact"/>
        <w:rPr>
          <w:rFonts w:ascii="Arial" w:cs="Arial" w:eastAsia="Arial" w:hAnsi="Arial"/>
          <w:sz w:val="18"/>
          <w:szCs w:val="18"/>
          <w:color w:val="auto"/>
        </w:rPr>
      </w:pPr>
    </w:p>
    <w:p>
      <w:pPr>
        <w:jc w:val="both"/>
        <w:ind w:right="20" w:firstLine="656"/>
        <w:spacing w:after="0" w:line="281" w:lineRule="auto"/>
        <w:tabs>
          <w:tab w:leader="none" w:pos="1431" w:val="left"/>
        </w:tabs>
        <w:numPr>
          <w:ilvl w:val="0"/>
          <w:numId w:val="14"/>
        </w:numPr>
        <w:rPr>
          <w:rFonts w:ascii="Arial" w:cs="Arial" w:eastAsia="Arial" w:hAnsi="Arial"/>
          <w:sz w:val="18"/>
          <w:szCs w:val="18"/>
          <w:color w:val="auto"/>
        </w:rPr>
      </w:pPr>
      <w:r>
        <w:rPr>
          <w:rFonts w:ascii="Arial" w:cs="Arial" w:eastAsia="Arial" w:hAnsi="Arial"/>
          <w:sz w:val="20"/>
          <w:szCs w:val="20"/>
          <w:b w:val="1"/>
          <w:bCs w:val="1"/>
          <w:color w:val="auto"/>
        </w:rPr>
        <w:t>Counterparts</w:t>
      </w:r>
      <w:r>
        <w:rPr>
          <w:rFonts w:ascii="Arial" w:cs="Arial" w:eastAsia="Arial" w:hAnsi="Arial"/>
          <w:sz w:val="20"/>
          <w:szCs w:val="20"/>
          <w:color w:val="auto"/>
        </w:rPr>
        <w:t>. This Amendment may be signed in any number of counterparts, and by different parties hereto in separate</w:t>
      </w:r>
      <w:r>
        <w:rPr>
          <w:rFonts w:ascii="Arial" w:cs="Arial" w:eastAsia="Arial" w:hAnsi="Arial"/>
          <w:sz w:val="20"/>
          <w:szCs w:val="20"/>
          <w:b w:val="1"/>
          <w:bCs w:val="1"/>
          <w:color w:val="auto"/>
        </w:rPr>
        <w:t xml:space="preserve"> </w:t>
      </w:r>
      <w:r>
        <w:rPr>
          <w:rFonts w:ascii="Arial" w:cs="Arial" w:eastAsia="Arial" w:hAnsi="Arial"/>
          <w:sz w:val="20"/>
          <w:szCs w:val="20"/>
          <w:color w:val="auto"/>
        </w:rPr>
        <w:t>counterparts, with the same effect as if the signatures to each such counterpart were upon a single instrument. All counterparts shall be deemed an original of this Amendment.</w:t>
      </w:r>
    </w:p>
    <w:p>
      <w:pPr>
        <w:spacing w:after="0" w:line="191" w:lineRule="exact"/>
        <w:rPr>
          <w:rFonts w:ascii="Arial" w:cs="Arial" w:eastAsia="Arial" w:hAnsi="Arial"/>
          <w:sz w:val="18"/>
          <w:szCs w:val="18"/>
          <w:color w:val="auto"/>
        </w:rPr>
      </w:pPr>
    </w:p>
    <w:p>
      <w:pPr>
        <w:jc w:val="both"/>
        <w:ind w:firstLine="656"/>
        <w:spacing w:after="0" w:line="274" w:lineRule="auto"/>
        <w:tabs>
          <w:tab w:leader="none" w:pos="1431" w:val="left"/>
        </w:tabs>
        <w:numPr>
          <w:ilvl w:val="0"/>
          <w:numId w:val="14"/>
        </w:numPr>
        <w:rPr>
          <w:rFonts w:ascii="Arial" w:cs="Arial" w:eastAsia="Arial" w:hAnsi="Arial"/>
          <w:sz w:val="18"/>
          <w:szCs w:val="18"/>
          <w:color w:val="auto"/>
        </w:rPr>
      </w:pPr>
      <w:r>
        <w:rPr>
          <w:rFonts w:ascii="Arial" w:cs="Arial" w:eastAsia="Arial" w:hAnsi="Arial"/>
          <w:sz w:val="20"/>
          <w:szCs w:val="20"/>
          <w:b w:val="1"/>
          <w:bCs w:val="1"/>
          <w:color w:val="auto"/>
        </w:rPr>
        <w:t>Integration</w:t>
      </w:r>
      <w:r>
        <w:rPr>
          <w:rFonts w:ascii="Arial" w:cs="Arial" w:eastAsia="Arial" w:hAnsi="Arial"/>
          <w:sz w:val="20"/>
          <w:szCs w:val="20"/>
          <w:color w:val="auto"/>
        </w:rPr>
        <w:t>. This Amendment and any documents executed in connection herewith or pursuant hereto contain the entire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between the parties with respect to the subject matter hereof and supersede all prior agreements, understandings, offers and negotiations, oral or written, with respect thereto and no extrinsic evidence whatsoever may be introduced in any judicial or arbitration proceeding, if any, involving this Amendment; except that any financing statements or other agreements or instruments filed by Bank with respect to Borrowers and the Collateral shall remain in full force and effect.</w:t>
      </w:r>
    </w:p>
    <w:p>
      <w:pPr>
        <w:spacing w:after="0" w:line="199" w:lineRule="exact"/>
        <w:rPr>
          <w:rFonts w:ascii="Arial" w:cs="Arial" w:eastAsia="Arial" w:hAnsi="Arial"/>
          <w:sz w:val="18"/>
          <w:szCs w:val="18"/>
          <w:color w:val="auto"/>
        </w:rPr>
      </w:pPr>
    </w:p>
    <w:p>
      <w:pPr>
        <w:jc w:val="both"/>
        <w:ind w:firstLine="656"/>
        <w:spacing w:after="0" w:line="281" w:lineRule="auto"/>
        <w:tabs>
          <w:tab w:leader="none" w:pos="1431" w:val="left"/>
        </w:tabs>
        <w:numPr>
          <w:ilvl w:val="0"/>
          <w:numId w:val="14"/>
        </w:numPr>
        <w:rPr>
          <w:rFonts w:ascii="Arial" w:cs="Arial" w:eastAsia="Arial" w:hAnsi="Arial"/>
          <w:sz w:val="18"/>
          <w:szCs w:val="18"/>
          <w:color w:val="auto"/>
        </w:rPr>
      </w:pPr>
      <w:r>
        <w:rPr>
          <w:rFonts w:ascii="Arial" w:cs="Arial" w:eastAsia="Arial" w:hAnsi="Arial"/>
          <w:sz w:val="20"/>
          <w:szCs w:val="20"/>
          <w:b w:val="1"/>
          <w:bCs w:val="1"/>
          <w:color w:val="auto"/>
        </w:rPr>
        <w:t>Governing Law</w:t>
      </w:r>
      <w:r>
        <w:rPr>
          <w:rFonts w:ascii="Arial" w:cs="Arial" w:eastAsia="Arial" w:hAnsi="Arial"/>
          <w:sz w:val="20"/>
          <w:szCs w:val="20"/>
          <w:color w:val="auto"/>
        </w:rPr>
        <w:t>. THIS AMENDMENT SHALL BE GOVERNED BY AND CONSTRUED AND ENFORCED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LAWS OF THE STATE OF CALIFORNIA WITHOUT GIVING EFFECT TO PRINCIPLES OF CONFLICTS OF LAW.</w:t>
      </w:r>
    </w:p>
    <w:p>
      <w:pPr>
        <w:sectPr>
          <w:pgSz w:w="11900" w:h="16838" w:orient="portrait"/>
          <w:cols w:equalWidth="0" w:num="1">
            <w:col w:w="11420"/>
          </w:cols>
          <w:pgMar w:left="240" w:top="595"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6"/>
          <w:szCs w:val="16"/>
          <w:color w:val="auto"/>
        </w:rPr>
        <w:t>IN WITNESS WHEREOF, the parties hereto have caused this Amendment to be executed as of the date first written above.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BORROWERS</w:t>
      </w:r>
      <w:r>
        <w:rPr>
          <w:rFonts w:ascii="Arial" w:cs="Arial" w:eastAsia="Arial" w:hAnsi="Arial"/>
          <w:sz w:val="20"/>
          <w:szCs w:val="20"/>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AVIAT NETWORKS,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By</w:t>
        <w:tab/>
        <w:t>/s/ Carol A. Goudey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-14605</wp:posOffset>
            </wp:positionV>
            <wp:extent cx="10439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4394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Name: Carol A. Goudey</w:t>
      </w:r>
    </w:p>
    <w:p>
      <w:pPr>
        <w:ind w:left="66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AVIAT U.S.,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Carol A. Goudey</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 Carol A. Goudey</w:t>
      </w:r>
    </w:p>
    <w:p>
      <w:pPr>
        <w:ind w:left="66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AVIAT NETWORKS (S) PTE. LTD.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u w:val="single" w:color="auto"/>
          <w:color w:val="auto"/>
        </w:rPr>
        <w:t>/s/ Kevin Howell</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 Kevin Howell</w:t>
      </w:r>
    </w:p>
    <w:p>
      <w:pPr>
        <w:ind w:left="6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w:t>
      </w:r>
      <w:r>
        <w:rPr>
          <w:rFonts w:ascii="Arial" w:cs="Arial" w:eastAsia="Arial" w:hAnsi="Arial"/>
          <w:sz w:val="20"/>
          <w:szCs w:val="20"/>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SILICON VALLEY BANK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Ray Aguilar</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 Ray Aguilar</w:t>
      </w:r>
    </w:p>
    <w:p>
      <w:pPr>
        <w:ind w:left="660"/>
        <w:spacing w:after="0"/>
        <w:rPr>
          <w:sz w:val="20"/>
          <w:szCs w:val="20"/>
          <w:color w:val="auto"/>
        </w:rPr>
      </w:pPr>
      <w:r>
        <w:rPr>
          <w:rFonts w:ascii="Arial" w:cs="Arial" w:eastAsia="Arial" w:hAnsi="Arial"/>
          <w:sz w:val="20"/>
          <w:szCs w:val="20"/>
          <w:color w:val="auto"/>
        </w:rPr>
        <w:t>Title: Relationship Manager</w:t>
      </w:r>
    </w:p>
    <w:p>
      <w:pPr>
        <w:sectPr>
          <w:pgSz w:w="11900" w:h="16838" w:orient="portrait"/>
          <w:cols w:equalWidth="0" w:num="1">
            <w:col w:w="10440"/>
          </w:cols>
          <w:pgMar w:left="240" w:top="730" w:right="1219" w:bottom="1440" w:gutter="0" w:footer="0" w:header="0"/>
        </w:sectPr>
      </w:pPr>
    </w:p>
    <w:bookmarkStart w:id="34" w:name="page35"/>
    <w:bookmarkEnd w:id="34"/>
    <w:p>
      <w:pPr>
        <w:jc w:val="right"/>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D TO LOAN AND SECURITY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COMPLIANCE CERTIFICATE</w:t>
      </w:r>
    </w:p>
    <w:p>
      <w:pPr>
        <w:sectPr>
          <w:pgSz w:w="11900" w:h="16838" w:orient="portrait"/>
          <w:cols w:equalWidth="0" w:num="1">
            <w:col w:w="11420"/>
          </w:cols>
          <w:pgMar w:left="240" w:top="792"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9"/>
          <w:szCs w:val="19"/>
          <w:color w:val="auto"/>
        </w:rPr>
        <w:t>SILICON VALLEY BANK</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FROM: AVIAT NETWORKS, INC.</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w:t>
      </w:r>
    </w:p>
    <w:p>
      <w:pPr>
        <w:spacing w:after="0" w:line="457" w:lineRule="exact"/>
        <w:rPr>
          <w:sz w:val="20"/>
          <w:szCs w:val="20"/>
          <w:color w:val="auto"/>
        </w:rPr>
      </w:pPr>
    </w:p>
    <w:p>
      <w:pPr>
        <w:sectPr>
          <w:pgSz w:w="11900" w:h="16838" w:orient="portrait"/>
          <w:cols w:equalWidth="0" w:num="2">
            <w:col w:w="3060" w:space="720"/>
            <w:col w:w="7640"/>
          </w:cols>
          <w:pgMar w:left="240" w:top="792" w:right="239" w:bottom="1440" w:gutter="0" w:footer="0" w:header="0"/>
          <w:type w:val="continuous"/>
        </w:sectPr>
      </w:pPr>
    </w:p>
    <w:p>
      <w:pPr>
        <w:spacing w:after="0" w:line="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undersigned authorized officer of Aviat Networks, Inc. (“</w:t>
      </w:r>
      <w:r>
        <w:rPr>
          <w:rFonts w:ascii="Arial" w:cs="Arial" w:eastAsia="Arial" w:hAnsi="Arial"/>
          <w:sz w:val="18"/>
          <w:szCs w:val="18"/>
          <w:b w:val="1"/>
          <w:bCs w:val="1"/>
          <w:color w:val="auto"/>
        </w:rPr>
        <w:t>Administrative Borrower</w:t>
      </w:r>
      <w:r>
        <w:rPr>
          <w:rFonts w:ascii="Arial" w:cs="Arial" w:eastAsia="Arial" w:hAnsi="Arial"/>
          <w:sz w:val="18"/>
          <w:szCs w:val="18"/>
          <w:color w:val="auto"/>
        </w:rPr>
        <w:t>”) certifies that under the terms and conditions of the Loan and Security Agreement dated as of September 30, 2010 (as amended, modified, supplemented or restated from time to time, the “</w:t>
      </w:r>
      <w:r>
        <w:rPr>
          <w:rFonts w:ascii="Arial" w:cs="Arial" w:eastAsia="Arial" w:hAnsi="Arial"/>
          <w:sz w:val="18"/>
          <w:szCs w:val="18"/>
          <w:b w:val="1"/>
          <w:bCs w:val="1"/>
          <w:color w:val="auto"/>
        </w:rPr>
        <w:t>Loan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by and among Administrative Borrower, Aviat U.S., Inc. (“</w:t>
      </w:r>
      <w:r>
        <w:rPr>
          <w:rFonts w:ascii="Arial" w:cs="Arial" w:eastAsia="Arial" w:hAnsi="Arial"/>
          <w:sz w:val="18"/>
          <w:szCs w:val="18"/>
          <w:b w:val="1"/>
          <w:bCs w:val="1"/>
          <w:color w:val="auto"/>
        </w:rPr>
        <w:t>Opco</w:t>
      </w:r>
      <w:r>
        <w:rPr>
          <w:rFonts w:ascii="Arial" w:cs="Arial" w:eastAsia="Arial" w:hAnsi="Arial"/>
          <w:sz w:val="18"/>
          <w:szCs w:val="18"/>
          <w:color w:val="auto"/>
        </w:rPr>
        <w:t>”), Aviat Networks (S) Pte. Ltd. (“</w:t>
      </w:r>
      <w:r>
        <w:rPr>
          <w:rFonts w:ascii="Arial" w:cs="Arial" w:eastAsia="Arial" w:hAnsi="Arial"/>
          <w:sz w:val="18"/>
          <w:szCs w:val="18"/>
          <w:b w:val="1"/>
          <w:bCs w:val="1"/>
          <w:color w:val="auto"/>
        </w:rPr>
        <w:t>Singapore Borrower</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with the Administrative Borrower and Opco, each a “</w:t>
      </w:r>
      <w:r>
        <w:rPr>
          <w:rFonts w:ascii="Arial" w:cs="Arial" w:eastAsia="Arial" w:hAnsi="Arial"/>
          <w:sz w:val="18"/>
          <w:szCs w:val="18"/>
          <w:b w:val="1"/>
          <w:bCs w:val="1"/>
          <w:color w:val="auto"/>
        </w:rPr>
        <w:t>Borrower</w:t>
      </w:r>
      <w:r>
        <w:rPr>
          <w:rFonts w:ascii="Arial" w:cs="Arial" w:eastAsia="Arial" w:hAnsi="Arial"/>
          <w:sz w:val="18"/>
          <w:szCs w:val="18"/>
          <w:color w:val="auto"/>
        </w:rPr>
        <w:t>” and collectively, “</w:t>
      </w:r>
      <w:r>
        <w:rPr>
          <w:rFonts w:ascii="Arial" w:cs="Arial" w:eastAsia="Arial" w:hAnsi="Arial"/>
          <w:sz w:val="18"/>
          <w:szCs w:val="18"/>
          <w:b w:val="1"/>
          <w:bCs w:val="1"/>
          <w:color w:val="auto"/>
        </w:rPr>
        <w:t>Borrowers</w:t>
      </w:r>
      <w:r>
        <w:rPr>
          <w:rFonts w:ascii="Arial" w:cs="Arial" w:eastAsia="Arial" w:hAnsi="Arial"/>
          <w:sz w:val="18"/>
          <w:szCs w:val="18"/>
          <w:color w:val="auto"/>
        </w:rPr>
        <w:t>”) and Silicon Valley Bank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57"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Borrower is in complete compliance for the period ending _______________ with all required covenants except as noted below;</w:t>
      </w:r>
    </w:p>
    <w:p>
      <w:pPr>
        <w:spacing w:after="0" w:line="38" w:lineRule="exact"/>
        <w:rPr>
          <w:rFonts w:ascii="Arial" w:cs="Arial" w:eastAsia="Arial" w:hAnsi="Arial"/>
          <w:sz w:val="18"/>
          <w:szCs w:val="18"/>
          <w:color w:val="auto"/>
        </w:rPr>
      </w:pPr>
    </w:p>
    <w:p>
      <w:pPr>
        <w:jc w:val="both"/>
        <w:ind w:firstLine="8"/>
        <w:spacing w:after="0" w:line="268" w:lineRule="auto"/>
        <w:tabs>
          <w:tab w:leader="none" w:pos="2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there are no Events of Default; (3) all representations and warranties in the Loan Agreement are true and correct in all material respects on this date except as noted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each Borrower, and each of its Subsidiaries, has timely filed all material tax returns and reports that are required to be filed, and each Borrower has timely paid all material foreign, federal, state and local taxes, assessments, deposits and contributions owed by each Borrower except as otherwise permitted pursuant to the terms of Section 5.9 of the Loan Agreement; (5) (a)there are no collective bargaining agreements covering the employees of any Borrower or any of their domestic Subsidiaries, (b) there is not pending, nor (to the knowledge of any Borrower) is there threatened, any strike, walkout, slowdown or work stoppage, or any unfair labor practice complaint or grievance or arbitration proceeding arising out of or under any collective bargaining agreement covering the employees of any Borrower or any of their Subsidiaries that, individually or in the aggregate, could reasonable be expected to result in a Material Adverse Change, and (c) the hours worked and payments made to employees of Borrowers and their domestic Subsidiaries have not been in violation in any material respect of the Fair Labor Standards Act or any other applicable law dealing with such matters; and (6) Borrowers are in compliance with Section 6.6 of the Loan Agreement.</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ectPr>
          <w:pgSz w:w="11900" w:h="16838" w:orient="portrait"/>
          <w:cols w:equalWidth="0" w:num="1">
            <w:col w:w="11420"/>
          </w:cols>
          <w:pgMar w:left="240" w:top="792" w:right="239" w:bottom="1440" w:gutter="0" w:footer="0" w:header="0"/>
          <w:type w:val="continuous"/>
        </w:sectPr>
      </w:pPr>
    </w:p>
    <w:bookmarkStart w:id="35" w:name="page36"/>
    <w:bookmarkEnd w:id="35"/>
    <w:p>
      <w:pPr>
        <w:ind w:left="380"/>
        <w:spacing w:after="0"/>
        <w:rPr>
          <w:sz w:val="20"/>
          <w:szCs w:val="20"/>
          <w:color w:val="auto"/>
        </w:rPr>
      </w:pPr>
      <w:r>
        <w:rPr>
          <w:rFonts w:ascii="Arial" w:cs="Arial" w:eastAsia="Arial" w:hAnsi="Arial"/>
          <w:sz w:val="20"/>
          <w:szCs w:val="20"/>
          <w:b w:val="1"/>
          <w:bCs w:val="1"/>
          <w:u w:val="single" w:color="auto"/>
          <w:color w:val="auto"/>
        </w:rPr>
        <w:t>Please indicate compliance status by circling Yes/No under “Complies” column.</w:t>
      </w:r>
    </w:p>
    <w:p>
      <w:pPr>
        <w:spacing w:after="0" w:line="246" w:lineRule="exact"/>
        <w:rPr>
          <w:sz w:val="20"/>
          <w:szCs w:val="20"/>
          <w:color w:val="auto"/>
        </w:rPr>
      </w:pPr>
    </w:p>
    <w:tbl>
      <w:tblPr>
        <w:tblLayout w:type="fixed"/>
        <w:tblInd w:w="3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000" w:type="dxa"/>
            <w:vAlign w:val="bottom"/>
            <w:tcBorders>
              <w:top w:val="single" w:sz="8" w:color="auto"/>
            </w:tcBorders>
            <w:gridSpan w:val="10"/>
          </w:tcPr>
          <w:p>
            <w:pPr>
              <w:ind w:left="1360"/>
              <w:spacing w:after="0"/>
              <w:rPr>
                <w:sz w:val="20"/>
                <w:szCs w:val="20"/>
                <w:color w:val="auto"/>
              </w:rPr>
            </w:pPr>
            <w:r>
              <w:rPr>
                <w:rFonts w:ascii="Arial" w:cs="Arial" w:eastAsia="Arial" w:hAnsi="Arial"/>
                <w:sz w:val="20"/>
                <w:szCs w:val="20"/>
                <w:b w:val="1"/>
                <w:bCs w:val="1"/>
                <w:color w:val="auto"/>
              </w:rPr>
              <w:t>Reporting Covenant</w:t>
            </w:r>
          </w:p>
        </w:tc>
        <w:tc>
          <w:tcPr>
            <w:tcW w:w="8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20" w:type="dxa"/>
            <w:vAlign w:val="bottom"/>
            <w:tcBorders>
              <w:top w:val="single" w:sz="8" w:color="auto"/>
              <w:right w:val="single" w:sz="8" w:color="auto"/>
            </w:tcBorders>
            <w:gridSpan w:val="5"/>
          </w:tcPr>
          <w:p>
            <w:pPr>
              <w:spacing w:after="0"/>
              <w:rPr>
                <w:sz w:val="20"/>
                <w:szCs w:val="20"/>
                <w:color w:val="auto"/>
              </w:rPr>
            </w:pPr>
            <w:r>
              <w:rPr>
                <w:rFonts w:ascii="Arial" w:cs="Arial" w:eastAsia="Arial" w:hAnsi="Arial"/>
                <w:sz w:val="20"/>
                <w:szCs w:val="20"/>
                <w:b w:val="1"/>
                <w:bCs w:val="1"/>
                <w:color w:val="auto"/>
              </w:rPr>
              <w:t>Required</w:t>
            </w:r>
          </w:p>
        </w:tc>
        <w:tc>
          <w:tcPr>
            <w:tcW w:w="1800" w:type="dxa"/>
            <w:vAlign w:val="bottom"/>
            <w:tcBorders>
              <w:top w:val="single" w:sz="8" w:color="auto"/>
              <w:right w:val="single" w:sz="8" w:color="auto"/>
            </w:tcBorders>
            <w:gridSpan w:val="5"/>
          </w:tcPr>
          <w:p>
            <w:pPr>
              <w:ind w:left="500"/>
              <w:spacing w:after="0"/>
              <w:rPr>
                <w:sz w:val="20"/>
                <w:szCs w:val="20"/>
                <w:color w:val="auto"/>
              </w:rPr>
            </w:pPr>
            <w:r>
              <w:rPr>
                <w:rFonts w:ascii="Arial" w:cs="Arial" w:eastAsia="Arial" w:hAnsi="Arial"/>
                <w:sz w:val="20"/>
                <w:szCs w:val="20"/>
                <w:b w:val="1"/>
                <w:bCs w:val="1"/>
                <w:color w:val="auto"/>
              </w:rPr>
              <w:t>Complies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58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top w:val="single" w:sz="8" w:color="auto"/>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3080" w:type="dxa"/>
            <w:vAlign w:val="bottom"/>
            <w:gridSpan w:val="7"/>
          </w:tcPr>
          <w:p>
            <w:pPr>
              <w:ind w:left="20"/>
              <w:spacing w:after="0"/>
              <w:rPr>
                <w:sz w:val="20"/>
                <w:szCs w:val="20"/>
                <w:color w:val="auto"/>
              </w:rPr>
            </w:pPr>
            <w:r>
              <w:rPr>
                <w:rFonts w:ascii="Arial" w:cs="Arial" w:eastAsia="Arial" w:hAnsi="Arial"/>
                <w:sz w:val="20"/>
                <w:szCs w:val="20"/>
                <w:color w:val="auto"/>
              </w:rPr>
              <w:t>Cash holdings report</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3220" w:type="dxa"/>
            <w:vAlign w:val="bottom"/>
            <w:tcBorders>
              <w:right w:val="single" w:sz="8" w:color="auto"/>
            </w:tcBorders>
            <w:gridSpan w:val="7"/>
          </w:tcPr>
          <w:p>
            <w:pPr>
              <w:ind w:left="20"/>
              <w:spacing w:after="0"/>
              <w:rPr>
                <w:sz w:val="20"/>
                <w:szCs w:val="20"/>
                <w:color w:val="auto"/>
              </w:rPr>
            </w:pPr>
            <w:r>
              <w:rPr>
                <w:rFonts w:ascii="Arial" w:cs="Arial" w:eastAsia="Arial" w:hAnsi="Arial"/>
                <w:sz w:val="20"/>
                <w:szCs w:val="20"/>
                <w:color w:val="auto"/>
              </w:rPr>
              <w:t>Within 30 days of month end</w:t>
            </w:r>
          </w:p>
        </w:tc>
        <w:tc>
          <w:tcPr>
            <w:tcW w:w="180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Yes No</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3220" w:type="dxa"/>
            <w:vAlign w:val="bottom"/>
            <w:tcBorders>
              <w:right w:val="single" w:sz="8" w:color="auto"/>
            </w:tcBorders>
            <w:gridSpan w:val="7"/>
          </w:tcPr>
          <w:p>
            <w:pPr>
              <w:ind w:left="20"/>
              <w:spacing w:after="0"/>
              <w:rPr>
                <w:sz w:val="20"/>
                <w:szCs w:val="20"/>
                <w:color w:val="auto"/>
              </w:rPr>
            </w:pPr>
            <w:r>
              <w:rPr>
                <w:rFonts w:ascii="Arial" w:cs="Arial" w:eastAsia="Arial" w:hAnsi="Arial"/>
                <w:sz w:val="20"/>
                <w:szCs w:val="20"/>
                <w:color w:val="auto"/>
              </w:rPr>
              <w:t>Within 45 days of fiscal</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5600" w:type="dxa"/>
            <w:vAlign w:val="bottom"/>
            <w:gridSpan w:val="12"/>
          </w:tcPr>
          <w:p>
            <w:pPr>
              <w:ind w:left="20"/>
              <w:spacing w:after="0"/>
              <w:rPr>
                <w:sz w:val="20"/>
                <w:szCs w:val="20"/>
                <w:color w:val="auto"/>
              </w:rPr>
            </w:pPr>
            <w:r>
              <w:rPr>
                <w:rFonts w:ascii="Arial" w:cs="Arial" w:eastAsia="Arial" w:hAnsi="Arial"/>
                <w:sz w:val="20"/>
                <w:szCs w:val="20"/>
                <w:color w:val="auto"/>
              </w:rPr>
              <w:t>Quarterly financial statements with Compliance Certificate</w:t>
            </w:r>
          </w:p>
        </w:tc>
        <w:tc>
          <w:tcPr>
            <w:tcW w:w="80" w:type="dxa"/>
            <w:vAlign w:val="bottom"/>
            <w:tcBorders>
              <w:right w:val="single" w:sz="8" w:color="auto"/>
            </w:tcBorders>
          </w:tcPr>
          <w:p>
            <w:pPr>
              <w:spacing w:after="0"/>
              <w:rPr>
                <w:sz w:val="21"/>
                <w:szCs w:val="21"/>
                <w:color w:val="auto"/>
              </w:rPr>
            </w:pPr>
          </w:p>
        </w:tc>
        <w:tc>
          <w:tcPr>
            <w:tcW w:w="3220" w:type="dxa"/>
            <w:vAlign w:val="bottom"/>
            <w:tcBorders>
              <w:right w:val="single" w:sz="8" w:color="auto"/>
            </w:tcBorders>
            <w:gridSpan w:val="7"/>
          </w:tcPr>
          <w:p>
            <w:pPr>
              <w:ind w:left="20"/>
              <w:spacing w:after="0"/>
              <w:rPr>
                <w:sz w:val="20"/>
                <w:szCs w:val="20"/>
                <w:color w:val="auto"/>
              </w:rPr>
            </w:pPr>
            <w:r>
              <w:rPr>
                <w:rFonts w:ascii="Arial" w:cs="Arial" w:eastAsia="Arial" w:hAnsi="Arial"/>
                <w:sz w:val="20"/>
                <w:szCs w:val="20"/>
                <w:color w:val="auto"/>
              </w:rPr>
              <w:t>quarter end</w:t>
            </w:r>
          </w:p>
        </w:tc>
        <w:tc>
          <w:tcPr>
            <w:tcW w:w="180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Yes No</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3220" w:type="dxa"/>
            <w:vAlign w:val="bottom"/>
            <w:tcBorders>
              <w:right w:val="single" w:sz="8" w:color="auto"/>
            </w:tcBorders>
            <w:gridSpan w:val="7"/>
          </w:tcPr>
          <w:p>
            <w:pPr>
              <w:ind w:left="20"/>
              <w:spacing w:after="0"/>
              <w:rPr>
                <w:sz w:val="20"/>
                <w:szCs w:val="20"/>
                <w:color w:val="auto"/>
              </w:rPr>
            </w:pPr>
            <w:r>
              <w:rPr>
                <w:rFonts w:ascii="Arial" w:cs="Arial" w:eastAsia="Arial" w:hAnsi="Arial"/>
                <w:sz w:val="20"/>
                <w:szCs w:val="20"/>
                <w:color w:val="auto"/>
              </w:rPr>
              <w:t>Within 45 days of fiscal</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3220" w:type="dxa"/>
            <w:vAlign w:val="bottom"/>
            <w:tcBorders>
              <w:right w:val="single" w:sz="8" w:color="auto"/>
            </w:tcBorders>
            <w:gridSpan w:val="7"/>
          </w:tcPr>
          <w:p>
            <w:pPr>
              <w:ind w:left="20"/>
              <w:spacing w:after="0"/>
              <w:rPr>
                <w:sz w:val="20"/>
                <w:szCs w:val="20"/>
                <w:color w:val="auto"/>
              </w:rPr>
            </w:pPr>
            <w:r>
              <w:rPr>
                <w:rFonts w:ascii="Arial" w:cs="Arial" w:eastAsia="Arial" w:hAnsi="Arial"/>
                <w:sz w:val="20"/>
                <w:szCs w:val="20"/>
                <w:color w:val="auto"/>
              </w:rPr>
              <w:t>quarter end (if at or above</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3220" w:type="dxa"/>
            <w:vAlign w:val="bottom"/>
            <w:tcBorders>
              <w:right w:val="single" w:sz="8" w:color="auto"/>
            </w:tcBorders>
            <w:gridSpan w:val="7"/>
          </w:tcPr>
          <w:p>
            <w:pPr>
              <w:ind w:left="20"/>
              <w:spacing w:after="0"/>
              <w:rPr>
                <w:sz w:val="20"/>
                <w:szCs w:val="20"/>
                <w:color w:val="auto"/>
              </w:rPr>
            </w:pPr>
            <w:r>
              <w:rPr>
                <w:rFonts w:ascii="Arial" w:cs="Arial" w:eastAsia="Arial" w:hAnsi="Arial"/>
                <w:sz w:val="20"/>
                <w:szCs w:val="20"/>
                <w:color w:val="auto"/>
              </w:rPr>
              <w:t>Borrowing Threshold, within</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5600" w:type="dxa"/>
            <w:vAlign w:val="bottom"/>
            <w:gridSpan w:val="12"/>
          </w:tcPr>
          <w:p>
            <w:pPr>
              <w:ind w:left="20"/>
              <w:spacing w:after="0"/>
              <w:rPr>
                <w:sz w:val="20"/>
                <w:szCs w:val="20"/>
                <w:color w:val="auto"/>
              </w:rPr>
            </w:pPr>
            <w:r>
              <w:rPr>
                <w:rFonts w:ascii="Arial" w:cs="Arial" w:eastAsia="Arial" w:hAnsi="Arial"/>
                <w:sz w:val="20"/>
                <w:szCs w:val="20"/>
                <w:color w:val="auto"/>
                <w:w w:val="96"/>
              </w:rPr>
              <w:t>Quarterly BBC + A/P and A/R Agings + deferred revenue reports</w:t>
            </w:r>
          </w:p>
        </w:tc>
        <w:tc>
          <w:tcPr>
            <w:tcW w:w="80" w:type="dxa"/>
            <w:vAlign w:val="bottom"/>
            <w:tcBorders>
              <w:right w:val="single" w:sz="8" w:color="auto"/>
            </w:tcBorders>
          </w:tcPr>
          <w:p>
            <w:pPr>
              <w:spacing w:after="0"/>
              <w:rPr>
                <w:sz w:val="21"/>
                <w:szCs w:val="21"/>
                <w:color w:val="auto"/>
              </w:rPr>
            </w:pPr>
          </w:p>
        </w:tc>
        <w:tc>
          <w:tcPr>
            <w:tcW w:w="3220" w:type="dxa"/>
            <w:vAlign w:val="bottom"/>
            <w:tcBorders>
              <w:right w:val="single" w:sz="8" w:color="auto"/>
            </w:tcBorders>
            <w:gridSpan w:val="7"/>
          </w:tcPr>
          <w:p>
            <w:pPr>
              <w:ind w:left="20"/>
              <w:spacing w:after="0"/>
              <w:rPr>
                <w:sz w:val="20"/>
                <w:szCs w:val="20"/>
                <w:color w:val="auto"/>
              </w:rPr>
            </w:pPr>
            <w:r>
              <w:rPr>
                <w:rFonts w:ascii="Arial" w:cs="Arial" w:eastAsia="Arial" w:hAnsi="Arial"/>
                <w:sz w:val="20"/>
                <w:szCs w:val="20"/>
                <w:color w:val="auto"/>
              </w:rPr>
              <w:t>30 days of each month)</w:t>
            </w:r>
          </w:p>
        </w:tc>
        <w:tc>
          <w:tcPr>
            <w:tcW w:w="180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Yes No</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5600" w:type="dxa"/>
            <w:vAlign w:val="bottom"/>
            <w:gridSpan w:val="12"/>
          </w:tcPr>
          <w:p>
            <w:pPr>
              <w:ind w:left="20"/>
              <w:spacing w:after="0"/>
              <w:rPr>
                <w:sz w:val="20"/>
                <w:szCs w:val="20"/>
                <w:color w:val="auto"/>
              </w:rPr>
            </w:pPr>
            <w:r>
              <w:rPr>
                <w:rFonts w:ascii="Arial" w:cs="Arial" w:eastAsia="Arial" w:hAnsi="Arial"/>
                <w:sz w:val="20"/>
                <w:szCs w:val="20"/>
                <w:color w:val="auto"/>
                <w:w w:val="93"/>
              </w:rPr>
              <w:t>Annual financial statement (CPA Audited) + Compliance Certificate</w:t>
            </w:r>
          </w:p>
        </w:tc>
        <w:tc>
          <w:tcPr>
            <w:tcW w:w="80" w:type="dxa"/>
            <w:vAlign w:val="bottom"/>
            <w:tcBorders>
              <w:right w:val="single" w:sz="8" w:color="auto"/>
            </w:tcBorders>
          </w:tcPr>
          <w:p>
            <w:pPr>
              <w:spacing w:after="0"/>
              <w:rPr>
                <w:sz w:val="22"/>
                <w:szCs w:val="22"/>
                <w:color w:val="auto"/>
              </w:rPr>
            </w:pPr>
          </w:p>
        </w:tc>
        <w:tc>
          <w:tcPr>
            <w:tcW w:w="3220" w:type="dxa"/>
            <w:vAlign w:val="bottom"/>
            <w:tcBorders>
              <w:right w:val="single" w:sz="8" w:color="auto"/>
            </w:tcBorders>
            <w:gridSpan w:val="7"/>
          </w:tcPr>
          <w:p>
            <w:pPr>
              <w:ind w:left="20"/>
              <w:spacing w:after="0"/>
              <w:rPr>
                <w:sz w:val="20"/>
                <w:szCs w:val="20"/>
                <w:color w:val="auto"/>
              </w:rPr>
            </w:pPr>
            <w:r>
              <w:rPr>
                <w:rFonts w:ascii="Arial" w:cs="Arial" w:eastAsia="Arial" w:hAnsi="Arial"/>
                <w:sz w:val="20"/>
                <w:szCs w:val="20"/>
                <w:color w:val="auto"/>
              </w:rPr>
              <w:t>Within 90 days of FYE</w:t>
            </w:r>
          </w:p>
        </w:tc>
        <w:tc>
          <w:tcPr>
            <w:tcW w:w="180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Yes No</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3080" w:type="dxa"/>
            <w:vAlign w:val="bottom"/>
            <w:gridSpan w:val="7"/>
          </w:tcPr>
          <w:p>
            <w:pPr>
              <w:ind w:left="20"/>
              <w:spacing w:after="0" w:line="230" w:lineRule="exact"/>
              <w:rPr>
                <w:sz w:val="20"/>
                <w:szCs w:val="20"/>
                <w:color w:val="auto"/>
              </w:rPr>
            </w:pPr>
            <w:r>
              <w:rPr>
                <w:rFonts w:ascii="Arial" w:cs="Arial" w:eastAsia="Arial" w:hAnsi="Arial"/>
                <w:sz w:val="20"/>
                <w:szCs w:val="20"/>
                <w:color w:val="auto"/>
              </w:rPr>
              <w:t>10</w:t>
            </w:r>
            <w:r>
              <w:rPr>
                <w:rFonts w:ascii="MS PGothic" w:cs="MS PGothic" w:eastAsia="MS PGothic" w:hAnsi="MS PGothic"/>
                <w:sz w:val="20"/>
                <w:szCs w:val="20"/>
                <w:color w:val="auto"/>
              </w:rPr>
              <w:t>‑</w:t>
            </w:r>
            <w:r>
              <w:rPr>
                <w:rFonts w:ascii="Arial" w:cs="Arial" w:eastAsia="Arial" w:hAnsi="Arial"/>
                <w:sz w:val="20"/>
                <w:szCs w:val="20"/>
                <w:color w:val="auto"/>
              </w:rPr>
              <w:t>Q, 10</w:t>
            </w:r>
            <w:r>
              <w:rPr>
                <w:rFonts w:ascii="MS PGothic" w:cs="MS PGothic" w:eastAsia="MS PGothic" w:hAnsi="MS PGothic"/>
                <w:sz w:val="20"/>
                <w:szCs w:val="20"/>
                <w:color w:val="auto"/>
              </w:rPr>
              <w:t>‑</w:t>
            </w:r>
            <w:r>
              <w:rPr>
                <w:rFonts w:ascii="Arial" w:cs="Arial" w:eastAsia="Arial" w:hAnsi="Arial"/>
                <w:sz w:val="20"/>
                <w:szCs w:val="20"/>
                <w:color w:val="auto"/>
              </w:rPr>
              <w:t>K and 8-K</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3220" w:type="dxa"/>
            <w:vAlign w:val="bottom"/>
            <w:tcBorders>
              <w:right w:val="single" w:sz="8" w:color="auto"/>
            </w:tcBorders>
            <w:gridSpan w:val="7"/>
          </w:tcPr>
          <w:p>
            <w:pPr>
              <w:ind w:left="20"/>
              <w:spacing w:after="0"/>
              <w:rPr>
                <w:sz w:val="20"/>
                <w:szCs w:val="20"/>
                <w:color w:val="auto"/>
              </w:rPr>
            </w:pPr>
            <w:r>
              <w:rPr>
                <w:rFonts w:ascii="Arial" w:cs="Arial" w:eastAsia="Arial" w:hAnsi="Arial"/>
                <w:sz w:val="20"/>
                <w:szCs w:val="20"/>
                <w:color w:val="auto"/>
              </w:rPr>
              <w:t>Within 5 days after filing with SEC</w:t>
            </w:r>
          </w:p>
        </w:tc>
        <w:tc>
          <w:tcPr>
            <w:tcW w:w="180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Yes No</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3080" w:type="dxa"/>
            <w:vAlign w:val="bottom"/>
            <w:gridSpan w:val="7"/>
          </w:tcPr>
          <w:p>
            <w:pPr>
              <w:ind w:left="20"/>
              <w:spacing w:after="0"/>
              <w:rPr>
                <w:sz w:val="20"/>
                <w:szCs w:val="20"/>
                <w:color w:val="auto"/>
              </w:rPr>
            </w:pPr>
            <w:r>
              <w:rPr>
                <w:rFonts w:ascii="Arial" w:cs="Arial" w:eastAsia="Arial" w:hAnsi="Arial"/>
                <w:sz w:val="20"/>
                <w:szCs w:val="20"/>
                <w:color w:val="auto"/>
                <w:w w:val="93"/>
              </w:rPr>
              <w:t>Board approved financial projections</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3220" w:type="dxa"/>
            <w:vAlign w:val="bottom"/>
            <w:tcBorders>
              <w:right w:val="single" w:sz="8" w:color="auto"/>
            </w:tcBorders>
            <w:gridSpan w:val="7"/>
          </w:tcPr>
          <w:p>
            <w:pPr>
              <w:ind w:left="20"/>
              <w:spacing w:after="0"/>
              <w:rPr>
                <w:sz w:val="20"/>
                <w:szCs w:val="20"/>
                <w:color w:val="auto"/>
              </w:rPr>
            </w:pPr>
            <w:r>
              <w:rPr>
                <w:rFonts w:ascii="Arial" w:cs="Arial" w:eastAsia="Arial" w:hAnsi="Arial"/>
                <w:sz w:val="20"/>
                <w:szCs w:val="20"/>
                <w:color w:val="auto"/>
              </w:rPr>
              <w:t>Within 45 days of FYE</w:t>
            </w:r>
          </w:p>
        </w:tc>
        <w:tc>
          <w:tcPr>
            <w:tcW w:w="180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Yes No</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tcBorders>
              <w:right w:val="single" w:sz="8" w:color="auto"/>
            </w:tcBorders>
            <w:gridSpan w:val="6"/>
          </w:tcPr>
          <w:p>
            <w:pPr>
              <w:jc w:val="center"/>
              <w:ind w:right="700"/>
              <w:spacing w:after="0" w:line="196" w:lineRule="exact"/>
              <w:rPr>
                <w:sz w:val="20"/>
                <w:szCs w:val="20"/>
                <w:color w:val="auto"/>
              </w:rPr>
            </w:pPr>
            <w:r>
              <w:rPr>
                <w:rFonts w:ascii="Arial" w:cs="Arial" w:eastAsia="Arial" w:hAnsi="Arial"/>
                <w:sz w:val="18"/>
                <w:szCs w:val="18"/>
                <w:b w:val="1"/>
                <w:bCs w:val="1"/>
                <w:color w:val="auto"/>
                <w:w w:val="90"/>
              </w:rPr>
              <w:t>Financial Covenant</w:t>
            </w:r>
          </w:p>
        </w:tc>
        <w:tc>
          <w:tcPr>
            <w:tcW w:w="2520" w:type="dxa"/>
            <w:vAlign w:val="bottom"/>
            <w:gridSpan w:val="5"/>
          </w:tcPr>
          <w:p>
            <w:pPr>
              <w:ind w:left="20"/>
              <w:spacing w:after="0" w:line="196" w:lineRule="exact"/>
              <w:rPr>
                <w:sz w:val="20"/>
                <w:szCs w:val="20"/>
                <w:color w:val="auto"/>
              </w:rPr>
            </w:pPr>
            <w:r>
              <w:rPr>
                <w:rFonts w:ascii="Arial" w:cs="Arial" w:eastAsia="Arial" w:hAnsi="Arial"/>
                <w:sz w:val="18"/>
                <w:szCs w:val="18"/>
                <w:b w:val="1"/>
                <w:bCs w:val="1"/>
                <w:color w:val="auto"/>
              </w:rPr>
              <w:t>Required</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Actual</w:t>
            </w:r>
          </w:p>
        </w:tc>
        <w:tc>
          <w:tcPr>
            <w:tcW w:w="5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Borders>
              <w:right w:val="single" w:sz="8" w:color="auto"/>
            </w:tcBorders>
            <w:gridSpan w:val="4"/>
          </w:tcPr>
          <w:p>
            <w:pPr>
              <w:jc w:val="center"/>
              <w:ind w:right="320"/>
              <w:spacing w:after="0" w:line="196" w:lineRule="exact"/>
              <w:rPr>
                <w:sz w:val="20"/>
                <w:szCs w:val="20"/>
                <w:color w:val="auto"/>
              </w:rPr>
            </w:pPr>
            <w:r>
              <w:rPr>
                <w:rFonts w:ascii="Arial" w:cs="Arial" w:eastAsia="Arial" w:hAnsi="Arial"/>
                <w:sz w:val="18"/>
                <w:szCs w:val="18"/>
                <w:b w:val="1"/>
                <w:bCs w:val="1"/>
                <w:color w:val="auto"/>
                <w:w w:val="88"/>
              </w:rPr>
              <w:t>Complies</w:t>
            </w:r>
          </w:p>
        </w:tc>
        <w:tc>
          <w:tcPr>
            <w:tcW w:w="0" w:type="dxa"/>
            <w:vAlign w:val="bottom"/>
          </w:tcPr>
          <w:p>
            <w:pPr>
              <w:spacing w:after="0"/>
              <w:rPr>
                <w:sz w:val="1"/>
                <w:szCs w:val="1"/>
                <w:color w:val="auto"/>
              </w:rPr>
            </w:pP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6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top w:val="single" w:sz="8" w:color="auto"/>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52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440" w:type="dxa"/>
            <w:vAlign w:val="bottom"/>
            <w:tcBorders>
              <w:left w:val="single" w:sz="8" w:color="auto"/>
              <w:right w:val="single" w:sz="8" w:color="auto"/>
            </w:tcBorders>
            <w:gridSpan w:val="9"/>
          </w:tcPr>
          <w:p>
            <w:pPr>
              <w:ind w:left="40"/>
              <w:spacing w:after="0" w:line="196" w:lineRule="exact"/>
              <w:rPr>
                <w:sz w:val="20"/>
                <w:szCs w:val="20"/>
                <w:color w:val="auto"/>
              </w:rPr>
            </w:pPr>
            <w:r>
              <w:rPr>
                <w:rFonts w:ascii="Arial" w:cs="Arial" w:eastAsia="Arial" w:hAnsi="Arial"/>
                <w:sz w:val="18"/>
                <w:szCs w:val="18"/>
                <w:b w:val="1"/>
                <w:bCs w:val="1"/>
                <w:color w:val="auto"/>
              </w:rPr>
              <w:t>Maintain on a Quarterly Basis:</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136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Fiscal Quarter End</w:t>
            </w:r>
          </w:p>
        </w:tc>
        <w:tc>
          <w:tcPr>
            <w:tcW w:w="24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Minimum EBITDA</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September 28, 2012</w:t>
            </w:r>
          </w:p>
        </w:tc>
        <w:tc>
          <w:tcPr>
            <w:tcW w:w="1000" w:type="dxa"/>
            <w:vAlign w:val="bottom"/>
            <w:gridSpan w:val="2"/>
          </w:tcPr>
          <w:p>
            <w:pPr>
              <w:ind w:left="20"/>
              <w:spacing w:after="0"/>
              <w:rPr>
                <w:sz w:val="20"/>
                <w:szCs w:val="20"/>
                <w:color w:val="auto"/>
              </w:rPr>
            </w:pPr>
            <w:r>
              <w:rPr>
                <w:rFonts w:ascii="Arial" w:cs="Arial" w:eastAsia="Arial" w:hAnsi="Arial"/>
                <w:sz w:val="18"/>
                <w:szCs w:val="18"/>
                <w:color w:val="auto"/>
                <w:w w:val="94"/>
              </w:rPr>
              <w:t>$(3,100,000)</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December 28, 2012</w:t>
            </w:r>
          </w:p>
        </w:tc>
        <w:tc>
          <w:tcPr>
            <w:tcW w:w="1000" w:type="dxa"/>
            <w:vAlign w:val="bottom"/>
            <w:gridSpan w:val="2"/>
          </w:tcPr>
          <w:p>
            <w:pPr>
              <w:ind w:left="20"/>
              <w:spacing w:after="0"/>
              <w:rPr>
                <w:sz w:val="20"/>
                <w:szCs w:val="20"/>
                <w:color w:val="auto"/>
              </w:rPr>
            </w:pPr>
            <w:r>
              <w:rPr>
                <w:rFonts w:ascii="Arial" w:cs="Arial" w:eastAsia="Arial" w:hAnsi="Arial"/>
                <w:sz w:val="18"/>
                <w:szCs w:val="18"/>
                <w:color w:val="auto"/>
                <w:w w:val="94"/>
              </w:rPr>
              <w:t>$(2,000,000)</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March 29, 2013</w:t>
            </w:r>
          </w:p>
        </w:tc>
        <w:tc>
          <w:tcPr>
            <w:tcW w:w="24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June 28, 2013 through</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5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fiscal quarter ending</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Borders>
              <w:right w:val="single" w:sz="8" w:color="auto"/>
            </w:tcBorders>
            <w:gridSpan w:val="4"/>
            <w:vMerge w:val="restart"/>
          </w:tcPr>
          <w:p>
            <w:pPr>
              <w:jc w:val="center"/>
              <w:ind w:right="340"/>
              <w:spacing w:after="0"/>
              <w:rPr>
                <w:sz w:val="20"/>
                <w:szCs w:val="20"/>
                <w:color w:val="auto"/>
              </w:rPr>
            </w:pPr>
            <w:r>
              <w:rPr>
                <w:rFonts w:ascii="Arial" w:cs="Arial" w:eastAsia="Arial" w:hAnsi="Arial"/>
                <w:sz w:val="20"/>
                <w:szCs w:val="20"/>
                <w:color w:val="auto"/>
                <w:w w:val="88"/>
              </w:rPr>
              <w:t>Yes No</w:t>
            </w:r>
          </w:p>
        </w:tc>
        <w:tc>
          <w:tcPr>
            <w:tcW w:w="0" w:type="dxa"/>
            <w:vAlign w:val="bottom"/>
          </w:tcPr>
          <w:p>
            <w:pPr>
              <w:spacing w:after="0"/>
              <w:rPr>
                <w:sz w:val="1"/>
                <w:szCs w:val="1"/>
                <w:color w:val="auto"/>
              </w:rPr>
            </w:pPr>
          </w:p>
        </w:tc>
      </w:tr>
      <w:tr>
        <w:trPr>
          <w:trHeight w:val="234"/>
        </w:trPr>
        <w:tc>
          <w:tcPr>
            <w:tcW w:w="3440" w:type="dxa"/>
            <w:vAlign w:val="bottom"/>
            <w:tcBorders>
              <w:left w:val="single" w:sz="8" w:color="auto"/>
              <w:right w:val="single" w:sz="8" w:color="auto"/>
            </w:tcBorders>
            <w:gridSpan w:val="9"/>
          </w:tcPr>
          <w:p>
            <w:pPr>
              <w:ind w:left="40"/>
              <w:spacing w:after="0"/>
              <w:rPr>
                <w:sz w:val="20"/>
                <w:szCs w:val="20"/>
                <w:color w:val="auto"/>
              </w:rPr>
            </w:pPr>
            <w:r>
              <w:rPr>
                <w:rFonts w:ascii="Arial" w:cs="Arial" w:eastAsia="Arial" w:hAnsi="Arial"/>
                <w:sz w:val="18"/>
                <w:szCs w:val="18"/>
                <w:color w:val="auto"/>
              </w:rPr>
              <w:t>Minimum EBITDA</w:t>
            </w:r>
          </w:p>
        </w:tc>
        <w:tc>
          <w:tcPr>
            <w:tcW w:w="25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December 27, 2013</w:t>
            </w: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$1,000,000</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Borders>
              <w:right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440" w:type="dxa"/>
            <w:vAlign w:val="bottom"/>
            <w:tcBorders>
              <w:left w:val="single" w:sz="8" w:color="auto"/>
              <w:right w:val="single" w:sz="8" w:color="auto"/>
            </w:tcBorders>
            <w:gridSpan w:val="9"/>
          </w:tcPr>
          <w:p>
            <w:pPr>
              <w:ind w:left="40"/>
              <w:spacing w:after="0"/>
              <w:rPr>
                <w:sz w:val="20"/>
                <w:szCs w:val="20"/>
                <w:color w:val="auto"/>
              </w:rPr>
            </w:pPr>
            <w:r>
              <w:rPr>
                <w:rFonts w:ascii="Arial" w:cs="Arial" w:eastAsia="Arial" w:hAnsi="Arial"/>
                <w:sz w:val="18"/>
                <w:szCs w:val="18"/>
                <w:color w:val="auto"/>
              </w:rPr>
              <w:t>Minimum Liquidity</w:t>
            </w:r>
          </w:p>
        </w:tc>
        <w:tc>
          <w:tcPr>
            <w:tcW w:w="740" w:type="dxa"/>
            <w:vAlign w:val="bottom"/>
            <w:gridSpan w:val="3"/>
          </w:tcPr>
          <w:p>
            <w:pPr>
              <w:ind w:left="20"/>
              <w:spacing w:after="0"/>
              <w:rPr>
                <w:sz w:val="20"/>
                <w:szCs w:val="20"/>
                <w:color w:val="auto"/>
              </w:rPr>
            </w:pPr>
            <w:r>
              <w:rPr>
                <w:rFonts w:ascii="Arial" w:cs="Arial" w:eastAsia="Arial" w:hAnsi="Arial"/>
                <w:sz w:val="18"/>
                <w:szCs w:val="18"/>
                <w:color w:val="auto"/>
                <w:w w:val="93"/>
              </w:rPr>
              <w:t>1.50:1.00</w:t>
            </w:r>
          </w:p>
        </w:tc>
        <w:tc>
          <w:tcPr>
            <w:tcW w:w="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820" w:type="dxa"/>
            <w:vAlign w:val="bottom"/>
            <w:gridSpan w:val="3"/>
          </w:tcPr>
          <w:p>
            <w:pPr>
              <w:ind w:left="20"/>
              <w:spacing w:after="0"/>
              <w:rPr>
                <w:sz w:val="20"/>
                <w:szCs w:val="20"/>
                <w:color w:val="auto"/>
              </w:rPr>
            </w:pPr>
            <w:r>
              <w:rPr>
                <w:rFonts w:ascii="Arial" w:cs="Arial" w:eastAsia="Arial" w:hAnsi="Arial"/>
                <w:sz w:val="18"/>
                <w:szCs w:val="18"/>
                <w:color w:val="auto"/>
                <w:w w:val="94"/>
              </w:rPr>
              <w:t>____:1.00</w:t>
            </w:r>
          </w:p>
        </w:tc>
        <w:tc>
          <w:tcPr>
            <w:tcW w:w="50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Borders>
              <w:right w:val="single" w:sz="8" w:color="auto"/>
            </w:tcBorders>
            <w:gridSpan w:val="4"/>
          </w:tcPr>
          <w:p>
            <w:pPr>
              <w:jc w:val="center"/>
              <w:ind w:right="340"/>
              <w:spacing w:after="0"/>
              <w:rPr>
                <w:sz w:val="20"/>
                <w:szCs w:val="20"/>
                <w:color w:val="auto"/>
              </w:rPr>
            </w:pPr>
            <w:r>
              <w:rPr>
                <w:rFonts w:ascii="Arial" w:cs="Arial" w:eastAsia="Arial" w:hAnsi="Arial"/>
                <w:sz w:val="20"/>
                <w:szCs w:val="20"/>
                <w:color w:val="auto"/>
                <w:w w:val="88"/>
              </w:rPr>
              <w:t>Yes No</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80" w:type="dxa"/>
            <w:vAlign w:val="bottom"/>
            <w:tcBorders>
              <w:right w:val="single" w:sz="8" w:color="auto"/>
            </w:tcBorders>
            <w:gridSpan w:val="7"/>
            <w:vMerge w:val="restart"/>
          </w:tcPr>
          <w:p>
            <w:pPr>
              <w:jc w:val="center"/>
              <w:ind w:right="360"/>
              <w:spacing w:after="0"/>
              <w:rPr>
                <w:sz w:val="20"/>
                <w:szCs w:val="20"/>
                <w:color w:val="auto"/>
              </w:rPr>
            </w:pPr>
            <w:r>
              <w:rPr>
                <w:rFonts w:ascii="Arial" w:cs="Arial" w:eastAsia="Arial" w:hAnsi="Arial"/>
                <w:sz w:val="18"/>
                <w:szCs w:val="18"/>
                <w:b w:val="1"/>
                <w:bCs w:val="1"/>
                <w:color w:val="auto"/>
                <w:w w:val="90"/>
              </w:rPr>
              <w:t>Notification Purposes Only</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60" w:type="dxa"/>
            <w:vAlign w:val="bottom"/>
            <w:tcBorders>
              <w:right w:val="single" w:sz="8" w:color="auto"/>
            </w:tcBorders>
            <w:gridSpan w:val="7"/>
          </w:tcPr>
          <w:p>
            <w:pPr>
              <w:jc w:val="center"/>
              <w:ind w:right="760"/>
              <w:spacing w:after="0"/>
              <w:rPr>
                <w:sz w:val="20"/>
                <w:szCs w:val="20"/>
                <w:color w:val="auto"/>
              </w:rPr>
            </w:pPr>
            <w:r>
              <w:rPr>
                <w:rFonts w:ascii="Arial" w:cs="Arial" w:eastAsia="Arial" w:hAnsi="Arial"/>
                <w:sz w:val="18"/>
                <w:szCs w:val="18"/>
                <w:b w:val="1"/>
                <w:bCs w:val="1"/>
                <w:color w:val="auto"/>
                <w:w w:val="91"/>
              </w:rPr>
              <w:t>Not Required Financial Covenant -</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3080" w:type="dxa"/>
            <w:vAlign w:val="bottom"/>
            <w:tcBorders>
              <w:right w:val="single" w:sz="8" w:color="auto"/>
            </w:tcBorders>
            <w:gridSpan w:val="7"/>
            <w:vMerge w:val="continue"/>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60" w:type="dxa"/>
            <w:vAlign w:val="bottom"/>
            <w:tcBorders>
              <w:right w:val="single" w:sz="8" w:color="auto"/>
            </w:tcBorders>
            <w:gridSpan w:val="7"/>
            <w:vMerge w:val="restart"/>
          </w:tcPr>
          <w:p>
            <w:pPr>
              <w:jc w:val="center"/>
              <w:ind w:right="760"/>
              <w:spacing w:after="0" w:line="194" w:lineRule="exact"/>
              <w:rPr>
                <w:sz w:val="20"/>
                <w:szCs w:val="20"/>
                <w:color w:val="auto"/>
              </w:rPr>
            </w:pPr>
            <w:r>
              <w:rPr>
                <w:rFonts w:ascii="Arial" w:cs="Arial" w:eastAsia="Arial" w:hAnsi="Arial"/>
                <w:sz w:val="18"/>
                <w:szCs w:val="18"/>
                <w:b w:val="1"/>
                <w:bCs w:val="1"/>
                <w:color w:val="auto"/>
                <w:w w:val="90"/>
              </w:rPr>
              <w:t>For Pricing Purposes Only</w:t>
            </w: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0" w:type="dxa"/>
            <w:vAlign w:val="bottom"/>
            <w:tcBorders>
              <w:lef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3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60" w:type="dxa"/>
            <w:vAlign w:val="bottom"/>
            <w:tcBorders>
              <w:right w:val="single" w:sz="8" w:color="auto"/>
            </w:tcBorders>
            <w:gridSpan w:val="7"/>
            <w:vMerge w:val="continue"/>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6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920" w:type="dxa"/>
            <w:vAlign w:val="bottom"/>
            <w:tcBorders>
              <w:top w:val="single" w:sz="8" w:color="auto"/>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440" w:type="dxa"/>
            <w:vAlign w:val="bottom"/>
            <w:tcBorders>
              <w:left w:val="single" w:sz="8" w:color="auto"/>
              <w:right w:val="single" w:sz="8" w:color="auto"/>
            </w:tcBorders>
            <w:gridSpan w:val="9"/>
          </w:tcPr>
          <w:p>
            <w:pPr>
              <w:ind w:left="40"/>
              <w:spacing w:after="0"/>
              <w:rPr>
                <w:sz w:val="20"/>
                <w:szCs w:val="20"/>
                <w:color w:val="auto"/>
              </w:rPr>
            </w:pPr>
            <w:r>
              <w:rPr>
                <w:rFonts w:ascii="Arial" w:cs="Arial" w:eastAsia="Arial" w:hAnsi="Arial"/>
                <w:sz w:val="18"/>
                <w:szCs w:val="18"/>
                <w:color w:val="auto"/>
              </w:rPr>
              <w:t>Consolidated Leverage Ratio</w:t>
            </w:r>
          </w:p>
        </w:tc>
        <w:tc>
          <w:tcPr>
            <w:tcW w:w="1460" w:type="dxa"/>
            <w:vAlign w:val="bottom"/>
            <w:gridSpan w:val="4"/>
          </w:tcPr>
          <w:p>
            <w:pPr>
              <w:ind w:left="20"/>
              <w:spacing w:after="0"/>
              <w:rPr>
                <w:sz w:val="20"/>
                <w:szCs w:val="20"/>
                <w:color w:val="auto"/>
              </w:rPr>
            </w:pPr>
            <w:r>
              <w:rPr>
                <w:rFonts w:ascii="Arial" w:cs="Arial" w:eastAsia="Arial" w:hAnsi="Arial"/>
                <w:sz w:val="18"/>
                <w:szCs w:val="18"/>
                <w:color w:val="auto"/>
                <w:w w:val="91"/>
              </w:rPr>
              <w:t>_______ : _______</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financial covenant analys[is][es] and information set forth in Schedule 1 attached hereto are true and accurate as of the date this Certificate is delivered to Bank as set forth in the first line of this Certificate.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exceptions with respect to the certification above: (If no exceptions exist, state “No exceptions to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738" w:right="239" w:bottom="1440" w:gutter="0" w:footer="0" w:header="0"/>
        </w:sectPr>
      </w:pPr>
    </w:p>
    <w:bookmarkStart w:id="36" w:name="page37"/>
    <w:bookmarkEnd w:id="36"/>
    <w:p>
      <w:pPr>
        <w:spacing w:after="0" w:line="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ADMINISTRATIVE 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BANK USE ONLY</w:t>
      </w:r>
    </w:p>
    <w:p>
      <w:pPr>
        <w:spacing w:after="0" w:line="204" w:lineRule="exact"/>
        <w:rPr>
          <w:sz w:val="20"/>
          <w:szCs w:val="20"/>
          <w:color w:val="auto"/>
        </w:rPr>
      </w:pPr>
    </w:p>
    <w:p>
      <w:pPr>
        <w:sectPr>
          <w:pgSz w:w="11900" w:h="16838" w:orient="portrait"/>
          <w:cols w:equalWidth="0" w:num="2">
            <w:col w:w="5140" w:space="720"/>
            <w:col w:w="5220"/>
          </w:cols>
          <w:pgMar w:left="240" w:top="742" w:right="579" w:bottom="1440" w:gutter="0" w:footer="0" w:header="0"/>
        </w:sectPr>
      </w:pPr>
    </w:p>
    <w:p>
      <w:pPr>
        <w:spacing w:after="0" w:line="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AVIAT NETWORKS, INC.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Received by: _____________________</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authorized signer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Date: _________________________</w:t>
      </w:r>
    </w:p>
    <w:p>
      <w:pPr>
        <w:spacing w:after="0" w:line="200" w:lineRule="exact"/>
        <w:rPr>
          <w:sz w:val="20"/>
          <w:szCs w:val="20"/>
          <w:color w:val="auto"/>
        </w:rPr>
      </w:pPr>
    </w:p>
    <w:p>
      <w:pPr>
        <w:sectPr>
          <w:pgSz w:w="11900" w:h="16838" w:orient="portrait"/>
          <w:cols w:equalWidth="0" w:num="2">
            <w:col w:w="5140" w:space="720"/>
            <w:col w:w="5220"/>
          </w:cols>
          <w:pgMar w:left="240" w:top="742" w:right="579" w:bottom="1440" w:gutter="0" w:footer="0" w:header="0"/>
          <w:type w:val="continuous"/>
        </w:sectPr>
      </w:pP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Verified: ________________________</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authorized signer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Date: _________________________</w:t>
      </w:r>
    </w:p>
    <w:p>
      <w:pPr>
        <w:spacing w:after="0" w:line="211" w:lineRule="exact"/>
        <w:rPr>
          <w:sz w:val="20"/>
          <w:szCs w:val="20"/>
          <w:color w:val="auto"/>
        </w:rPr>
      </w:pPr>
    </w:p>
    <w:p>
      <w:pPr>
        <w:sectPr>
          <w:pgSz w:w="11900" w:h="16838" w:orient="portrait"/>
          <w:cols w:equalWidth="0" w:num="2">
            <w:col w:w="5140" w:space="720"/>
            <w:col w:w="5220"/>
          </w:cols>
          <w:pgMar w:left="240" w:top="742" w:right="579" w:bottom="1440" w:gutter="0" w:footer="0" w:header="0"/>
          <w:type w:val="continuous"/>
        </w:sectPr>
      </w:pPr>
    </w:p>
    <w:p>
      <w:pPr>
        <w:spacing w:after="0" w:line="1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Compliance Status:Yes No</w:t>
      </w:r>
    </w:p>
    <w:p>
      <w:pPr>
        <w:spacing w:after="0" w:line="200" w:lineRule="exact"/>
        <w:rPr>
          <w:sz w:val="20"/>
          <w:szCs w:val="20"/>
          <w:color w:val="auto"/>
        </w:rPr>
      </w:pPr>
    </w:p>
    <w:p>
      <w:pPr>
        <w:spacing w:after="0" w:line="287"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Schedule 1 to Compliance Certificate</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Financial Covenants of Borrower</w:t>
      </w:r>
    </w:p>
    <w:p>
      <w:pPr>
        <w:sectPr>
          <w:pgSz w:w="11900" w:h="16838" w:orient="portrait"/>
          <w:cols w:equalWidth="0" w:num="1">
            <w:col w:w="11080"/>
          </w:cols>
          <w:pgMar w:left="240" w:top="742" w:right="579" w:bottom="1440" w:gutter="0" w:footer="0" w:header="0"/>
          <w:type w:val="continuous"/>
        </w:sect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 conflict between this Schedule and the Loan Agreement, the terms of the Loan Agreement shall govern.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____________________</w:t>
      </w:r>
    </w:p>
    <w:p>
      <w:pPr>
        <w:spacing w:after="0" w:line="221"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Liquidity Coverage (Section 6.7(a))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w w:val="99"/>
              </w:rPr>
              <w:t>Required:</w:t>
            </w:r>
          </w:p>
        </w:tc>
        <w:tc>
          <w:tcPr>
            <w:tcW w:w="9640" w:type="dxa"/>
            <w:vAlign w:val="bottom"/>
          </w:tcPr>
          <w:p>
            <w:pPr>
              <w:ind w:left="100"/>
              <w:spacing w:after="0"/>
              <w:rPr>
                <w:sz w:val="20"/>
                <w:szCs w:val="20"/>
                <w:color w:val="auto"/>
              </w:rPr>
            </w:pPr>
            <w:r>
              <w:rPr>
                <w:rFonts w:ascii="Arial" w:cs="Arial" w:eastAsia="Arial" w:hAnsi="Arial"/>
                <w:sz w:val="18"/>
                <w:szCs w:val="18"/>
                <w:color w:val="auto"/>
              </w:rPr>
              <w:t>1.50:1.00</w:t>
            </w:r>
          </w:p>
        </w:tc>
        <w:tc>
          <w:tcPr>
            <w:tcW w:w="64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Actual:</w:t>
            </w:r>
          </w:p>
        </w:tc>
        <w:tc>
          <w:tcPr>
            <w:tcW w:w="9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94"/>
        </w:trPr>
        <w:tc>
          <w:tcPr>
            <w:tcW w:w="800" w:type="dxa"/>
            <w:vAlign w:val="bottom"/>
          </w:tcPr>
          <w:p>
            <w:pPr>
              <w:ind w:left="340"/>
              <w:spacing w:after="0"/>
              <w:rPr>
                <w:sz w:val="20"/>
                <w:szCs w:val="20"/>
                <w:color w:val="auto"/>
              </w:rPr>
            </w:pPr>
            <w:r>
              <w:rPr>
                <w:rFonts w:ascii="Arial" w:cs="Arial" w:eastAsia="Arial" w:hAnsi="Arial"/>
                <w:sz w:val="18"/>
                <w:szCs w:val="18"/>
                <w:color w:val="auto"/>
              </w:rPr>
              <w:t>A.</w:t>
            </w:r>
          </w:p>
        </w:tc>
        <w:tc>
          <w:tcPr>
            <w:tcW w:w="9640" w:type="dxa"/>
            <w:vAlign w:val="bottom"/>
          </w:tcPr>
          <w:p>
            <w:pPr>
              <w:ind w:left="200"/>
              <w:spacing w:after="0"/>
              <w:rPr>
                <w:sz w:val="20"/>
                <w:szCs w:val="20"/>
                <w:color w:val="auto"/>
              </w:rPr>
            </w:pPr>
            <w:r>
              <w:rPr>
                <w:rFonts w:ascii="Arial" w:cs="Arial" w:eastAsia="Arial" w:hAnsi="Arial"/>
                <w:sz w:val="18"/>
                <w:szCs w:val="18"/>
                <w:color w:val="auto"/>
              </w:rPr>
              <w:t>Unrestricted domestic cash and Cash Equivalents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00" w:type="dxa"/>
            <w:vAlign w:val="bottom"/>
          </w:tcPr>
          <w:p>
            <w:pPr>
              <w:ind w:left="340"/>
              <w:spacing w:after="0"/>
              <w:rPr>
                <w:sz w:val="20"/>
                <w:szCs w:val="20"/>
                <w:color w:val="auto"/>
              </w:rPr>
            </w:pPr>
            <w:r>
              <w:rPr>
                <w:rFonts w:ascii="Arial" w:cs="Arial" w:eastAsia="Arial" w:hAnsi="Arial"/>
                <w:sz w:val="18"/>
                <w:szCs w:val="18"/>
                <w:color w:val="auto"/>
              </w:rPr>
              <w:t>B.</w:t>
            </w:r>
          </w:p>
        </w:tc>
        <w:tc>
          <w:tcPr>
            <w:tcW w:w="9640" w:type="dxa"/>
            <w:vAlign w:val="bottom"/>
          </w:tcPr>
          <w:p>
            <w:pPr>
              <w:ind w:left="200"/>
              <w:spacing w:after="0"/>
              <w:rPr>
                <w:sz w:val="20"/>
                <w:szCs w:val="20"/>
                <w:color w:val="auto"/>
              </w:rPr>
            </w:pPr>
            <w:r>
              <w:rPr>
                <w:rFonts w:ascii="Arial" w:cs="Arial" w:eastAsia="Arial" w:hAnsi="Arial"/>
                <w:sz w:val="18"/>
                <w:szCs w:val="18"/>
                <w:color w:val="auto"/>
              </w:rPr>
              <w:t>Domestic short-term and long-term marketable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00" w:type="dxa"/>
            <w:vAlign w:val="bottom"/>
          </w:tcPr>
          <w:p>
            <w:pPr>
              <w:spacing w:after="0"/>
              <w:rPr>
                <w:sz w:val="22"/>
                <w:szCs w:val="22"/>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w w:val="95"/>
              </w:rPr>
              <w:t>Unrestricted cash and Cash Equivalents and short-term and long-term marketable securities, in an aggregate amount not to</w:t>
            </w:r>
          </w:p>
        </w:tc>
        <w:tc>
          <w:tcPr>
            <w:tcW w:w="640" w:type="dxa"/>
            <w:vAlign w:val="bottom"/>
          </w:tcPr>
          <w:p>
            <w:pPr>
              <w:spacing w:after="0"/>
              <w:rPr>
                <w:sz w:val="22"/>
                <w:szCs w:val="22"/>
                <w:color w:val="auto"/>
              </w:rPr>
            </w:pPr>
          </w:p>
        </w:tc>
      </w:tr>
      <w:tr>
        <w:trPr>
          <w:trHeight w:val="216"/>
        </w:trPr>
        <w:tc>
          <w:tcPr>
            <w:tcW w:w="80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w w:val="99"/>
              </w:rPr>
              <w:t>exceed $30,000,000, of Singapore Borrower (x) managed by SVB Asset Management and held in a Securities Account</w:t>
            </w:r>
          </w:p>
        </w:tc>
        <w:tc>
          <w:tcPr>
            <w:tcW w:w="6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w w:val="97"/>
              </w:rPr>
              <w:t>maintained at U.S. Bank, N.A. that is subject to a Control Agreement and/or (y) maintained in a domestic Deposit Account</w:t>
            </w:r>
          </w:p>
        </w:tc>
        <w:tc>
          <w:tcPr>
            <w:tcW w:w="640" w:type="dxa"/>
            <w:vAlign w:val="bottom"/>
          </w:tcPr>
          <w:p>
            <w:pPr>
              <w:spacing w:after="0"/>
              <w:rPr>
                <w:sz w:val="18"/>
                <w:szCs w:val="18"/>
                <w:color w:val="auto"/>
              </w:rPr>
            </w:pPr>
          </w:p>
        </w:tc>
      </w:tr>
      <w:tr>
        <w:trPr>
          <w:trHeight w:val="230"/>
        </w:trPr>
        <w:tc>
          <w:tcPr>
            <w:tcW w:w="800" w:type="dxa"/>
            <w:vAlign w:val="bottom"/>
          </w:tcPr>
          <w:p>
            <w:pPr>
              <w:ind w:left="340"/>
              <w:spacing w:after="0"/>
              <w:rPr>
                <w:sz w:val="20"/>
                <w:szCs w:val="20"/>
                <w:color w:val="auto"/>
              </w:rPr>
            </w:pPr>
            <w:r>
              <w:rPr>
                <w:rFonts w:ascii="Arial" w:cs="Arial" w:eastAsia="Arial" w:hAnsi="Arial"/>
                <w:sz w:val="18"/>
                <w:szCs w:val="18"/>
                <w:color w:val="auto"/>
              </w:rPr>
              <w:t>C.</w:t>
            </w:r>
          </w:p>
        </w:tc>
        <w:tc>
          <w:tcPr>
            <w:tcW w:w="9640" w:type="dxa"/>
            <w:vAlign w:val="bottom"/>
          </w:tcPr>
          <w:p>
            <w:pPr>
              <w:ind w:left="200"/>
              <w:spacing w:after="0"/>
              <w:rPr>
                <w:sz w:val="20"/>
                <w:szCs w:val="20"/>
                <w:color w:val="auto"/>
              </w:rPr>
            </w:pPr>
            <w:r>
              <w:rPr>
                <w:rFonts w:ascii="Arial" w:cs="Arial" w:eastAsia="Arial" w:hAnsi="Arial"/>
                <w:sz w:val="18"/>
                <w:szCs w:val="18"/>
                <w:color w:val="auto"/>
              </w:rPr>
              <w:t>with Bank and denominated in Dollars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00" w:type="dxa"/>
            <w:vAlign w:val="bottom"/>
          </w:tcPr>
          <w:p>
            <w:pPr>
              <w:ind w:left="340"/>
              <w:spacing w:after="0"/>
              <w:rPr>
                <w:sz w:val="20"/>
                <w:szCs w:val="20"/>
                <w:color w:val="auto"/>
              </w:rPr>
            </w:pPr>
            <w:r>
              <w:rPr>
                <w:rFonts w:ascii="Arial" w:cs="Arial" w:eastAsia="Arial" w:hAnsi="Arial"/>
                <w:sz w:val="18"/>
                <w:szCs w:val="18"/>
                <w:color w:val="auto"/>
              </w:rPr>
              <w:t>D.</w:t>
            </w:r>
          </w:p>
        </w:tc>
        <w:tc>
          <w:tcPr>
            <w:tcW w:w="9640" w:type="dxa"/>
            <w:vAlign w:val="bottom"/>
          </w:tcPr>
          <w:p>
            <w:pPr>
              <w:ind w:left="200"/>
              <w:spacing w:after="0"/>
              <w:rPr>
                <w:sz w:val="20"/>
                <w:szCs w:val="20"/>
                <w:color w:val="auto"/>
              </w:rPr>
            </w:pPr>
            <w:r>
              <w:rPr>
                <w:rFonts w:ascii="Arial" w:cs="Arial" w:eastAsia="Arial" w:hAnsi="Arial"/>
                <w:sz w:val="18"/>
                <w:szCs w:val="18"/>
                <w:color w:val="auto"/>
              </w:rPr>
              <w:t>25% of Eligible Accounts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00" w:type="dxa"/>
            <w:vAlign w:val="bottom"/>
          </w:tcPr>
          <w:p>
            <w:pPr>
              <w:ind w:left="340"/>
              <w:spacing w:after="0"/>
              <w:rPr>
                <w:sz w:val="20"/>
                <w:szCs w:val="20"/>
                <w:color w:val="auto"/>
              </w:rPr>
            </w:pPr>
            <w:r>
              <w:rPr>
                <w:rFonts w:ascii="Arial" w:cs="Arial" w:eastAsia="Arial" w:hAnsi="Arial"/>
                <w:sz w:val="18"/>
                <w:szCs w:val="18"/>
                <w:color w:val="auto"/>
              </w:rPr>
              <w:t>E.</w:t>
            </w:r>
          </w:p>
        </w:tc>
        <w:tc>
          <w:tcPr>
            <w:tcW w:w="9640" w:type="dxa"/>
            <w:vAlign w:val="bottom"/>
          </w:tcPr>
          <w:p>
            <w:pPr>
              <w:ind w:left="200"/>
              <w:spacing w:after="0"/>
              <w:rPr>
                <w:sz w:val="20"/>
                <w:szCs w:val="20"/>
                <w:color w:val="auto"/>
              </w:rPr>
            </w:pPr>
            <w:r>
              <w:rPr>
                <w:rFonts w:ascii="Arial" w:cs="Arial" w:eastAsia="Arial" w:hAnsi="Arial"/>
                <w:sz w:val="18"/>
                <w:szCs w:val="18"/>
                <w:color w:val="auto"/>
              </w:rPr>
              <w:t>Liquidity (line A plus line B plus line C plus (lesser of line D and $12,500,000))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00" w:type="dxa"/>
            <w:vAlign w:val="bottom"/>
          </w:tcPr>
          <w:p>
            <w:pPr>
              <w:spacing w:after="0"/>
              <w:rPr>
                <w:sz w:val="22"/>
                <w:szCs w:val="22"/>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All debts, principal, interest, Bank Expenses and other amounts Borrowers owe Bank now or later, whether under this</w:t>
            </w:r>
          </w:p>
        </w:tc>
        <w:tc>
          <w:tcPr>
            <w:tcW w:w="640" w:type="dxa"/>
            <w:vAlign w:val="bottom"/>
          </w:tcPr>
          <w:p>
            <w:pPr>
              <w:spacing w:after="0"/>
              <w:rPr>
                <w:sz w:val="22"/>
                <w:szCs w:val="22"/>
                <w:color w:val="auto"/>
              </w:rPr>
            </w:pPr>
          </w:p>
        </w:tc>
      </w:tr>
      <w:tr>
        <w:trPr>
          <w:trHeight w:val="216"/>
        </w:trPr>
        <w:tc>
          <w:tcPr>
            <w:tcW w:w="80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Agreement, the Loan Documents, or otherwise, including, without limitation, the Singapore Obligations, all obligations</w:t>
            </w:r>
          </w:p>
        </w:tc>
        <w:tc>
          <w:tcPr>
            <w:tcW w:w="6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relating to letters of credit (including reimbursement obligations for drawn and undrawn letters of credit), and including</w:t>
            </w:r>
          </w:p>
        </w:tc>
        <w:tc>
          <w:tcPr>
            <w:tcW w:w="640" w:type="dxa"/>
            <w:vAlign w:val="bottom"/>
          </w:tcPr>
          <w:p>
            <w:pPr>
              <w:spacing w:after="0"/>
              <w:rPr>
                <w:sz w:val="18"/>
                <w:szCs w:val="18"/>
                <w:color w:val="auto"/>
              </w:rPr>
            </w:pPr>
          </w:p>
        </w:tc>
      </w:tr>
      <w:tr>
        <w:trPr>
          <w:trHeight w:val="230"/>
        </w:trPr>
        <w:tc>
          <w:tcPr>
            <w:tcW w:w="800" w:type="dxa"/>
            <w:vAlign w:val="bottom"/>
          </w:tcPr>
          <w:p>
            <w:pPr>
              <w:ind w:left="340"/>
              <w:spacing w:after="0"/>
              <w:rPr>
                <w:sz w:val="20"/>
                <w:szCs w:val="20"/>
                <w:color w:val="auto"/>
              </w:rPr>
            </w:pPr>
            <w:r>
              <w:rPr>
                <w:rFonts w:ascii="Arial" w:cs="Arial" w:eastAsia="Arial" w:hAnsi="Arial"/>
                <w:sz w:val="18"/>
                <w:szCs w:val="18"/>
                <w:color w:val="auto"/>
              </w:rPr>
              <w:t>F.</w:t>
            </w:r>
          </w:p>
        </w:tc>
        <w:tc>
          <w:tcPr>
            <w:tcW w:w="9640" w:type="dxa"/>
            <w:vAlign w:val="bottom"/>
          </w:tcPr>
          <w:p>
            <w:pPr>
              <w:ind w:left="200"/>
              <w:spacing w:after="0"/>
              <w:rPr>
                <w:sz w:val="20"/>
                <w:szCs w:val="20"/>
                <w:color w:val="auto"/>
              </w:rPr>
            </w:pPr>
            <w:r>
              <w:rPr>
                <w:rFonts w:ascii="Arial" w:cs="Arial" w:eastAsia="Arial" w:hAnsi="Arial"/>
                <w:sz w:val="18"/>
                <w:szCs w:val="18"/>
                <w:color w:val="auto"/>
                <w:w w:val="99"/>
              </w:rPr>
              <w:t>interest accruing after Insolvency Proceedings begin and debts, liabilities, or obligations of Borrowers assigned to Bank.</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Is line E at least 1.50 times greater than line F?</w:t>
      </w:r>
    </w:p>
    <w:p>
      <w:pPr>
        <w:spacing w:after="0" w:line="225" w:lineRule="exact"/>
        <w:rPr>
          <w:sz w:val="20"/>
          <w:szCs w:val="20"/>
          <w:color w:val="auto"/>
        </w:rPr>
      </w:pPr>
    </w:p>
    <w:p>
      <w:pPr>
        <w:ind w:left="1400"/>
        <w:spacing w:after="0"/>
        <w:tabs>
          <w:tab w:leader="none" w:pos="3960" w:val="left"/>
        </w:tabs>
        <w:rPr>
          <w:sz w:val="20"/>
          <w:szCs w:val="20"/>
          <w:color w:val="auto"/>
        </w:rPr>
      </w:pPr>
      <w:r>
        <w:rPr>
          <w:rFonts w:ascii="Arial" w:cs="Arial" w:eastAsia="Arial" w:hAnsi="Arial"/>
          <w:sz w:val="18"/>
          <w:szCs w:val="18"/>
          <w:color w:val="auto"/>
        </w:rPr>
        <w:t>No, not in compliance</w:t>
      </w:r>
      <w:r>
        <w:rPr>
          <w:sz w:val="20"/>
          <w:szCs w:val="20"/>
          <w:color w:val="auto"/>
        </w:rPr>
        <w:tab/>
      </w:r>
      <w:r>
        <w:rPr>
          <w:rFonts w:ascii="Arial" w:cs="Arial" w:eastAsia="Arial" w:hAnsi="Arial"/>
          <w:sz w:val="16"/>
          <w:szCs w:val="16"/>
          <w:color w:val="auto"/>
        </w:rPr>
        <w:t>Yes, in compliance</w:t>
      </w:r>
    </w:p>
    <w:p>
      <w:pPr>
        <w:spacing w:after="0" w:line="200" w:lineRule="exact"/>
        <w:rPr>
          <w:sz w:val="20"/>
          <w:szCs w:val="20"/>
          <w:color w:val="auto"/>
        </w:rPr>
      </w:pPr>
    </w:p>
    <w:p>
      <w:pPr>
        <w:spacing w:after="0" w:line="260"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22"/>
          <w:szCs w:val="22"/>
          <w:color w:val="auto"/>
        </w:rPr>
      </w:pPr>
      <w:r>
        <w:rPr>
          <w:rFonts w:ascii="Arial" w:cs="Arial" w:eastAsia="Arial" w:hAnsi="Arial"/>
          <w:sz w:val="20"/>
          <w:szCs w:val="20"/>
          <w:b w:val="1"/>
          <w:bCs w:val="1"/>
          <w:color w:val="auto"/>
        </w:rPr>
        <w:t>EBITDA (Section 6.7(b))</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Required:</w:t>
      </w:r>
    </w:p>
    <w:p>
      <w:pPr>
        <w:sectPr>
          <w:pgSz w:w="11900" w:h="16838" w:orient="portrait"/>
          <w:cols w:equalWidth="0" w:num="1">
            <w:col w:w="11080"/>
          </w:cols>
          <w:pgMar w:left="240" w:top="742" w:right="579" w:bottom="1440" w:gutter="0" w:footer="0" w:header="0"/>
          <w:type w:val="continuous"/>
        </w:sectPr>
      </w:pPr>
    </w:p>
    <w:bookmarkStart w:id="37" w:name="page38"/>
    <w:bookmarkEnd w:id="37"/>
    <w:tbl>
      <w:tblPr>
        <w:tblLayout w:type="fixed"/>
        <w:tblInd w:w="2990" w:type="dxa"/>
        <w:tblCellMar>
          <w:top w:w="0" w:type="dxa"/>
          <w:left w:w="0" w:type="dxa"/>
          <w:bottom w:w="0" w:type="dxa"/>
          <w:right w:w="0" w:type="dxa"/>
        </w:tblCellMar>
      </w:tblPr>
      <w:tr>
        <w:trPr>
          <w:trHeight w:val="257"/>
        </w:trPr>
        <w:tc>
          <w:tcPr>
            <w:tcW w:w="3140" w:type="dxa"/>
            <w:vAlign w:val="bottom"/>
            <w:tcBorders>
              <w:top w:val="single" w:sz="8" w:color="auto"/>
              <w:left w:val="single" w:sz="8" w:color="auto"/>
              <w:right w:val="single" w:sz="8" w:color="auto"/>
            </w:tcBorders>
          </w:tcPr>
          <w:p>
            <w:pPr>
              <w:ind w:left="820"/>
              <w:spacing w:after="0"/>
              <w:rPr>
                <w:sz w:val="20"/>
                <w:szCs w:val="20"/>
                <w:color w:val="auto"/>
              </w:rPr>
            </w:pPr>
            <w:r>
              <w:rPr>
                <w:rFonts w:ascii="Arial" w:cs="Arial" w:eastAsia="Arial" w:hAnsi="Arial"/>
                <w:sz w:val="18"/>
                <w:szCs w:val="18"/>
                <w:b w:val="1"/>
                <w:bCs w:val="1"/>
                <w:color w:val="auto"/>
              </w:rPr>
              <w:t>Fiscal Quarter End</w:t>
            </w:r>
          </w:p>
        </w:tc>
        <w:tc>
          <w:tcPr>
            <w:tcW w:w="234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Minimum EBITDA</w:t>
            </w:r>
          </w:p>
        </w:tc>
      </w:tr>
      <w:tr>
        <w:trPr>
          <w:trHeight w:val="27"/>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37"/>
        </w:trPr>
        <w:tc>
          <w:tcPr>
            <w:tcW w:w="3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September 28, 2012</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$(3,100,000)</w:t>
            </w:r>
          </w:p>
        </w:tc>
      </w:tr>
      <w:tr>
        <w:trPr>
          <w:trHeight w:val="27"/>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37"/>
        </w:trPr>
        <w:tc>
          <w:tcPr>
            <w:tcW w:w="3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December 28, 2012</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$(2,000,000)</w:t>
            </w:r>
          </w:p>
        </w:tc>
      </w:tr>
      <w:tr>
        <w:trPr>
          <w:trHeight w:val="27"/>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37"/>
        </w:trPr>
        <w:tc>
          <w:tcPr>
            <w:tcW w:w="3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March 29, 2013</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7"/>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2"/>
        </w:trPr>
        <w:tc>
          <w:tcPr>
            <w:tcW w:w="3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June 28, 2013 through</w:t>
            </w:r>
          </w:p>
        </w:tc>
        <w:tc>
          <w:tcPr>
            <w:tcW w:w="2340" w:type="dxa"/>
            <w:vAlign w:val="bottom"/>
            <w:tcBorders>
              <w:right w:val="single" w:sz="8" w:color="auto"/>
            </w:tcBorders>
          </w:tcPr>
          <w:p>
            <w:pPr>
              <w:spacing w:after="0"/>
              <w:rPr>
                <w:sz w:val="19"/>
                <w:szCs w:val="19"/>
                <w:color w:val="auto"/>
              </w:rPr>
            </w:pPr>
          </w:p>
        </w:tc>
      </w:tr>
      <w:tr>
        <w:trPr>
          <w:trHeight w:val="216"/>
        </w:trPr>
        <w:tc>
          <w:tcPr>
            <w:tcW w:w="3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fiscal quarter ending</w:t>
            </w:r>
          </w:p>
        </w:tc>
        <w:tc>
          <w:tcPr>
            <w:tcW w:w="2340" w:type="dxa"/>
            <w:vAlign w:val="bottom"/>
            <w:tcBorders>
              <w:right w:val="single" w:sz="8" w:color="auto"/>
            </w:tcBorders>
          </w:tcPr>
          <w:p>
            <w:pPr>
              <w:spacing w:after="0"/>
              <w:rPr>
                <w:sz w:val="18"/>
                <w:szCs w:val="18"/>
                <w:color w:val="auto"/>
              </w:rPr>
            </w:pPr>
          </w:p>
        </w:tc>
      </w:tr>
      <w:tr>
        <w:trPr>
          <w:trHeight w:val="230"/>
        </w:trPr>
        <w:tc>
          <w:tcPr>
            <w:tcW w:w="3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December 27, 2013</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$1,000,000</w:t>
            </w:r>
          </w:p>
        </w:tc>
      </w:tr>
      <w:tr>
        <w:trPr>
          <w:trHeight w:val="27"/>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Actual:</w:t>
      </w:r>
    </w:p>
    <w:p>
      <w:pPr>
        <w:spacing w:after="0" w:line="171" w:lineRule="exact"/>
        <w:rPr>
          <w:sz w:val="20"/>
          <w:szCs w:val="20"/>
          <w:color w:val="auto"/>
        </w:rPr>
      </w:pPr>
    </w:p>
    <w:p>
      <w:pPr>
        <w:ind w:left="1040" w:hanging="65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Consolidated Net Income</w:t>
      </w:r>
    </w:p>
    <w:p>
      <w:pPr>
        <w:spacing w:after="0" w:line="63" w:lineRule="exact"/>
        <w:rPr>
          <w:rFonts w:ascii="Arial" w:cs="Arial" w:eastAsia="Arial" w:hAnsi="Arial"/>
          <w:sz w:val="18"/>
          <w:szCs w:val="18"/>
          <w:color w:val="auto"/>
        </w:rPr>
      </w:pPr>
    </w:p>
    <w:p>
      <w:pPr>
        <w:ind w:left="1040" w:right="2700"/>
        <w:spacing w:after="0" w:line="313" w:lineRule="auto"/>
        <w:rPr>
          <w:rFonts w:ascii="Arial" w:cs="Arial" w:eastAsia="Arial" w:hAnsi="Arial"/>
          <w:sz w:val="18"/>
          <w:szCs w:val="18"/>
          <w:color w:val="auto"/>
        </w:rPr>
      </w:pPr>
      <w:r>
        <w:rPr>
          <w:rFonts w:ascii="Arial" w:cs="Arial" w:eastAsia="Arial" w:hAnsi="Arial"/>
          <w:sz w:val="18"/>
          <w:szCs w:val="18"/>
          <w:color w:val="auto"/>
        </w:rPr>
        <w:t>To the extent deducted in the calculation of Net Income (Line A): (i)Consolidated Interest Charges</w:t>
      </w:r>
    </w:p>
    <w:p>
      <w:pPr>
        <w:ind w:left="1040"/>
        <w:spacing w:after="0"/>
        <w:rPr>
          <w:rFonts w:ascii="Arial" w:cs="Arial" w:eastAsia="Arial" w:hAnsi="Arial"/>
          <w:sz w:val="18"/>
          <w:szCs w:val="18"/>
          <w:color w:val="auto"/>
        </w:rPr>
      </w:pPr>
      <w:r>
        <w:rPr>
          <w:rFonts w:ascii="Arial" w:cs="Arial" w:eastAsia="Arial" w:hAnsi="Arial"/>
          <w:sz w:val="18"/>
          <w:szCs w:val="18"/>
          <w:color w:val="auto"/>
        </w:rPr>
        <w:t>(ii)Income tax expense</w:t>
      </w:r>
    </w:p>
    <w:p>
      <w:pPr>
        <w:spacing w:after="0" w:line="63" w:lineRule="exact"/>
        <w:rPr>
          <w:rFonts w:ascii="Arial" w:cs="Arial" w:eastAsia="Arial" w:hAnsi="Arial"/>
          <w:sz w:val="18"/>
          <w:szCs w:val="18"/>
          <w:color w:val="auto"/>
        </w:rPr>
      </w:pPr>
    </w:p>
    <w:p>
      <w:pPr>
        <w:ind w:left="1040" w:right="3960"/>
        <w:spacing w:after="0" w:line="313" w:lineRule="auto"/>
        <w:rPr>
          <w:rFonts w:ascii="Arial" w:cs="Arial" w:eastAsia="Arial" w:hAnsi="Arial"/>
          <w:sz w:val="18"/>
          <w:szCs w:val="18"/>
          <w:color w:val="auto"/>
        </w:rPr>
      </w:pPr>
      <w:r>
        <w:rPr>
          <w:rFonts w:ascii="Arial" w:cs="Arial" w:eastAsia="Arial" w:hAnsi="Arial"/>
          <w:sz w:val="18"/>
          <w:szCs w:val="18"/>
          <w:color w:val="auto"/>
        </w:rPr>
        <w:t>(iii)Depreciation and amortization expense (iv)Non-cash restructuring charges (v)Non-cash stock-based compensation expense</w:t>
      </w:r>
    </w:p>
    <w:p>
      <w:pPr>
        <w:ind w:left="1040" w:right="1440"/>
        <w:spacing w:after="0" w:line="310" w:lineRule="auto"/>
        <w:rPr>
          <w:rFonts w:ascii="Arial" w:cs="Arial" w:eastAsia="Arial" w:hAnsi="Arial"/>
          <w:sz w:val="18"/>
          <w:szCs w:val="18"/>
          <w:color w:val="auto"/>
        </w:rPr>
      </w:pPr>
      <w:r>
        <w:rPr>
          <w:rFonts w:ascii="Arial" w:cs="Arial" w:eastAsia="Arial" w:hAnsi="Arial"/>
          <w:sz w:val="18"/>
          <w:szCs w:val="18"/>
          <w:color w:val="auto"/>
        </w:rPr>
        <w:t>(vi) Non-cash charges of customer service inventory due to downward revaluations (vii)Other non-cash expenses</w:t>
      </w:r>
    </w:p>
    <w:p>
      <w:pPr>
        <w:spacing w:after="0" w:line="1" w:lineRule="exact"/>
        <w:rPr>
          <w:rFonts w:ascii="Arial" w:cs="Arial" w:eastAsia="Arial" w:hAnsi="Arial"/>
          <w:sz w:val="18"/>
          <w:szCs w:val="18"/>
          <w:color w:val="auto"/>
        </w:rPr>
      </w:pPr>
    </w:p>
    <w:p>
      <w:pPr>
        <w:ind w:left="1040" w:hanging="65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Sum of (i) through (vii)</w:t>
      </w:r>
    </w:p>
    <w:p>
      <w:pPr>
        <w:spacing w:after="0" w:line="67" w:lineRule="exact"/>
        <w:rPr>
          <w:rFonts w:ascii="Arial" w:cs="Arial" w:eastAsia="Arial" w:hAnsi="Arial"/>
          <w:sz w:val="18"/>
          <w:szCs w:val="18"/>
          <w:color w:val="auto"/>
        </w:rPr>
      </w:pPr>
    </w:p>
    <w:p>
      <w:pPr>
        <w:ind w:left="1040" w:right="2200"/>
        <w:spacing w:after="0" w:line="313" w:lineRule="auto"/>
        <w:rPr>
          <w:rFonts w:ascii="Arial" w:cs="Arial" w:eastAsia="Arial" w:hAnsi="Arial"/>
          <w:sz w:val="18"/>
          <w:szCs w:val="18"/>
          <w:color w:val="auto"/>
        </w:rPr>
      </w:pPr>
      <w:r>
        <w:rPr>
          <w:rFonts w:ascii="Arial" w:cs="Arial" w:eastAsia="Arial" w:hAnsi="Arial"/>
          <w:sz w:val="18"/>
          <w:szCs w:val="18"/>
          <w:color w:val="auto"/>
        </w:rPr>
        <w:t>To the extent included in calculating Consolidated Net Income (Line A): (i)Income tax credits</w:t>
      </w:r>
    </w:p>
    <w:p>
      <w:pPr>
        <w:ind w:left="1040"/>
        <w:spacing w:after="0"/>
        <w:rPr>
          <w:rFonts w:ascii="Arial" w:cs="Arial" w:eastAsia="Arial" w:hAnsi="Arial"/>
          <w:sz w:val="18"/>
          <w:szCs w:val="18"/>
          <w:color w:val="auto"/>
        </w:rPr>
      </w:pPr>
      <w:r>
        <w:rPr>
          <w:rFonts w:ascii="Arial" w:cs="Arial" w:eastAsia="Arial" w:hAnsi="Arial"/>
          <w:sz w:val="18"/>
          <w:szCs w:val="18"/>
          <w:color w:val="auto"/>
        </w:rPr>
        <w:t>(ii)Other non-cash items increasing Net Income</w:t>
      </w:r>
    </w:p>
    <w:p>
      <w:pPr>
        <w:spacing w:after="0" w:line="59" w:lineRule="exact"/>
        <w:rPr>
          <w:rFonts w:ascii="Arial" w:cs="Arial" w:eastAsia="Arial" w:hAnsi="Arial"/>
          <w:sz w:val="18"/>
          <w:szCs w:val="18"/>
          <w:color w:val="auto"/>
        </w:rPr>
      </w:pPr>
    </w:p>
    <w:p>
      <w:pPr>
        <w:ind w:left="1040" w:hanging="65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Sum of Line (i) through (ii)</w:t>
      </w:r>
    </w:p>
    <w:p>
      <w:pPr>
        <w:spacing w:after="0" w:line="63" w:lineRule="exact"/>
        <w:rPr>
          <w:rFonts w:ascii="Arial" w:cs="Arial" w:eastAsia="Arial" w:hAnsi="Arial"/>
          <w:sz w:val="18"/>
          <w:szCs w:val="18"/>
          <w:color w:val="auto"/>
        </w:rPr>
      </w:pPr>
    </w:p>
    <w:p>
      <w:pPr>
        <w:ind w:left="1040" w:hanging="65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EBITDA (Line A + Line B - Line C)</w:t>
      </w:r>
    </w:p>
    <w:p>
      <w:pPr>
        <w:spacing w:after="0" w:line="256" w:lineRule="exact"/>
        <w:rPr>
          <w:sz w:val="20"/>
          <w:szCs w:val="20"/>
          <w:color w:val="auto"/>
        </w:rPr>
      </w:pPr>
    </w:p>
    <w:p>
      <w:pPr>
        <w:spacing w:after="0"/>
        <w:tabs>
          <w:tab w:leader="none" w:pos="4340" w:val="left"/>
          <w:tab w:leader="none" w:pos="6120" w:val="left"/>
        </w:tabs>
        <w:rPr>
          <w:sz w:val="20"/>
          <w:szCs w:val="20"/>
          <w:color w:val="auto"/>
        </w:rPr>
      </w:pPr>
      <w:r>
        <w:rPr>
          <w:rFonts w:ascii="Arial" w:cs="Arial" w:eastAsia="Arial" w:hAnsi="Arial"/>
          <w:sz w:val="18"/>
          <w:szCs w:val="18"/>
          <w:color w:val="auto"/>
        </w:rPr>
        <w:t>Is Line D at least the amount required (see chart above)?</w:t>
      </w:r>
      <w:r>
        <w:rPr>
          <w:sz w:val="20"/>
          <w:szCs w:val="20"/>
          <w:color w:val="auto"/>
        </w:rPr>
        <w:tab/>
      </w:r>
      <w:r>
        <w:rPr>
          <w:rFonts w:ascii="Arial" w:cs="Arial" w:eastAsia="Arial" w:hAnsi="Arial"/>
          <w:sz w:val="18"/>
          <w:szCs w:val="18"/>
          <w:color w:val="auto"/>
        </w:rPr>
        <w:t>No, not in compliance</w:t>
      </w:r>
      <w:r>
        <w:rPr>
          <w:sz w:val="20"/>
          <w:szCs w:val="20"/>
          <w:color w:val="auto"/>
        </w:rPr>
        <w:tab/>
      </w:r>
      <w:r>
        <w:rPr>
          <w:rFonts w:ascii="Arial" w:cs="Arial" w:eastAsia="Arial" w:hAnsi="Arial"/>
          <w:sz w:val="16"/>
          <w:szCs w:val="16"/>
          <w:color w:val="auto"/>
        </w:rPr>
        <w:t>_____ Yes, in compliance</w:t>
      </w:r>
    </w:p>
    <w:p>
      <w:pPr>
        <w:spacing w:after="0" w:line="221"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Consolidated Leverage Ratio (Section 2.4(c), “LIBOR Rate Margin,” “Prime Rate Margin”)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Actual: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t>
      </w:r>
    </w:p>
    <w:p>
      <w:pPr>
        <w:sectPr>
          <w:pgSz w:w="11900" w:h="16838" w:orient="portrait"/>
          <w:cols w:equalWidth="0" w:num="2">
            <w:col w:w="8460" w:space="500"/>
            <w:col w:w="1360"/>
          </w:cols>
          <w:pgMar w:left="240" w:top="714" w:right="1339" w:bottom="1440" w:gutter="0" w:footer="0" w:header="0"/>
        </w:sectPr>
      </w:pPr>
    </w:p>
    <w:bookmarkStart w:id="38" w:name="page39"/>
    <w:bookmarkEnd w:id="38"/>
    <w:p>
      <w:pPr>
        <w:ind w:left="1000" w:hanging="654"/>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Consolidated Funded Indebtedness</w:t>
      </w:r>
    </w:p>
    <w:p>
      <w:pPr>
        <w:spacing w:after="0" w:line="6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Arial" w:cs="Arial" w:eastAsia="Arial" w:hAnsi="Arial"/>
                <w:sz w:val="18"/>
                <w:szCs w:val="18"/>
                <w:color w:val="auto"/>
                <w:w w:val="97"/>
              </w:rPr>
              <w:t>(i)outstanding principal amount of all obligations (current or long-term) for borrowed money (including</w:t>
            </w:r>
          </w:p>
        </w:tc>
        <w:tc>
          <w:tcPr>
            <w:tcW w:w="1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Arial" w:cs="Arial" w:eastAsia="Arial" w:hAnsi="Arial"/>
                <w:sz w:val="18"/>
                <w:szCs w:val="18"/>
                <w:color w:val="auto"/>
                <w:w w:val="90"/>
              </w:rPr>
              <w:t>borrowings under the Loan Agreement) and all debt obligations evidenced by bonds, debentures, notes, loan</w:t>
            </w:r>
          </w:p>
        </w:tc>
        <w:tc>
          <w:tcPr>
            <w:tcW w:w="12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8100" w:type="dxa"/>
            <w:vAlign w:val="bottom"/>
          </w:tcPr>
          <w:p>
            <w:pPr>
              <w:ind w:left="240"/>
              <w:spacing w:after="0"/>
              <w:rPr>
                <w:sz w:val="20"/>
                <w:szCs w:val="20"/>
                <w:color w:val="auto"/>
              </w:rPr>
            </w:pPr>
            <w:r>
              <w:rPr>
                <w:rFonts w:ascii="Arial" w:cs="Arial" w:eastAsia="Arial" w:hAnsi="Arial"/>
                <w:sz w:val="18"/>
                <w:szCs w:val="18"/>
                <w:color w:val="auto"/>
              </w:rPr>
              <w:t>agreements or other similar instruments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420" w:type="dxa"/>
            <w:vAlign w:val="bottom"/>
          </w:tcPr>
          <w:p>
            <w:pPr>
              <w:spacing w:after="0"/>
              <w:rPr>
                <w:sz w:val="23"/>
                <w:szCs w:val="23"/>
                <w:color w:val="auto"/>
              </w:rPr>
            </w:pPr>
          </w:p>
        </w:tc>
        <w:tc>
          <w:tcPr>
            <w:tcW w:w="8100" w:type="dxa"/>
            <w:vAlign w:val="bottom"/>
          </w:tcPr>
          <w:p>
            <w:pPr>
              <w:ind w:left="240"/>
              <w:spacing w:after="0"/>
              <w:rPr>
                <w:sz w:val="20"/>
                <w:szCs w:val="20"/>
                <w:color w:val="auto"/>
              </w:rPr>
            </w:pPr>
            <w:r>
              <w:rPr>
                <w:rFonts w:ascii="Arial" w:cs="Arial" w:eastAsia="Arial" w:hAnsi="Arial"/>
                <w:sz w:val="18"/>
                <w:szCs w:val="18"/>
                <w:color w:val="auto"/>
              </w:rPr>
              <w:t>(ii)purchase money Indebtedness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56"/>
        </w:trPr>
        <w:tc>
          <w:tcPr>
            <w:tcW w:w="420" w:type="dxa"/>
            <w:vAlign w:val="bottom"/>
          </w:tcPr>
          <w:p>
            <w:pPr>
              <w:spacing w:after="0"/>
              <w:rPr>
                <w:sz w:val="22"/>
                <w:szCs w:val="22"/>
                <w:color w:val="auto"/>
              </w:rPr>
            </w:pPr>
          </w:p>
        </w:tc>
        <w:tc>
          <w:tcPr>
            <w:tcW w:w="8100" w:type="dxa"/>
            <w:vAlign w:val="bottom"/>
          </w:tcPr>
          <w:p>
            <w:pPr>
              <w:ind w:left="240"/>
              <w:spacing w:after="0"/>
              <w:rPr>
                <w:sz w:val="20"/>
                <w:szCs w:val="20"/>
                <w:color w:val="auto"/>
              </w:rPr>
            </w:pPr>
            <w:r>
              <w:rPr>
                <w:rFonts w:ascii="Arial" w:cs="Arial" w:eastAsia="Arial" w:hAnsi="Arial"/>
                <w:sz w:val="18"/>
                <w:szCs w:val="18"/>
                <w:color w:val="auto"/>
                <w:w w:val="96"/>
              </w:rPr>
              <w:t>(iii)direct,  non-contingent  obligations  arising  under  drawn  letters  of  credit  (including  standby  and</w:t>
            </w:r>
          </w:p>
        </w:tc>
        <w:tc>
          <w:tcPr>
            <w:tcW w:w="120" w:type="dxa"/>
            <w:vAlign w:val="bottom"/>
          </w:tcPr>
          <w:p>
            <w:pPr>
              <w:spacing w:after="0"/>
              <w:rPr>
                <w:sz w:val="22"/>
                <w:szCs w:val="22"/>
                <w:color w:val="auto"/>
              </w:rPr>
            </w:pPr>
          </w:p>
        </w:tc>
      </w:tr>
      <w:tr>
        <w:trPr>
          <w:trHeight w:val="230"/>
        </w:trPr>
        <w:tc>
          <w:tcPr>
            <w:tcW w:w="420" w:type="dxa"/>
            <w:vAlign w:val="bottom"/>
          </w:tcPr>
          <w:p>
            <w:pPr>
              <w:spacing w:after="0"/>
              <w:rPr>
                <w:sz w:val="20"/>
                <w:szCs w:val="20"/>
                <w:color w:val="auto"/>
              </w:rPr>
            </w:pPr>
          </w:p>
        </w:tc>
        <w:tc>
          <w:tcPr>
            <w:tcW w:w="8100" w:type="dxa"/>
            <w:vAlign w:val="bottom"/>
          </w:tcPr>
          <w:p>
            <w:pPr>
              <w:ind w:left="240"/>
              <w:spacing w:after="0"/>
              <w:rPr>
                <w:sz w:val="20"/>
                <w:szCs w:val="20"/>
                <w:color w:val="auto"/>
              </w:rPr>
            </w:pPr>
            <w:r>
              <w:rPr>
                <w:rFonts w:ascii="Arial" w:cs="Arial" w:eastAsia="Arial" w:hAnsi="Arial"/>
                <w:sz w:val="18"/>
                <w:szCs w:val="18"/>
                <w:color w:val="auto"/>
              </w:rPr>
              <w:t>commercial), bankers' acceptances, bank guaranties, surety bonds and similar instruments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56"/>
        </w:trPr>
        <w:tc>
          <w:tcPr>
            <w:tcW w:w="420" w:type="dxa"/>
            <w:vAlign w:val="bottom"/>
          </w:tcPr>
          <w:p>
            <w:pPr>
              <w:spacing w:after="0"/>
              <w:rPr>
                <w:sz w:val="22"/>
                <w:szCs w:val="22"/>
                <w:color w:val="auto"/>
              </w:rPr>
            </w:pPr>
          </w:p>
        </w:tc>
        <w:tc>
          <w:tcPr>
            <w:tcW w:w="8100" w:type="dxa"/>
            <w:vAlign w:val="bottom"/>
          </w:tcPr>
          <w:p>
            <w:pPr>
              <w:ind w:left="240"/>
              <w:spacing w:after="0"/>
              <w:rPr>
                <w:sz w:val="20"/>
                <w:szCs w:val="20"/>
                <w:color w:val="auto"/>
              </w:rPr>
            </w:pPr>
            <w:r>
              <w:rPr>
                <w:rFonts w:ascii="Arial" w:cs="Arial" w:eastAsia="Arial" w:hAnsi="Arial"/>
                <w:sz w:val="18"/>
                <w:szCs w:val="18"/>
                <w:color w:val="auto"/>
                <w:w w:val="93"/>
              </w:rPr>
              <w:t>(iv)obligations in respect of the deferred purchase price of property or services (other than trade accounts</w:t>
            </w:r>
          </w:p>
        </w:tc>
        <w:tc>
          <w:tcPr>
            <w:tcW w:w="120" w:type="dxa"/>
            <w:vAlign w:val="bottom"/>
          </w:tcPr>
          <w:p>
            <w:pPr>
              <w:spacing w:after="0"/>
              <w:rPr>
                <w:sz w:val="22"/>
                <w:szCs w:val="22"/>
                <w:color w:val="auto"/>
              </w:rPr>
            </w:pPr>
          </w:p>
        </w:tc>
      </w:tr>
      <w:tr>
        <w:trPr>
          <w:trHeight w:val="230"/>
        </w:trPr>
        <w:tc>
          <w:tcPr>
            <w:tcW w:w="420" w:type="dxa"/>
            <w:vAlign w:val="bottom"/>
          </w:tcPr>
          <w:p>
            <w:pPr>
              <w:spacing w:after="0"/>
              <w:rPr>
                <w:sz w:val="20"/>
                <w:szCs w:val="20"/>
                <w:color w:val="auto"/>
              </w:rPr>
            </w:pPr>
          </w:p>
        </w:tc>
        <w:tc>
          <w:tcPr>
            <w:tcW w:w="8100" w:type="dxa"/>
            <w:vAlign w:val="bottom"/>
          </w:tcPr>
          <w:p>
            <w:pPr>
              <w:ind w:left="240"/>
              <w:spacing w:after="0"/>
              <w:rPr>
                <w:sz w:val="20"/>
                <w:szCs w:val="20"/>
                <w:color w:val="auto"/>
              </w:rPr>
            </w:pPr>
            <w:r>
              <w:rPr>
                <w:rFonts w:ascii="Arial" w:cs="Arial" w:eastAsia="Arial" w:hAnsi="Arial"/>
                <w:sz w:val="18"/>
                <w:szCs w:val="18"/>
                <w:color w:val="auto"/>
              </w:rPr>
              <w:t>payable in the ordinary course of business)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420" w:type="dxa"/>
            <w:vAlign w:val="bottom"/>
          </w:tcPr>
          <w:p>
            <w:pPr>
              <w:spacing w:after="0"/>
              <w:rPr>
                <w:sz w:val="23"/>
                <w:szCs w:val="23"/>
                <w:color w:val="auto"/>
              </w:rPr>
            </w:pPr>
          </w:p>
        </w:tc>
        <w:tc>
          <w:tcPr>
            <w:tcW w:w="8100" w:type="dxa"/>
            <w:vAlign w:val="bottom"/>
          </w:tcPr>
          <w:p>
            <w:pPr>
              <w:ind w:left="240"/>
              <w:spacing w:after="0"/>
              <w:rPr>
                <w:sz w:val="20"/>
                <w:szCs w:val="20"/>
                <w:color w:val="auto"/>
              </w:rPr>
            </w:pPr>
            <w:r>
              <w:rPr>
                <w:rFonts w:ascii="Arial" w:cs="Arial" w:eastAsia="Arial" w:hAnsi="Arial"/>
                <w:sz w:val="18"/>
                <w:szCs w:val="18"/>
                <w:color w:val="auto"/>
              </w:rPr>
              <w:t>(v)attributable Indebtedness in respect of capital leases and synthetic lease obligations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56"/>
        </w:trPr>
        <w:tc>
          <w:tcPr>
            <w:tcW w:w="420" w:type="dxa"/>
            <w:vAlign w:val="bottom"/>
          </w:tcPr>
          <w:p>
            <w:pPr>
              <w:spacing w:after="0"/>
              <w:rPr>
                <w:sz w:val="22"/>
                <w:szCs w:val="22"/>
                <w:color w:val="auto"/>
              </w:rPr>
            </w:pPr>
          </w:p>
        </w:tc>
        <w:tc>
          <w:tcPr>
            <w:tcW w:w="8100" w:type="dxa"/>
            <w:vAlign w:val="bottom"/>
          </w:tcPr>
          <w:p>
            <w:pPr>
              <w:ind w:left="620"/>
              <w:spacing w:after="0"/>
              <w:rPr>
                <w:sz w:val="20"/>
                <w:szCs w:val="20"/>
                <w:color w:val="auto"/>
              </w:rPr>
            </w:pPr>
            <w:r>
              <w:rPr>
                <w:rFonts w:ascii="Arial" w:cs="Arial" w:eastAsia="Arial" w:hAnsi="Arial"/>
                <w:sz w:val="18"/>
                <w:szCs w:val="18"/>
                <w:color w:val="auto"/>
                <w:w w:val="95"/>
              </w:rPr>
              <w:t>(vi)Indebtedness of the types referred to in clauses (i) through (v) above of any partnership or joint</w:t>
            </w:r>
          </w:p>
        </w:tc>
        <w:tc>
          <w:tcPr>
            <w:tcW w:w="120" w:type="dxa"/>
            <w:vAlign w:val="bottom"/>
          </w:tcPr>
          <w:p>
            <w:pPr>
              <w:spacing w:after="0"/>
              <w:rPr>
                <w:sz w:val="22"/>
                <w:szCs w:val="22"/>
                <w:color w:val="auto"/>
              </w:rPr>
            </w:pPr>
          </w:p>
        </w:tc>
      </w:tr>
      <w:tr>
        <w:trPr>
          <w:trHeight w:val="216"/>
        </w:trPr>
        <w:tc>
          <w:tcPr>
            <w:tcW w:w="420" w:type="dxa"/>
            <w:vAlign w:val="bottom"/>
          </w:tcPr>
          <w:p>
            <w:pPr>
              <w:spacing w:after="0"/>
              <w:rPr>
                <w:sz w:val="18"/>
                <w:szCs w:val="18"/>
                <w:color w:val="auto"/>
              </w:rPr>
            </w:pPr>
          </w:p>
        </w:tc>
        <w:tc>
          <w:tcPr>
            <w:tcW w:w="8100" w:type="dxa"/>
            <w:vAlign w:val="bottom"/>
          </w:tcPr>
          <w:p>
            <w:pPr>
              <w:ind w:left="620"/>
              <w:spacing w:after="0"/>
              <w:rPr>
                <w:sz w:val="20"/>
                <w:szCs w:val="20"/>
                <w:color w:val="auto"/>
              </w:rPr>
            </w:pPr>
            <w:r>
              <w:rPr>
                <w:rFonts w:ascii="Arial" w:cs="Arial" w:eastAsia="Arial" w:hAnsi="Arial"/>
                <w:sz w:val="18"/>
                <w:szCs w:val="18"/>
                <w:color w:val="auto"/>
                <w:w w:val="95"/>
              </w:rPr>
              <w:t>venture (other than a joint venture that is itself a corporation or limited liability company) in which a</w:t>
            </w:r>
          </w:p>
        </w:tc>
        <w:tc>
          <w:tcPr>
            <w:tcW w:w="1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100" w:type="dxa"/>
            <w:vAlign w:val="bottom"/>
          </w:tcPr>
          <w:p>
            <w:pPr>
              <w:ind w:left="620"/>
              <w:spacing w:after="0"/>
              <w:rPr>
                <w:sz w:val="20"/>
                <w:szCs w:val="20"/>
                <w:color w:val="auto"/>
              </w:rPr>
            </w:pPr>
            <w:r>
              <w:rPr>
                <w:rFonts w:ascii="Arial" w:cs="Arial" w:eastAsia="Arial" w:hAnsi="Arial"/>
                <w:sz w:val="18"/>
                <w:szCs w:val="18"/>
                <w:color w:val="auto"/>
                <w:w w:val="92"/>
              </w:rPr>
              <w:t>Borrower or a Subsidiary is a general partner or joint venturer, unless such Indebtedness is expressly</w:t>
            </w:r>
          </w:p>
        </w:tc>
        <w:tc>
          <w:tcPr>
            <w:tcW w:w="1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100" w:type="dxa"/>
            <w:vAlign w:val="bottom"/>
          </w:tcPr>
          <w:p>
            <w:pPr>
              <w:ind w:left="620"/>
              <w:spacing w:after="0"/>
              <w:rPr>
                <w:sz w:val="20"/>
                <w:szCs w:val="20"/>
                <w:color w:val="auto"/>
              </w:rPr>
            </w:pPr>
            <w:r>
              <w:rPr>
                <w:rFonts w:ascii="Arial" w:cs="Arial" w:eastAsia="Arial" w:hAnsi="Arial"/>
                <w:sz w:val="18"/>
                <w:szCs w:val="18"/>
                <w:color w:val="auto"/>
                <w:w w:val="94"/>
              </w:rPr>
              <w:t xml:space="preserve">made non-recourse to such Borrower or such Subsidiary; </w:t>
            </w:r>
            <w:r>
              <w:rPr>
                <w:rFonts w:ascii="Arial" w:cs="Arial" w:eastAsia="Arial" w:hAnsi="Arial"/>
                <w:sz w:val="18"/>
                <w:szCs w:val="18"/>
                <w:i w:val="1"/>
                <w:iCs w:val="1"/>
                <w:color w:val="auto"/>
                <w:w w:val="94"/>
              </w:rPr>
              <w:t>provided</w:t>
            </w:r>
            <w:r>
              <w:rPr>
                <w:rFonts w:ascii="Arial" w:cs="Arial" w:eastAsia="Arial" w:hAnsi="Arial"/>
                <w:sz w:val="18"/>
                <w:szCs w:val="18"/>
                <w:color w:val="auto"/>
                <w:w w:val="94"/>
              </w:rPr>
              <w:t xml:space="preserve"> that the amount of Indebtedness</w:t>
            </w:r>
          </w:p>
        </w:tc>
        <w:tc>
          <w:tcPr>
            <w:tcW w:w="1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100" w:type="dxa"/>
            <w:vAlign w:val="bottom"/>
          </w:tcPr>
          <w:p>
            <w:pPr>
              <w:ind w:left="620"/>
              <w:spacing w:after="0"/>
              <w:rPr>
                <w:sz w:val="20"/>
                <w:szCs w:val="20"/>
                <w:color w:val="auto"/>
              </w:rPr>
            </w:pPr>
            <w:r>
              <w:rPr>
                <w:rFonts w:ascii="Arial" w:cs="Arial" w:eastAsia="Arial" w:hAnsi="Arial"/>
                <w:sz w:val="18"/>
                <w:szCs w:val="18"/>
                <w:color w:val="auto"/>
                <w:w w:val="93"/>
              </w:rPr>
              <w:t>included under this section (vi) shall be restricted to the amount of Indebtedness attributable to such</w:t>
            </w:r>
          </w:p>
        </w:tc>
        <w:tc>
          <w:tcPr>
            <w:tcW w:w="12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8100" w:type="dxa"/>
            <w:vAlign w:val="bottom"/>
          </w:tcPr>
          <w:p>
            <w:pPr>
              <w:ind w:left="620"/>
              <w:spacing w:after="0"/>
              <w:rPr>
                <w:sz w:val="20"/>
                <w:szCs w:val="20"/>
                <w:color w:val="auto"/>
              </w:rPr>
            </w:pPr>
            <w:r>
              <w:rPr>
                <w:rFonts w:ascii="Arial" w:cs="Arial" w:eastAsia="Arial" w:hAnsi="Arial"/>
                <w:sz w:val="18"/>
                <w:szCs w:val="18"/>
                <w:color w:val="auto"/>
              </w:rPr>
              <w:t>Borrower or Subsidiary as a general partner or joint venturer</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420" w:type="dxa"/>
            <w:vAlign w:val="bottom"/>
          </w:tcPr>
          <w:p>
            <w:pPr>
              <w:spacing w:after="0"/>
              <w:rPr>
                <w:sz w:val="20"/>
                <w:szCs w:val="20"/>
                <w:color w:val="auto"/>
              </w:rPr>
            </w:pPr>
            <w:r>
              <w:rPr>
                <w:rFonts w:ascii="Arial" w:cs="Arial" w:eastAsia="Arial" w:hAnsi="Arial"/>
                <w:sz w:val="18"/>
                <w:szCs w:val="18"/>
                <w:b w:val="1"/>
                <w:bCs w:val="1"/>
                <w:color w:val="auto"/>
              </w:rPr>
              <w:t>B.</w:t>
            </w:r>
          </w:p>
        </w:tc>
        <w:tc>
          <w:tcPr>
            <w:tcW w:w="8100" w:type="dxa"/>
            <w:vAlign w:val="bottom"/>
          </w:tcPr>
          <w:p>
            <w:pPr>
              <w:ind w:left="240"/>
              <w:spacing w:after="0"/>
              <w:rPr>
                <w:sz w:val="20"/>
                <w:szCs w:val="20"/>
                <w:color w:val="auto"/>
              </w:rPr>
            </w:pPr>
            <w:r>
              <w:rPr>
                <w:rFonts w:ascii="Arial" w:cs="Arial" w:eastAsia="Arial" w:hAnsi="Arial"/>
                <w:sz w:val="18"/>
                <w:szCs w:val="18"/>
                <w:b w:val="1"/>
                <w:bCs w:val="1"/>
                <w:color w:val="auto"/>
              </w:rPr>
              <w:t>Sum of (A)(i) through (A)(vi)</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420" w:type="dxa"/>
            <w:vAlign w:val="bottom"/>
          </w:tcPr>
          <w:p>
            <w:pPr>
              <w:spacing w:after="0"/>
              <w:rPr>
                <w:sz w:val="20"/>
                <w:szCs w:val="20"/>
                <w:color w:val="auto"/>
              </w:rPr>
            </w:pPr>
            <w:r>
              <w:rPr>
                <w:rFonts w:ascii="Arial" w:cs="Arial" w:eastAsia="Arial" w:hAnsi="Arial"/>
                <w:sz w:val="18"/>
                <w:szCs w:val="18"/>
                <w:b w:val="1"/>
                <w:bCs w:val="1"/>
                <w:color w:val="auto"/>
              </w:rPr>
              <w:t>C.</w:t>
            </w:r>
          </w:p>
        </w:tc>
        <w:tc>
          <w:tcPr>
            <w:tcW w:w="8100" w:type="dxa"/>
            <w:vAlign w:val="bottom"/>
          </w:tcPr>
          <w:p>
            <w:pPr>
              <w:ind w:left="240"/>
              <w:spacing w:after="0"/>
              <w:rPr>
                <w:sz w:val="20"/>
                <w:szCs w:val="20"/>
                <w:color w:val="auto"/>
              </w:rPr>
            </w:pPr>
            <w:r>
              <w:rPr>
                <w:rFonts w:ascii="Arial" w:cs="Arial" w:eastAsia="Arial" w:hAnsi="Arial"/>
                <w:sz w:val="18"/>
                <w:szCs w:val="18"/>
                <w:b w:val="1"/>
                <w:bCs w:val="1"/>
                <w:color w:val="auto"/>
              </w:rPr>
              <w:t>Cash collateral posted for any of A(i) through A(vi)</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420" w:type="dxa"/>
            <w:vAlign w:val="bottom"/>
          </w:tcPr>
          <w:p>
            <w:pPr>
              <w:spacing w:after="0"/>
              <w:rPr>
                <w:sz w:val="20"/>
                <w:szCs w:val="20"/>
                <w:color w:val="auto"/>
              </w:rPr>
            </w:pPr>
            <w:r>
              <w:rPr>
                <w:rFonts w:ascii="Arial" w:cs="Arial" w:eastAsia="Arial" w:hAnsi="Arial"/>
                <w:sz w:val="18"/>
                <w:szCs w:val="18"/>
                <w:b w:val="1"/>
                <w:bCs w:val="1"/>
                <w:color w:val="auto"/>
              </w:rPr>
              <w:t>D.</w:t>
            </w:r>
          </w:p>
        </w:tc>
        <w:tc>
          <w:tcPr>
            <w:tcW w:w="8100" w:type="dxa"/>
            <w:vAlign w:val="bottom"/>
          </w:tcPr>
          <w:p>
            <w:pPr>
              <w:ind w:left="240"/>
              <w:spacing w:after="0"/>
              <w:rPr>
                <w:sz w:val="20"/>
                <w:szCs w:val="20"/>
                <w:color w:val="auto"/>
              </w:rPr>
            </w:pPr>
            <w:r>
              <w:rPr>
                <w:rFonts w:ascii="Arial" w:cs="Arial" w:eastAsia="Arial" w:hAnsi="Arial"/>
                <w:sz w:val="18"/>
                <w:szCs w:val="18"/>
                <w:b w:val="1"/>
                <w:bCs w:val="1"/>
                <w:color w:val="auto"/>
              </w:rPr>
              <w:t>EBITDA for fiscal quarter ending ___________ &amp; ______________</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spacing w:after="0"/>
        <w:tabs>
          <w:tab w:leader="none" w:pos="4740" w:val="left"/>
        </w:tabs>
        <w:rPr>
          <w:sz w:val="20"/>
          <w:szCs w:val="20"/>
          <w:color w:val="auto"/>
        </w:rPr>
      </w:pPr>
      <w:r>
        <w:rPr>
          <w:rFonts w:ascii="Arial" w:cs="Arial" w:eastAsia="Arial" w:hAnsi="Arial"/>
          <w:sz w:val="18"/>
          <w:szCs w:val="18"/>
          <w:color w:val="auto"/>
        </w:rPr>
        <w:t>Consolidated Leverage Ratio (Line B minus Line C to Line D):</w:t>
      </w:r>
      <w:r>
        <w:rPr>
          <w:sz w:val="20"/>
          <w:szCs w:val="20"/>
          <w:color w:val="auto"/>
        </w:rPr>
        <w:tab/>
      </w:r>
      <w:r>
        <w:rPr>
          <w:rFonts w:ascii="Arial" w:cs="Arial" w:eastAsia="Arial" w:hAnsi="Arial"/>
          <w:sz w:val="16"/>
          <w:szCs w:val="16"/>
          <w:color w:val="auto"/>
        </w:rPr>
        <w:t>________ : ________</w:t>
      </w:r>
    </w:p>
    <w:p>
      <w:pPr>
        <w:sectPr>
          <w:pgSz w:w="11900" w:h="16838" w:orient="portrait"/>
          <w:cols w:equalWidth="0" w:num="1">
            <w:col w:w="10219"/>
          </w:cols>
          <w:pgMar w:left="240" w:top="746"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28, 2012,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November 6, 2012</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Edward J. Hayes, Jr., certify that:</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28, 2012,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November 6, 2012</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Edward J. Hayes, Jr.</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Edward J. Hayes, Jr.</w:t>
            </w:r>
          </w:p>
        </w:tc>
      </w:tr>
      <w:tr>
        <w:trPr>
          <w:trHeight w:val="256"/>
        </w:trPr>
        <w:tc>
          <w:tcPr>
            <w:tcW w:w="658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Senior Vice President and Chief Financial</w:t>
            </w:r>
          </w:p>
        </w:tc>
      </w:tr>
      <w:tr>
        <w:trPr>
          <w:trHeight w:val="230"/>
        </w:trPr>
        <w:tc>
          <w:tcPr>
            <w:tcW w:w="6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940" w:type="dxa"/>
            <w:vAlign w:val="bottom"/>
          </w:tcPr>
          <w:p>
            <w:pPr>
              <w:ind w:left="320"/>
              <w:spacing w:after="0"/>
              <w:rPr>
                <w:sz w:val="20"/>
                <w:szCs w:val="20"/>
                <w:color w:val="auto"/>
              </w:rPr>
            </w:pPr>
            <w:r>
              <w:rPr>
                <w:rFonts w:ascii="Arial" w:cs="Arial" w:eastAsia="Arial" w:hAnsi="Arial"/>
                <w:sz w:val="18"/>
                <w:szCs w:val="18"/>
                <w:color w:val="auto"/>
              </w:rPr>
              <w:t>Officer, Principal Financial Officer</w:t>
            </w:r>
          </w:p>
        </w:tc>
      </w:tr>
    </w:tbl>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September 28, 2012, as filed with the Securities and Exchange Commission on the date hereof (the “Report”), we, Michael A. Pangia, President and Chief Executive Officer of Aviat Networks, and Edward J Hayes, Jr., Senior Vice President and Chief Financial Officer of Aviat Networks, hereby certify, pursuant to Section 906 of the Sarbanes-Oxley Act of 2002, 18 U.S.C. §1350, that:</w:t>
      </w:r>
    </w:p>
    <w:p>
      <w:pPr>
        <w:spacing w:after="0" w:line="146" w:lineRule="exact"/>
        <w:rPr>
          <w:sz w:val="20"/>
          <w:szCs w:val="20"/>
          <w:color w:val="auto"/>
        </w:rPr>
      </w:pPr>
    </w:p>
    <w:p>
      <w:pPr>
        <w:ind w:left="400" w:hanging="392"/>
        <w:spacing w:after="0"/>
        <w:tabs>
          <w:tab w:leader="none" w:pos="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96" w:lineRule="exact"/>
        <w:rPr>
          <w:rFonts w:ascii="Arial" w:cs="Arial" w:eastAsia="Arial" w:hAnsi="Arial"/>
          <w:sz w:val="17"/>
          <w:szCs w:val="17"/>
          <w:color w:val="auto"/>
        </w:rPr>
      </w:pPr>
    </w:p>
    <w:p>
      <w:pPr>
        <w:ind w:right="60" w:firstLine="8"/>
        <w:spacing w:after="0" w:line="277" w:lineRule="auto"/>
        <w:tabs>
          <w:tab w:leader="none" w:pos="38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92" w:lineRule="exact"/>
        <w:rPr>
          <w:sz w:val="20"/>
          <w:szCs w:val="20"/>
          <w:color w:val="auto"/>
        </w:rPr>
      </w:pPr>
    </w:p>
    <w:p>
      <w:pPr>
        <w:ind w:left="40"/>
        <w:spacing w:after="0"/>
        <w:tabs>
          <w:tab w:leader="none" w:pos="600" w:val="left"/>
          <w:tab w:leader="none" w:pos="6060" w:val="left"/>
        </w:tabs>
        <w:rPr>
          <w:sz w:val="20"/>
          <w:szCs w:val="20"/>
          <w:color w:val="auto"/>
        </w:rPr>
      </w:pPr>
      <w:r>
        <w:rPr>
          <w:rFonts w:ascii="Arial" w:cs="Arial" w:eastAsia="Arial" w:hAnsi="Arial"/>
          <w:sz w:val="18"/>
          <w:szCs w:val="18"/>
          <w:color w:val="auto"/>
        </w:rPr>
        <w:t>Date:</w:t>
        <w:tab/>
        <w:t>November 6, 2012</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A. Pangia</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60"/>
        <w:spacing w:after="0"/>
        <w:tabs>
          <w:tab w:leader="none" w:pos="5980" w:val="left"/>
        </w:tabs>
        <w:rPr>
          <w:sz w:val="20"/>
          <w:szCs w:val="20"/>
          <w:color w:val="auto"/>
        </w:rPr>
      </w:pPr>
      <w:r>
        <w:rPr>
          <w:rFonts w:ascii="Arial" w:cs="Arial" w:eastAsia="Arial" w:hAnsi="Arial"/>
          <w:sz w:val="18"/>
          <w:szCs w:val="18"/>
          <w:color w:val="auto"/>
        </w:rPr>
        <w:t>Date: November 6, 2012</w:t>
      </w:r>
      <w:r>
        <w:rPr>
          <w:sz w:val="20"/>
          <w:szCs w:val="20"/>
          <w:color w:val="auto"/>
        </w:rPr>
        <w:tab/>
      </w:r>
      <w:r>
        <w:rPr>
          <w:rFonts w:ascii="Arial" w:cs="Arial" w:eastAsia="Arial" w:hAnsi="Arial"/>
          <w:sz w:val="15"/>
          <w:szCs w:val="15"/>
          <w:color w:val="auto"/>
        </w:rPr>
        <w:t>/s/ Edward J Hayes,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31750</wp:posOffset>
            </wp:positionV>
            <wp:extent cx="2804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Edward J Hayes, Jr.</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upperLetter"/>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lowerLetter"/>
      <w:start w:val="2"/>
    </w:lvl>
  </w:abstractNum>
  <w:abstractNum w:abstractNumId="11">
    <w:nsid w:val="519B500D"/>
    <w:multiLevelType w:val="hybridMultilevel"/>
    <w:lvl w:ilvl="0">
      <w:lvlJc w:val="left"/>
      <w:lvlText w:val="%1."/>
      <w:numFmt w:val="decimal"/>
      <w:start w:val="2"/>
    </w:lvl>
    <w:lvl w:ilvl="1">
      <w:lvlJc w:val="left"/>
      <w:lvlText w:val="(%2)"/>
      <w:numFmt w:val="lowerLetter"/>
      <w:start w:val="1"/>
    </w:lvl>
  </w:abstractNum>
  <w:abstractNum w:abstractNumId="12">
    <w:nsid w:val="431BD7B7"/>
    <w:multiLevelType w:val="hybridMultilevel"/>
    <w:lvl w:ilvl="0">
      <w:lvlJc w:val="left"/>
      <w:lvlText w:val="%1"/>
      <w:numFmt w:val="decimal"/>
      <w:start w:val="1"/>
    </w:lvl>
    <w:lvl w:ilvl="1">
      <w:lvlJc w:val="left"/>
      <w:lvlText w:val="(%2)"/>
      <w:numFmt w:val="lowerLetter"/>
      <w:start w:val="2"/>
    </w:lvl>
  </w:abstractNum>
  <w:abstractNum w:abstractNumId="13">
    <w:nsid w:val="3F2DBA31"/>
    <w:multiLevelType w:val="hybridMultilevel"/>
    <w:lvl w:ilvl="0">
      <w:lvlJc w:val="left"/>
      <w:lvlText w:val="%1."/>
      <w:numFmt w:val="decimal"/>
      <w:start w:val="3"/>
    </w:lvl>
    <w:lvl w:ilvl="1">
      <w:lvlJc w:val="left"/>
      <w:lvlText w:val="%2"/>
      <w:numFmt w:val="lowerLetter"/>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upperLetter"/>
      <w:start w:val="9"/>
    </w:lvl>
  </w:abstractNum>
  <w:abstractNum w:abstractNumId="16">
    <w:nsid w:val="62BBD95A"/>
    <w:multiLevelType w:val="hybridMultilevel"/>
    <w:lvl w:ilvl="0">
      <w:lvlJc w:val="left"/>
      <w:lvlText w:val="%1."/>
      <w:numFmt w:val="upperLetter"/>
      <w:start w:val="35"/>
    </w:lvl>
  </w:abstractNum>
  <w:abstractNum w:abstractNumId="17">
    <w:nsid w:val="436C6125"/>
    <w:multiLevelType w:val="hybridMultilevel"/>
    <w:lvl w:ilvl="0">
      <w:lvlJc w:val="left"/>
      <w:lvlText w:val="%1."/>
      <w:numFmt w:val="upperLetter"/>
      <w:start w:val="1"/>
    </w:lvl>
  </w:abstractNum>
  <w:abstractNum w:abstractNumId="18">
    <w:nsid w:val="628C895D"/>
    <w:multiLevelType w:val="hybridMultilevel"/>
    <w:lvl w:ilvl="0">
      <w:lvlJc w:val="left"/>
      <w:lvlText w:val="%1."/>
      <w:numFmt w:val="upperLetter"/>
      <w:start w:val="61"/>
    </w:lvl>
  </w:abstractNum>
  <w:abstractNum w:abstractNumId="19">
    <w:nsid w:val="333AB105"/>
    <w:multiLevelType w:val="hybridMultilevel"/>
    <w:lvl w:ilvl="0">
      <w:lvlJc w:val="left"/>
      <w:lvlText w:val="%1."/>
      <w:numFmt w:val="upp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2019-12-09T18:29:16Z</dcterms:created>
  <dcterms:modified xsi:type="dcterms:W3CDTF">2019-12-09T18:29:16Z</dcterms:modified>
</cp:coreProperties>
</file>