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3,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Pr>
          <w:p>
            <w:pPr>
              <w:spacing w:after="0"/>
              <w:rPr>
                <w:sz w:val="17"/>
                <w:szCs w:val="17"/>
                <w:color w:val="auto"/>
              </w:rPr>
            </w:pPr>
          </w:p>
        </w:tc>
        <w:tc>
          <w:tcPr>
            <w:tcW w:w="252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53"/>
        </w:trPr>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4"/>
          </w:tcPr>
          <w:p>
            <w:pPr>
              <w:ind w:left="300"/>
              <w:spacing w:after="0"/>
              <w:rPr>
                <w:sz w:val="20"/>
                <w:szCs w:val="20"/>
                <w:color w:val="auto"/>
              </w:rPr>
            </w:pPr>
            <w:r>
              <w:rPr>
                <w:rFonts w:ascii="Arial" w:cs="Arial" w:eastAsia="Arial" w:hAnsi="Arial"/>
                <w:sz w:val="18"/>
                <w:szCs w:val="18"/>
                <w:b w:val="1"/>
                <w:bCs w:val="1"/>
                <w:color w:val="auto"/>
                <w:w w:val="90"/>
              </w:rPr>
              <w:t>Commission File Number 001-33278</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HARRIS STRATEX NETWORKS,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Delaware</w:t>
            </w:r>
          </w:p>
        </w:tc>
        <w:tc>
          <w:tcPr>
            <w:tcW w:w="678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464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40" w:type="dxa"/>
            <w:vAlign w:val="bottom"/>
          </w:tcPr>
          <w:p>
            <w:pPr>
              <w:jc w:val="center"/>
              <w:ind w:left="7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464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637 Davis Drive</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4640" w:type="dxa"/>
            <w:vAlign w:val="bottom"/>
          </w:tcPr>
          <w:p>
            <w:pPr>
              <w:jc w:val="center"/>
              <w:ind w:left="710"/>
              <w:spacing w:after="0"/>
              <w:rPr>
                <w:sz w:val="20"/>
                <w:szCs w:val="20"/>
                <w:color w:val="auto"/>
              </w:rPr>
            </w:pPr>
            <w:r>
              <w:rPr>
                <w:rFonts w:ascii="Arial" w:cs="Arial" w:eastAsia="Arial" w:hAnsi="Arial"/>
                <w:sz w:val="18"/>
                <w:szCs w:val="18"/>
                <w:b w:val="1"/>
                <w:bCs w:val="1"/>
                <w:color w:val="auto"/>
                <w:w w:val="94"/>
              </w:rPr>
              <w:t>Morrisville, North Carolina</w:t>
            </w:r>
          </w:p>
        </w:tc>
        <w:tc>
          <w:tcPr>
            <w:tcW w:w="6780" w:type="dxa"/>
            <w:vAlign w:val="bottom"/>
            <w:gridSpan w:val="3"/>
          </w:tcPr>
          <w:p>
            <w:pPr>
              <w:jc w:val="right"/>
              <w:ind w:right="2390"/>
              <w:spacing w:after="0"/>
              <w:rPr>
                <w:sz w:val="20"/>
                <w:szCs w:val="20"/>
                <w:color w:val="auto"/>
              </w:rPr>
            </w:pPr>
            <w:r>
              <w:rPr>
                <w:rFonts w:ascii="Arial" w:cs="Arial" w:eastAsia="Arial" w:hAnsi="Arial"/>
                <w:sz w:val="18"/>
                <w:szCs w:val="18"/>
                <w:b w:val="1"/>
                <w:bCs w:val="1"/>
                <w:color w:val="auto"/>
              </w:rPr>
              <w:t>27560</w:t>
            </w:r>
          </w:p>
        </w:tc>
      </w:tr>
      <w:tr>
        <w:trPr>
          <w:trHeight w:val="224"/>
        </w:trPr>
        <w:tc>
          <w:tcPr>
            <w:tcW w:w="464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31"/>
        </w:trPr>
        <w:tc>
          <w:tcPr>
            <w:tcW w:w="4640" w:type="dxa"/>
            <w:vAlign w:val="bottom"/>
          </w:tcPr>
          <w:p>
            <w:pPr>
              <w:spacing w:after="0"/>
              <w:rPr>
                <w:sz w:val="24"/>
                <w:szCs w:val="24"/>
                <w:color w:val="auto"/>
              </w:rPr>
            </w:pPr>
          </w:p>
        </w:tc>
        <w:tc>
          <w:tcPr>
            <w:tcW w:w="6780" w:type="dxa"/>
            <w:vAlign w:val="bottom"/>
            <w:gridSpan w:val="3"/>
          </w:tcPr>
          <w:p>
            <w:pPr>
              <w:jc w:val="right"/>
              <w:ind w:right="5050"/>
              <w:spacing w:after="0"/>
              <w:rPr>
                <w:sz w:val="20"/>
                <w:szCs w:val="20"/>
                <w:color w:val="auto"/>
              </w:rPr>
            </w:pPr>
            <w:r>
              <w:rPr>
                <w:rFonts w:ascii="Arial" w:cs="Arial" w:eastAsia="Arial" w:hAnsi="Arial"/>
                <w:sz w:val="18"/>
                <w:szCs w:val="18"/>
                <w:b w:val="1"/>
                <w:bCs w:val="1"/>
                <w:color w:val="auto"/>
              </w:rPr>
              <w:t>(919) 767-3250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6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18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360" w:type="dxa"/>
            <w:vAlign w:val="bottom"/>
          </w:tcPr>
          <w:p>
            <w:pPr>
              <w:jc w:val="center"/>
              <w:ind w:right="150"/>
              <w:spacing w:after="0"/>
              <w:rPr>
                <w:sz w:val="20"/>
                <w:szCs w:val="20"/>
                <w:color w:val="auto"/>
              </w:rPr>
            </w:pPr>
            <w:r>
              <w:rPr>
                <w:rFonts w:ascii="Arial" w:cs="Arial" w:eastAsia="Arial" w:hAnsi="Arial"/>
                <w:sz w:val="18"/>
                <w:szCs w:val="18"/>
                <w:color w:val="auto"/>
                <w:w w:val="94"/>
              </w:rPr>
              <w:t>Non-accelerated filer  o</w:t>
            </w:r>
          </w:p>
        </w:tc>
        <w:tc>
          <w:tcPr>
            <w:tcW w:w="2540" w:type="dxa"/>
            <w:vAlign w:val="bottom"/>
            <w:gridSpan w:val="3"/>
          </w:tcPr>
          <w:p>
            <w:pPr>
              <w:ind w:left="120"/>
              <w:spacing w:after="0"/>
              <w:rPr>
                <w:sz w:val="20"/>
                <w:szCs w:val="20"/>
                <w:color w:val="auto"/>
              </w:rPr>
            </w:pPr>
            <w:r>
              <w:rPr>
                <w:rFonts w:ascii="Arial" w:cs="Arial" w:eastAsia="Arial" w:hAnsi="Arial"/>
                <w:sz w:val="18"/>
                <w:szCs w:val="18"/>
                <w:color w:val="auto"/>
                <w:w w:val="99"/>
              </w:rPr>
              <w:t>Smaller Reporting Company o</w:t>
            </w:r>
          </w:p>
        </w:tc>
      </w:tr>
      <w:tr>
        <w:trPr>
          <w:trHeight w:val="230"/>
        </w:trPr>
        <w:tc>
          <w:tcPr>
            <w:tcW w:w="2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360" w:type="dxa"/>
            <w:vAlign w:val="bottom"/>
          </w:tcPr>
          <w:p>
            <w:pPr>
              <w:jc w:val="center"/>
              <w:ind w:right="150"/>
              <w:spacing w:after="0"/>
              <w:rPr>
                <w:sz w:val="20"/>
                <w:szCs w:val="20"/>
                <w:color w:val="auto"/>
              </w:rPr>
            </w:pPr>
            <w:r>
              <w:rPr>
                <w:rFonts w:ascii="Arial" w:cs="Arial" w:eastAsia="Arial" w:hAnsi="Arial"/>
                <w:sz w:val="18"/>
                <w:szCs w:val="18"/>
                <w:color w:val="auto"/>
                <w:w w:val="92"/>
              </w:rPr>
              <w:t>(Do not check if a smaller reporting company)</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4"/>
        </w:trPr>
        <w:tc>
          <w:tcPr>
            <w:tcW w:w="8880" w:type="dxa"/>
            <w:vAlign w:val="bottom"/>
            <w:gridSpan w:val="3"/>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 b-2 of the Exchange Act). Yes  o</w:t>
            </w:r>
          </w:p>
        </w:tc>
        <w:tc>
          <w:tcPr>
            <w:tcW w:w="254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98"/>
        </w:trPr>
        <w:tc>
          <w:tcPr>
            <w:tcW w:w="2640" w:type="dxa"/>
            <w:vAlign w:val="bottom"/>
          </w:tcPr>
          <w:p>
            <w:pPr>
              <w:ind w:left="1500"/>
              <w:spacing w:after="0"/>
              <w:rPr>
                <w:sz w:val="20"/>
                <w:szCs w:val="20"/>
                <w:color w:val="auto"/>
              </w:rPr>
            </w:pPr>
            <w:r>
              <w:rPr>
                <w:rFonts w:ascii="Arial" w:cs="Arial" w:eastAsia="Arial" w:hAnsi="Arial"/>
                <w:sz w:val="18"/>
                <w:szCs w:val="18"/>
                <w:b w:val="1"/>
                <w:bCs w:val="1"/>
                <w:color w:val="auto"/>
                <w:w w:val="90"/>
              </w:rPr>
              <w:t>Class of Stock</w:t>
            </w:r>
          </w:p>
        </w:tc>
        <w:tc>
          <w:tcPr>
            <w:tcW w:w="1880" w:type="dxa"/>
            <w:vAlign w:val="bottom"/>
          </w:tcPr>
          <w:p>
            <w:pPr>
              <w:spacing w:after="0"/>
              <w:rPr>
                <w:sz w:val="24"/>
                <w:szCs w:val="24"/>
                <w:color w:val="auto"/>
              </w:rPr>
            </w:pPr>
          </w:p>
        </w:tc>
        <w:tc>
          <w:tcPr>
            <w:tcW w:w="690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w w:val="89"/>
              </w:rPr>
              <w:t>Shares Outstanding as of May 6, 2009</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Class A Common Stock, par value $0.01 per share</w:t>
            </w:r>
          </w:p>
        </w:tc>
        <w:tc>
          <w:tcPr>
            <w:tcW w:w="4360" w:type="dxa"/>
            <w:vAlign w:val="bottom"/>
          </w:tcPr>
          <w:p>
            <w:pPr>
              <w:spacing w:after="0"/>
              <w:rPr>
                <w:sz w:val="18"/>
                <w:szCs w:val="18"/>
                <w:color w:val="auto"/>
              </w:rPr>
            </w:pPr>
          </w:p>
        </w:tc>
        <w:tc>
          <w:tcPr>
            <w:tcW w:w="13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26,074,520</w:t>
            </w:r>
          </w:p>
        </w:tc>
        <w:tc>
          <w:tcPr>
            <w:tcW w:w="1240" w:type="dxa"/>
            <w:vAlign w:val="bottom"/>
          </w:tcPr>
          <w:p>
            <w:pPr>
              <w:spacing w:after="0"/>
              <w:rPr>
                <w:sz w:val="18"/>
                <w:szCs w:val="18"/>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Class B Common Stock, par value $0.01 per share</w:t>
            </w:r>
          </w:p>
        </w:tc>
        <w:tc>
          <w:tcPr>
            <w:tcW w:w="4360" w:type="dxa"/>
            <w:vAlign w:val="bottom"/>
          </w:tcPr>
          <w:p>
            <w:pPr>
              <w:spacing w:after="0"/>
              <w:rPr>
                <w:sz w:val="20"/>
                <w:szCs w:val="20"/>
                <w:color w:val="auto"/>
              </w:rPr>
            </w:pPr>
          </w:p>
        </w:tc>
        <w:tc>
          <w:tcPr>
            <w:tcW w:w="130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32,913,377</w:t>
            </w:r>
          </w:p>
        </w:tc>
        <w:tc>
          <w:tcPr>
            <w:tcW w:w="1240" w:type="dxa"/>
            <w:vAlign w:val="bottom"/>
          </w:tcPr>
          <w:p>
            <w:pPr>
              <w:spacing w:after="0"/>
              <w:rPr>
                <w:sz w:val="20"/>
                <w:szCs w:val="20"/>
                <w:color w:val="auto"/>
              </w:rPr>
            </w:pPr>
          </w:p>
        </w:tc>
      </w:tr>
      <w:tr>
        <w:trPr>
          <w:trHeight w:val="223"/>
        </w:trPr>
        <w:tc>
          <w:tcPr>
            <w:tcW w:w="4520" w:type="dxa"/>
            <w:vAlign w:val="bottom"/>
            <w:gridSpan w:val="2"/>
          </w:tcPr>
          <w:p>
            <w:pPr>
              <w:ind w:left="220"/>
              <w:spacing w:after="0"/>
              <w:rPr>
                <w:sz w:val="20"/>
                <w:szCs w:val="20"/>
                <w:color w:val="auto"/>
              </w:rPr>
            </w:pPr>
            <w:r>
              <w:rPr>
                <w:rFonts w:ascii="Arial" w:cs="Arial" w:eastAsia="Arial" w:hAnsi="Arial"/>
                <w:sz w:val="18"/>
                <w:szCs w:val="18"/>
                <w:color w:val="auto"/>
              </w:rPr>
              <w:t>Total shares of common stock outstanding</w:t>
            </w:r>
          </w:p>
        </w:tc>
        <w:tc>
          <w:tcPr>
            <w:tcW w:w="4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58,987,897</w:t>
            </w:r>
          </w:p>
        </w:tc>
        <w:tc>
          <w:tcPr>
            <w:tcW w:w="124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1"/>
        </w:trPr>
        <w:tc>
          <w:tcPr>
            <w:tcW w:w="26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631"/>
        </w:trPr>
        <w:tc>
          <w:tcPr>
            <w:tcW w:w="264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HARRIS STRATEX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April 3,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9"/>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00" w:type="dxa"/>
            <w:vAlign w:val="bottom"/>
            <w:gridSpan w:val="10"/>
            <w:vMerge w:val="restart"/>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9"/>
            <w:vMerge w:val="continue"/>
          </w:tcPr>
          <w:p>
            <w:pPr>
              <w:spacing w:after="0"/>
              <w:rPr>
                <w:sz w:val="14"/>
                <w:szCs w:val="14"/>
                <w:color w:val="auto"/>
              </w:rPr>
            </w:pPr>
          </w:p>
        </w:tc>
        <w:tc>
          <w:tcPr>
            <w:tcW w:w="8300" w:type="dxa"/>
            <w:vAlign w:val="bottom"/>
            <w:gridSpan w:val="10"/>
            <w:vMerge w:val="continue"/>
          </w:tcPr>
          <w:p>
            <w:pPr>
              <w:spacing w:after="0"/>
              <w:rPr>
                <w:sz w:val="14"/>
                <w:szCs w:val="14"/>
                <w:color w:val="auto"/>
              </w:rPr>
            </w:pPr>
          </w:p>
        </w:tc>
        <w:tc>
          <w:tcPr>
            <w:tcW w:w="860" w:type="dxa"/>
            <w:vAlign w:val="bottom"/>
          </w:tcPr>
          <w:p>
            <w:pPr>
              <w:jc w:val="right"/>
              <w:ind w:right="25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Quarter and Three Quarters ended April 3, 2009 and March 28, 2008</w:t>
              </w:r>
            </w:hyperlink>
          </w:p>
        </w:tc>
        <w:tc>
          <w:tcPr>
            <w:tcW w:w="116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6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April 3, 2009 and June 27, 2008</w:t>
              </w:r>
            </w:hyperlink>
          </w:p>
        </w:tc>
        <w:tc>
          <w:tcPr>
            <w:tcW w:w="466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3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Quarters ended April 3, 2009 and March 28, 2008</w:t>
              </w:r>
            </w:hyperlink>
          </w:p>
        </w:tc>
        <w:tc>
          <w:tcPr>
            <w:tcW w:w="200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Report of Independent Registered Public Accounting firm</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334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Item 4.</w:t>
              </w:r>
            </w:hyperlink>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17"/>
                <w:szCs w:val="17"/>
                <w:color w:val="auto"/>
              </w:rPr>
            </w:pPr>
          </w:p>
        </w:tc>
        <w:tc>
          <w:tcPr>
            <w:tcW w:w="5440" w:type="dxa"/>
            <w:vAlign w:val="bottom"/>
            <w:gridSpan w:val="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Other Information</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Item 1.</w:t>
              </w:r>
            </w:hyperlink>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8460" w:type="dxa"/>
            <w:vAlign w:val="bottom"/>
            <w:gridSpan w:val="11"/>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1A. Risk Factors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Item 5.</w:t>
              </w:r>
            </w:hyperlink>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8480" w:type="dxa"/>
            <w:vAlign w:val="bottom"/>
            <w:gridSpan w:val="1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Item 6.</w:t>
              </w:r>
            </w:hyperlink>
          </w:p>
        </w:tc>
        <w:tc>
          <w:tcPr>
            <w:tcW w:w="980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47">
              <w:r>
                <w:rPr>
                  <w:rFonts w:ascii="Arial" w:cs="Arial" w:eastAsia="Arial" w:hAnsi="Arial"/>
                  <w:sz w:val="18"/>
                  <w:szCs w:val="18"/>
                  <w:b w:val="1"/>
                  <w:bCs w:val="1"/>
                  <w:color w:val="0000EE"/>
                  <w:w w:val="89"/>
                </w:rPr>
                <w:t>Signature</w:t>
              </w:r>
            </w:hyperlink>
          </w:p>
        </w:tc>
        <w:tc>
          <w:tcPr>
            <w:tcW w:w="9800" w:type="dxa"/>
            <w:vAlign w:val="bottom"/>
            <w:gridSpan w:val="17"/>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Exhibit Index</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trademarks of Harris Stratex Networks, Inc. and its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common share amounts)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Revenue from external product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125.1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430.6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 from product sales with Harris Corporation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revenue from product sales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revenue from product sales and services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external product sales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product sales with Harris Corporation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product sales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billed from Harris Corporation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 of purchased technology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product sales and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 with Harris Corporation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identifiable intangible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Software impairment charges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Restructuring charges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Trade name impairment charges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provision for income taxes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3"/>
              </w:rPr>
              <w:t>Net (loss) income per common share of Class A and Class B common stock</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1 and 2):</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2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58.7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(loss) income per common share amounts are the same for Class A and Class B because the holders of each class are legally entitled to equal per share distributions whether through dividends or in liquidation.</w:t>
      </w:r>
    </w:p>
    <w:p>
      <w:pPr>
        <w:spacing w:after="0" w:line="21" w:lineRule="exact"/>
        <w:rPr>
          <w:rFonts w:ascii="Arial" w:cs="Arial" w:eastAsia="Arial" w:hAnsi="Arial"/>
          <w:sz w:val="18"/>
          <w:szCs w:val="18"/>
          <w:color w:val="auto"/>
        </w:rPr>
      </w:pPr>
    </w:p>
    <w:p>
      <w:pPr>
        <w:jc w:val="both"/>
        <w:ind w:left="460" w:right="2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quarter and three quarters ended March 28, 2008, the calculations of diluted earnings per share include a potential deduction to net income of $2.1 million and $2.7 million for the assumed after-tax effect of the change in fair value of warrants using the “treasury stock” method (see Note S to Condensed Consolidated Financial Statements (Unaudited)).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April 3,</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1"/>
              </w:rPr>
              <w:t>2008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115.6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Unbilled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Harris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21.3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portion of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Non-current 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9280" w:type="dxa"/>
            <w:vAlign w:val="bottom"/>
          </w:tcPr>
          <w:p>
            <w:pPr>
              <w:ind w:left="620"/>
              <w:spacing w:after="0"/>
              <w:rPr>
                <w:sz w:val="20"/>
                <w:szCs w:val="20"/>
                <w:color w:val="auto"/>
              </w:rPr>
            </w:pPr>
            <w:r>
              <w:rPr>
                <w:rFonts w:ascii="Arial" w:cs="Arial" w:eastAsia="Arial" w:hAnsi="Arial"/>
                <w:sz w:val="18"/>
                <w:szCs w:val="18"/>
                <w:color w:val="auto"/>
              </w:rPr>
              <w:t>Total long-term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593.6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Other accrued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Restructuring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capital lease obligations to Harris Corporation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Due to Harris Corporation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Long-term portion of capital lease obligations to Harris Corporation and 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Redeemable preference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Reserve for uncertain tax 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280" w:type="dxa"/>
            <w:vAlign w:val="bottom"/>
          </w:tcPr>
          <w:p>
            <w:pPr>
              <w:ind w:left="420"/>
              <w:spacing w:after="0" w:line="201" w:lineRule="exact"/>
              <w:rPr>
                <w:sz w:val="20"/>
                <w:szCs w:val="20"/>
                <w:color w:val="auto"/>
              </w:rPr>
            </w:pPr>
            <w:r>
              <w:rPr>
                <w:rFonts w:ascii="Arial" w:cs="Arial" w:eastAsia="Arial" w:hAnsi="Arial"/>
                <w:sz w:val="18"/>
                <w:szCs w:val="18"/>
                <w:color w:val="auto"/>
              </w:rPr>
              <w:t>Common stock, Class A, $0.01 par value; 300,000,000 shares authorized; issued and outstanding 26,023,146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620"/>
              <w:spacing w:after="0"/>
              <w:rPr>
                <w:sz w:val="20"/>
                <w:szCs w:val="20"/>
                <w:color w:val="auto"/>
              </w:rPr>
            </w:pPr>
            <w:r>
              <w:rPr>
                <w:rFonts w:ascii="Arial" w:cs="Arial" w:eastAsia="Arial" w:hAnsi="Arial"/>
                <w:sz w:val="18"/>
                <w:szCs w:val="18"/>
                <w:color w:val="auto"/>
              </w:rPr>
              <w:t>shares as of April 3, 2009 and 25,556,134 shares as of June 27, 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5"/>
              </w:rPr>
              <w:t>Common stock, Class B $0.01 par value; 100,000,000 shares authorized; issued and outstanding 32,913,377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 of April 3, 2009 and June 27, 2008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(11.8)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420"/>
          </w:cols>
          <w:pgMar w:left="240" w:top="419" w:right="239" w:bottom="881"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8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33"/>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(348.1)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Amortization of purchased technology and identifiable 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Goodwill impairment charges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name impairment charges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Non-cash share-based compensation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charges for product transition, restructuring and inventory mark-downs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fair value of warrants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Deferred income tax expense (benefit)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effects of Telsima acquisition: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Unbilled costs and inventories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payments and unearned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Due to Harris Corporation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liabilities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Cash payments for Telsima acquisition, net of acquisition costs and cash acquired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Additions of capitalized software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short-term debt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Payments on long-term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capital lease obligation to Harris Corporation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(0.8</w:t>
            </w: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Proceeds from exercise of former Stratex stock options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April 3,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 and Nature of Operations</w:t>
      </w:r>
    </w:p>
    <w:p>
      <w:pPr>
        <w:spacing w:after="0" w:line="121"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The accompanying condensed consolidated financial statements include the accounts of Harris Stratex Networks, Inc. and its wholly-owned and majority-owned subsidiaries (“we,” “us,” “our,” and “Harris Stratex”) and have been prepared by us, without an audit, in accordance with accounting principles generally accepted in the United States for interim financial information and with the rules and regulations of the Securities and Exchange Commission (“SEC”). Accordingly, they do not include all information and footnotes necessary for a complete presentation of financial position, results of operations and changes in cash flows in conformity with U.S. generally accepted accounting principles. In the opinion of our management, such financial statements reflect all adjustments considered necessary for a fair presentation of financial position, results of operations and cash flows for such periods.</w:t>
      </w:r>
    </w:p>
    <w:p>
      <w:pPr>
        <w:spacing w:after="0" w:line="57"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results for the quarter ended April 3, 2009 are not necessarily indicative of the results that may be expected for the full fiscal year or any subsequent period. The balance sheet as of June 27, 2008 has been derived from our audited financial statements but does not include all the information and footnotes required by generally accepted accounting principles in the United States for annual financial statements. We provide complete financial statements in our Annual Report on Form 10-K, which includes information and footnotes required by the rules and regulations of the SEC. The information included in this Quarterly Report on Form 10-Q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June 27, 2008 (“Fiscal 2008 Form 10-K”) and the Quarterly Report on Form 10-Q/A for the quarter ended March 28, 2008, both of which were filed with the SEC on September 25, 2008.</w:t>
      </w:r>
    </w:p>
    <w:p>
      <w:pPr>
        <w:spacing w:after="0" w:line="71"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us to make estimates and assumptions that affect the amounts reported in the condensed financial statements and accompanying notes. Actual results could differ from those results and estimates.</w:t>
      </w:r>
    </w:p>
    <w:p>
      <w:pPr>
        <w:spacing w:after="0" w:line="73" w:lineRule="exact"/>
        <w:rPr>
          <w:sz w:val="20"/>
          <w:szCs w:val="20"/>
          <w:color w:val="auto"/>
        </w:rPr>
      </w:pPr>
    </w:p>
    <w:p>
      <w:pPr>
        <w:ind w:right="80" w:firstLine="215"/>
        <w:spacing w:after="0" w:line="253" w:lineRule="auto"/>
        <w:rPr>
          <w:sz w:val="20"/>
          <w:szCs w:val="20"/>
          <w:color w:val="auto"/>
        </w:rPr>
      </w:pPr>
      <w:r>
        <w:rPr>
          <w:rFonts w:ascii="Arial" w:cs="Arial" w:eastAsia="Arial" w:hAnsi="Arial"/>
          <w:sz w:val="18"/>
          <w:szCs w:val="18"/>
          <w:color w:val="auto"/>
        </w:rPr>
        <w:t xml:space="preserve">As of April 3, 2009, Harris Corporation (“Harris”) owned 100% of our Class B common stock or approximately 56% of the total shares of our common stock. On March 31, 2009, Harris issued a press release announcing that its Board of Directors approved the spin-off to its shareholders of all the shares of Harris Stratex owned by Harris. The spin-off will take place in the form of a taxable pro rata stock dividend payable on May 27, 2009 to the Harris shareholders of record as of 5:30 p.m. Eastern Time on May 13, 2009, the record date for the spin-off dividend. Harris shareholders will receive approximately 0.24 of a share of Harris Stratex Class A common stock for every share of Harris common stock they own on the record date. Harris currently owns 32,913,377 shares of Class B common stock of Harris Stratex which will be exchanged for an equivalent number of shares of Harris Stratex Class A common stock by Harris prior to the distribution. Following the distribution, only Class A common stock of Harris Stratex will be outstanding. See </w:t>
      </w:r>
      <w:r>
        <w:rPr>
          <w:rFonts w:ascii="Arial" w:cs="Arial" w:eastAsia="Arial" w:hAnsi="Arial"/>
          <w:sz w:val="18"/>
          <w:szCs w:val="18"/>
          <w:i w:val="1"/>
          <w:iCs w:val="1"/>
          <w:color w:val="auto"/>
        </w:rPr>
        <w:t>Note P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Party Transactions with Harris </w:t>
      </w:r>
      <w:r>
        <w:rPr>
          <w:rFonts w:ascii="Arial" w:cs="Arial" w:eastAsia="Arial" w:hAnsi="Arial"/>
          <w:sz w:val="18"/>
          <w:szCs w:val="18"/>
          <w:color w:val="auto"/>
        </w:rPr>
        <w:t>in these Notes to Condensed Consolidated Financial Statements (Unaudited) for additional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with Harris.</w:t>
      </w:r>
    </w:p>
    <w:p>
      <w:pPr>
        <w:spacing w:after="0" w:line="8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On February 27, 2009, the Company completed the acquisition of Telsima Networks, Inc. (“Telsima”), a privately-held company which is a leading developer and provider of WiMAX Forum CertifiedTM products for use in next-generation broadband wireless networks. These activities are now performed by our International Microwave business segment. As a result of the acquisition, Telsima became a wholly-owned subsidiary of the Company. The results of operations and cash flows of Telsima are included in these consolidated financial statements since February 27, 2009, the date of acquisition. See </w:t>
      </w:r>
      <w:r>
        <w:rPr>
          <w:rFonts w:ascii="Arial" w:cs="Arial" w:eastAsia="Arial" w:hAnsi="Arial"/>
          <w:sz w:val="18"/>
          <w:szCs w:val="18"/>
          <w:i w:val="1"/>
          <w:iCs w:val="1"/>
          <w:color w:val="auto"/>
        </w:rPr>
        <w:t>Note C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 — Acquisition of Telsima Networks, Inc. </w:t>
      </w:r>
      <w:r>
        <w:rPr>
          <w:rFonts w:ascii="Arial" w:cs="Arial" w:eastAsia="Arial" w:hAnsi="Arial"/>
          <w:sz w:val="18"/>
          <w:szCs w:val="18"/>
          <w:color w:val="auto"/>
        </w:rPr>
        <w:t>in these Notes to Condensed Consolidated Financial Statements (Unaudited)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85" w:lineRule="exact"/>
        <w:rPr>
          <w:sz w:val="20"/>
          <w:szCs w:val="20"/>
          <w:color w:val="auto"/>
        </w:rPr>
      </w:pPr>
    </w:p>
    <w:p>
      <w:pPr>
        <w:ind w:right="300" w:firstLine="225"/>
        <w:spacing w:after="0" w:line="255"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We design, manufacture and sell a broad range of microwave radios, scalable wireless network solutions and vertical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use in worldwide wireless and wireline communications networks. Applications include cellular/mobile infrastructure connectivity; WiMAX networks and energy and security solutions; secure data networks; public safety transport for state, local and federal government users; and right-of-way connectivity for utilities, pipelines, railroads and industrial companies. In general, wireless networks are constructed using microwave radios and other equipment and network management solutions to connect cell sites, fixed-access facilities, switching systems, land mobile radio systems and other similar systems.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Accounting Changes and Recent Accounting Pronouncements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Initial Application of Standards, Interpretations and Amendments to Standards and Interpretations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Disclosures about Derivative Instruments and Hedging Activities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March 2008, the FASB issued Statement of Financial Accounting Standards No. 161, “Disclosures about Derivative Instruments and Hedging Activities</w:t>
      </w:r>
    </w:p>
    <w:p>
      <w:pPr>
        <w:spacing w:after="0" w:line="4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 an amendment of FASB Statement No. 133” (“Statement 161”). Statement 161 applies to all derivative instruments, including bifurcated derivative instruments (and to nonderivative instruments that are designated and qualify as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hedging instruments pursuant to paragraphs 37 and 42 of FASB Statement of Financial Accounting Standards No. 133, “Accounting for Derivative Instruments and Hedging Activities” (“Statement 133”) and related hedged items accounted for under Statement 133. Statement 161 amends and expands the disclosure requirements of Statement 133 to provide greater transparency as to (a) how and why an entity uses derivative instruments, (b) how derivative instruments and related hedged items are accounted for under Statement 133 and its related interpretations, and (c) how derivative instruments and related hedged items affect an entity’s financial position, results of operations and cash flows. To meet those objectives, Statement 161 requires qualitative disclosures about objectives and strategies for using derivatives, quantitative disclosures about the volume of derivative activity and fair value amounts of, and gains and losses on, derivative instruments including location of such amounts in the consolidated financial statements, and disclosures about credit-risk-related contingent features in derivative agreements. Statement 161 is effective for fiscal years and interim periods that begin after November 15, 2008. We adopted Statement 161 during the third quarter of fiscal 2009 (see Note R). The adoption of Statement 161 did not have an impact on our consolidated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 xml:space="preserve">In September 2006, the Financial Accounting Standards Board (the “FASB”) issued Statement of Financial Accounting Standards No. 157, “Fair Value Measurements” (“Statement 157”). Statement 157 defines fair value, establishes a framework for measuring fair value in generally accepted accounting principles, and expands disclosures about fair value measurements. Statement 157 applies under other accounting pronouncements that require fair value measurement in which the FASB concluded that fair value was the relevant measurement, but does not require any new fair value measurements. In February 2008, the FASB issued FASB Staff Position (“FSP”) No. FAS 157-2, “Effective Date of FASB Statement No. 157” (“FSP FAS 157-2”), which defers the effective date of Statement 157 for nonfinancial assets and nonfinancial liabilities, except for items that are recognized or disclosed at fair value in the financial statements on a recurring basis (at least annually) to fiscal years beginning after November 15, 2008, which for us is our fiscal 2010. We adopted Statement 157 in the first quarter of fiscal 2009 and there was no impact to our financial position, results of operations or cash flows. In accordance with FSP FAS 157-2, we elected to defer until fiscal 2010 the adoption of Statement 157 for nonfinancial assets (including items such as goodwill and other intangible assets) and nonfinancial liabilities, except for items that are recognized or disclosed at fair value in the financial statements on a recurring basis (at least annually). We do not currently anticipate that the adoption of Statement 157 for nonfinancial assets and nonfinancial liabilities will materially impact our financial position, results of operations or cash flows. See </w:t>
      </w:r>
      <w:r>
        <w:rPr>
          <w:rFonts w:ascii="Arial" w:cs="Arial" w:eastAsia="Arial" w:hAnsi="Arial"/>
          <w:sz w:val="16"/>
          <w:szCs w:val="16"/>
          <w:i w:val="1"/>
          <w:iCs w:val="1"/>
          <w:color w:val="auto"/>
        </w:rPr>
        <w:t>Note E — Fair Value Measurements of Financial Assets and Financial Liabilities</w:t>
      </w:r>
      <w:r>
        <w:rPr>
          <w:rFonts w:ascii="Arial" w:cs="Arial" w:eastAsia="Arial" w:hAnsi="Arial"/>
          <w:sz w:val="16"/>
          <w:szCs w:val="16"/>
          <w:color w:val="auto"/>
        </w:rPr>
        <w:t xml:space="preserve"> in these Notes to Condensed Consolidated Financial Statements (Unaudited) for disclosures required by Statement 157.</w:t>
      </w:r>
    </w:p>
    <w:p>
      <w:pPr>
        <w:spacing w:after="0" w:line="6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February 2007, the FASB issued Statement of Financial Accounting Standards No. 159, “The Fair Value Option for Financial Assets and Financial Liabilities” (“Statement 159”). Statement 159 allows companies to voluntarily choose, at specified election dates, to measure many financial assets and financial liabilities at fair value (the “fair value option”). The election is made on an instrument-by-instrument basis and is irrevocable. If the fair value option is elected for an instrument, all unrealized gains or losses in fair value for that instrument shall be reported in earnings at each subsequent reporting date. We adopted Statement 159 in the first quarter of fiscal 2009 but have not elected the fair value option for any eligible financial instruments.</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Standards, Interpretations and Amendments Issued, but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Business Combinations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December 2007, the FASB issued Statement of Financial Accounting Standards No. 141 (revised 2007), “Business Combinations” (“Statement 141R”).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 141R requires that, upon a business combination, the acquired assets, assumed liabilities, contractual contingencies and contingent liabilities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and measured at their fair value at the acquisition date. Statement 141R also requires that acquisition-related costs be recognized separately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and expensed as incurred. In addition, Statement 141R requires that acquired in-process research and development be measured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capitalized as an indefinite-lived intangible asset, and it is therefore not subject to amortization until the project is completed or abandoned.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141R also requires that changes in deferred tax asset valuation allowances and acquired income tax uncertainties that are recognized after the measurement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be recognized in income tax expense. Statement 141R is to be applied prospectively and is effective for fiscal years beginning on or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15, 2008, which for us is our fiscal 2010. Thus, while adoption is not expected to materially impact our financial position, results of operations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directly when it becomes effective on July 4, 2009 (the beginning of our fiscal 2010), it is expected to have a significant effect on the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any acquisitions we make on, or subsequent to, that date.</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April 1, 2009, the FASB issued FSP No. FAS 141R-1, “Accounting for Assets Acquired and Liabilities Assumed in a Business Combination That Arise from Contingencies” (“FSP FAS 141R-1”). Under FSP FAS 141R-1, assets and liabilities arising from contingencies in a business combination are to be recognized at fair value at the acquisition date if the acquisition-date fair value can be determined during the measurement period. In cases where acquisition-date fair values cannot be determined during the measurement period, an asset or liability shall be recognized at the acquisition date at amounts based on guidance in FASB Statement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No. 5, “Accounting for Contingencies” and FASB Interpretation No. 14, “Reasonable Estimation of the Amount of a Loss” if certain other criteria are met. FSP FAS 141R-1 also expands the disclosure requirements of Statement 141R to provide additional information about business combination-related contingencies in footnotes describing business combinations. FSP FAS 141R-1 is effective for business combinations for which the acquisition date is on or after the beginning of the first annual reporting period beginning on or after December 15, 2008, which for us is our fiscal 2010. Thus, while adoption is not expected to materially impact our financial position, results of operations or cash flows directly when it becomes effective on July 4, 2009 (the beginning of our fiscal 2010), it may have a significant effect on the accounting for any acquisitions we make on, or subsequent to, that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Noncontrolling Interests in Consolidated Financial Statements</w:t>
      </w:r>
    </w:p>
    <w:p>
      <w:pPr>
        <w:spacing w:after="0" w:line="11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In December 2007, the FASB issued Statement of Financial Accounting Standards No. 160, “Noncontrolling Interests in Consolidated Financial Statements — an amendment of ARB No. 51” (“Statement 160”). Statement 160 requires that noncontrolling interests (previously referred to as minority interests) be clearly identified and presented as a component of equity, separate from the parent’s equity. Statement 160 also requires that the amount of consolidated net income attributable to the parent and to the noncontrolling interest be clearly identified and presented on the face of the consolidated statement of income; that changes in ownership interest be accounted for as equity transactions; and that when a subsidiary is deconsolidated, any retained noncontrolling equity investment in that subsidiary and the gain or loss on the deconsolidation of that subsidiary be measured at fair value. Statement 160 is to be applied prospectively, except for the presentation and disclosure requirements (which are to be applied retrospectively for all periods presented) and is effective for fiscal years beginning after December 15, 2008, which for us is our fiscal 2010. We do not currently anticipate the implementation of Statement 160 will materially impact our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June 2008, the FASB issued FSP No. Emerging Issues Task Force (“EITF”) 03-6-1, “Determining Whether Instruments Granted in Share-Based Payment Transactions Are Participating Securities” (“FSP EITF 03-6-1”). FSP EITF 03-6-1 states that unvested share-based payment awards that contain rights to receive nonforfeitable dividends or dividend equivalents (whether paid or unpaid) are participating securities and, accordingly, should be included in the two-class method of calculating earnings per share (“EPS”) under FASB Statement of Financial Accounting Standards No. 128, “Earnings per Share.” FSP EITF 03-6-1 also includes guidance on allocating earnings pursuant to the two-class method. FSP EITF 03-6-1 is effective for fiscal years beginning after December 15, 2008, which for us is our fiscal 2010. All prior-period EPS data presented (including interim financial statements, summaries of earnings, and selected financial data) shall be adjusted retrospectively. We do not currently anticipate that the implementation of FSP EITF 03-6-1 will materially impact our financial position,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Useful Life of Intangible Assets</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April 2008, the FASB issued FSP No. FAS 142-3, “Determining the Useful Life of Intangible Assets” (“FSP FAS 142-3”). FSP FAS 142-3 amends the factors that must be considered in developing renewal or extension assumptions used to determine the useful life of recognized intangible assets accounted for pursuant to FASB Statement of Financial Accounting Standards No. 142, “Goodwill and Other Intangible Assets” (“Statement 142”). FSP FAS 142-3 amends Statement 142 to require an entity to consider its own historical experience in renewing or extending similar arrangements, regardless of whether those arrangements have explicit renewal or extension provisions. In the absence of such experience, FSP FAS 142-3 requires an entity to consider assumptions that market participants would use (consistent with the highest and best use of the asset by market participants), adjusted for entity-specific factors. FSP FAS 142-3 also requires incremental disclosures for renewable intangible assets. FSP FAS 142-3 is effective for fiscal years beginning after December 15, 2008, which for us is our fiscal 2010. FSP FAS 142-3 is to be applied prospectively to intangible assets acquired after the effective date, and the incremental disclosure requirements for renewable intangible assets are to be applied prospectively to all intangible assets recognized as of, and subsequent to, the effective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Business Combination — Acquisition of Telsima Networks, Inc.</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March 2, 2009, we announced that we closed the acquisition (the “Telsima Acquisition”) of Telsima Corporation (“Telsima”) of Sunnyvale, California. Telsima is a leading developer and provider of WiMAX Forum Certified™ products for use in next generation broadband wireless networks. The Telsima Acquisition closed on February 27, 2009 and was consummated pursuant to an Agreement and Plan of Merger, dated February 27, 2009 (the “Merger Agreement”), by and among Harris Stratex Networks Operating Corporation, a wholly-owned subsidiary of the Company (“HSNOC”), Eagle Networks Merger Corporation, a wholly-owned subsidiary of HSNOC (“Merger Sub”), Telsima and the Holder Representative party thereto. The Merger Agreement provided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for the acquisition by HSNOC of all of the outstanding equity securities of Telsima for cash through the merger of Merger Sub with and into Telsima.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 such merger, Telsima became a wholly-owned subsidiary of HSNOC.</w:t>
      </w:r>
    </w:p>
    <w:p>
      <w:pPr>
        <w:spacing w:after="0" w:line="103" w:lineRule="exact"/>
        <w:rPr>
          <w:sz w:val="20"/>
          <w:szCs w:val="20"/>
          <w:color w:val="auto"/>
        </w:rPr>
      </w:pPr>
    </w:p>
    <w:p>
      <w:pPr>
        <w:ind w:right="100" w:firstLine="225"/>
        <w:spacing w:after="0" w:line="253" w:lineRule="auto"/>
        <w:rPr>
          <w:sz w:val="20"/>
          <w:szCs w:val="20"/>
          <w:color w:val="auto"/>
        </w:rPr>
      </w:pPr>
      <w:r>
        <w:rPr>
          <w:rFonts w:ascii="Arial" w:cs="Arial" w:eastAsia="Arial" w:hAnsi="Arial"/>
          <w:sz w:val="18"/>
          <w:szCs w:val="18"/>
          <w:color w:val="auto"/>
        </w:rPr>
        <w:t xml:space="preserve">Under the terms of the Merger Agreement, HSNOC will pay to the stockholders of Telsima a maximum aggregate consideration equal to (i) $12 million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$2 million in respect of advances made by us to Telsima prior to the Acquisition,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an amount equal to 70% of any amounts collected by us from certain Telsima customers during the period between February 27, 2009 and March 31, 2009. The aggregate consideration was payable $2 million upon the closing of the Telsima Acquisition, $2.5 million of the aggregate consideration is payable on or about May 27, 2009 and $2.5 million of the aggregate consideration is payable on or about August 27, 2009, with each of the May 27, 2009 and August 27, 2009 payments subject to adjustment based on the collections from Telsima customers described above. Pursuant to the Merger Agreement, HSNOC has retained a $3 million holdback amount with respect to certain indemnification and other obligations of the former stockholders of Telsima and this holdback amount is due to be settled on or about February 27, 2010. In connection with the Telsima Acquisition, we executed a guarantee of all of the amounts payable by HSNOC under the terms of the Merger Agreement. As of April 3, 2009, we have included $8.0 million for amounts remaining to be paid in “Other accrued items” on our condensed consolidated balance sheet.</w:t>
      </w:r>
    </w:p>
    <w:p>
      <w:pPr>
        <w:spacing w:after="0" w:line="8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We completed the Telsima Acquisition to acquire WiMAX™ technology and products for use in next-generation broadband wireless networks and to enhance our ability to expand into new and emerging markets.</w:t>
      </w:r>
    </w:p>
    <w:p>
      <w:pPr>
        <w:spacing w:after="0" w:line="62"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The Telsima Acquisition was accounted for as a purchase business combination. Total consideration paid by us is estimated to be approximately $12.7 million as summarized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Calculation of Allocable Purchase Price (in millions)</w:t>
            </w:r>
          </w:p>
        </w:tc>
        <w:tc>
          <w:tcPr>
            <w:tcW w:w="5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February 27,</w:t>
            </w: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and to be paid for all of the outstanding shares of Telsima</w:t>
            </w: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Acquisition costs</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allocable purchase price</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table below represents the preliminary allocation of the total consideration to the purchased tangible and identifiable intangible assets and liabilities based on our assessment of their respective fair values as of the date of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the acquisition date (in millions)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w:t>
            </w:r>
          </w:p>
        </w:tc>
        <w:tc>
          <w:tcPr>
            <w:tcW w:w="3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5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5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following table summarizes the allocation of estimated identifiable intangible assets resulting from the acquisition. For purposes of this allocation, we have assessed a fair value of Telsima identifiable intangible assets related to customer contracts, customer relationships, developed technology and tradenames based on the net present value of the projected income stream of these identifiable intangible assets. The resulting fair value is being amortized over the estimated useful life of each identifiable intangible asset on a straight-line basis. We estimated the fair value of acquired in-process research and development to be approximately $2.4 million, which we have reflected in “Acquired in-process research and development” expense in the accompanying condensed consolidated statement of operations. This represents certain technologies under development, primarily related to next generations of the WiMAX™ product line. We estimated that the technologies under development were approximately 50 percent complete at the date of acquisition. We expect to incur up to an additional $7.6 million to complete this development, with completion expected in late calendar 2009.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Expense Type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70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 of revenue</w:t>
            </w:r>
          </w:p>
        </w:tc>
        <w:tc>
          <w:tcPr>
            <w:tcW w:w="15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79"/>
              </w:rPr>
              <w:t>6</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Selling and administrative</w:t>
            </w:r>
          </w:p>
        </w:tc>
        <w:tc>
          <w:tcPr>
            <w:tcW w:w="1580" w:type="dxa"/>
            <w:vAlign w:val="bottom"/>
            <w:gridSpan w:val="2"/>
          </w:tcPr>
          <w:p>
            <w:pPr>
              <w:jc w:val="center"/>
              <w:ind w:left="450"/>
              <w:spacing w:after="0"/>
              <w:rPr>
                <w:sz w:val="20"/>
                <w:szCs w:val="20"/>
                <w:color w:val="auto"/>
              </w:rPr>
            </w:pPr>
            <w:r>
              <w:rPr>
                <w:rFonts w:ascii="Arial" w:cs="Arial" w:eastAsia="Arial" w:hAnsi="Arial"/>
                <w:sz w:val="18"/>
                <w:szCs w:val="18"/>
                <w:color w:val="auto"/>
                <w:w w:val="79"/>
              </w:rPr>
              <w:t>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Selling and administrative</w:t>
            </w:r>
          </w:p>
        </w:tc>
        <w:tc>
          <w:tcPr>
            <w:tcW w:w="15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79"/>
              </w:rPr>
              <w:t>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700" w:type="dxa"/>
            <w:vAlign w:val="bottom"/>
          </w:tcPr>
          <w:p>
            <w:pPr>
              <w:jc w:val="center"/>
              <w:spacing w:after="0"/>
              <w:rPr>
                <w:sz w:val="20"/>
                <w:szCs w:val="20"/>
                <w:color w:val="auto"/>
              </w:rPr>
            </w:pPr>
            <w:r>
              <w:rPr>
                <w:rFonts w:ascii="Arial" w:cs="Arial" w:eastAsia="Arial" w:hAnsi="Arial"/>
                <w:sz w:val="18"/>
                <w:szCs w:val="18"/>
                <w:color w:val="auto"/>
                <w:w w:val="88"/>
              </w:rPr>
              <w:t>In-process research and development</w:t>
            </w:r>
          </w:p>
        </w:tc>
        <w:tc>
          <w:tcPr>
            <w:tcW w:w="5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 Day</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3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Telsima Acquisition has been accounted for under the purchase method of accounting using Statement 141. Accordingly, the Telsima results of operations have been included in the condensed consolidated statement of operations and cash flows since the acquisition date of February 27, 2009 and are included almost entirely in our International Microwave segment. The purchase price allocation is preliminary and until February 26, 2010, additional information could come to our attention that may require us to further revise the purchase price allocation in connection with the Telsima Acquisition. The excess of the purchase price over the fair value of the identifiable tangible and intangible net assets acquired was assigned to goodwill. The goodwill resulting from the acquisition was associated primarily with the Telsima market presence and leading position, its growth opportunity in the markets in which it operated and its experienced work force.</w:t>
      </w:r>
    </w:p>
    <w:p>
      <w:pPr>
        <w:spacing w:after="0" w:line="8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 accordance with Statement 142, goodwill will not be amortized but will be tested for impairment at least annually. The goodwill resulting from the Telsima Acquisition is deductible for tax purposes. The write-off of in-process research and development noted in the above table was included in our condensed consolidated statement of operations during the quarter ended April 3, 2009. We obtained the assistance of an independent valuation specialist to assist us in determining the allocation of the purchase price for the Telsima Acquisition.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acquired identifiable intangible assets and their respective book values at April 3, 2009 are shown in the table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Developed</w:t>
            </w: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Customer</w:t>
            </w:r>
          </w:p>
        </w:tc>
        <w:tc>
          <w:tcPr>
            <w:tcW w:w="17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Tradenames</w:t>
            </w:r>
          </w:p>
        </w:tc>
        <w:tc>
          <w:tcPr>
            <w:tcW w:w="14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Technology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7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Initial fair value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intangible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1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following summary, prepared on a pro forma basis, presents unaudited consolidated results of operations as if Telsima had been acquired as of the beginning of the periods presented, after including the impact of adjustments such as amortization of intangibles and the related income tax effects. This pro forma presentation does not include any impact of acquisition synergies.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Quarters Ended</w:t>
            </w:r>
          </w:p>
        </w:tc>
      </w:tr>
      <w:tr>
        <w:trPr>
          <w:trHeight w:val="119"/>
        </w:trPr>
        <w:tc>
          <w:tcPr>
            <w:tcW w:w="5660" w:type="dxa"/>
            <w:vAlign w:val="bottom"/>
          </w:tcPr>
          <w:p>
            <w:pPr>
              <w:spacing w:after="0"/>
              <w:rPr>
                <w:sz w:val="10"/>
                <w:szCs w:val="10"/>
                <w:color w:val="auto"/>
              </w:rPr>
            </w:pPr>
          </w:p>
        </w:tc>
        <w:tc>
          <w:tcPr>
            <w:tcW w:w="80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April 3,</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March 28,</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auto"/>
                <w:w w:val="99"/>
              </w:rPr>
              <w:t>April 3,</w:t>
            </w:r>
          </w:p>
        </w:tc>
        <w:tc>
          <w:tcPr>
            <w:tcW w:w="500" w:type="dxa"/>
            <w:vAlign w:val="bottom"/>
          </w:tcPr>
          <w:p>
            <w:pPr>
              <w:spacing w:after="0"/>
              <w:rPr>
                <w:sz w:val="10"/>
                <w:szCs w:val="10"/>
                <w:color w:val="auto"/>
              </w:rPr>
            </w:pPr>
          </w:p>
        </w:tc>
        <w:tc>
          <w:tcPr>
            <w:tcW w:w="108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March 28,</w:t>
            </w:r>
          </w:p>
        </w:tc>
      </w:tr>
      <w:tr>
        <w:trPr>
          <w:trHeight w:val="171"/>
        </w:trPr>
        <w:tc>
          <w:tcPr>
            <w:tcW w:w="5660" w:type="dxa"/>
            <w:vAlign w:val="bottom"/>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2008</w:t>
            </w:r>
          </w:p>
        </w:tc>
      </w:tr>
      <w:tr>
        <w:trPr>
          <w:trHeight w:val="142"/>
        </w:trPr>
        <w:tc>
          <w:tcPr>
            <w:tcW w:w="5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gridSpan w:val="5"/>
          </w:tcPr>
          <w:p>
            <w:pPr>
              <w:jc w:val="right"/>
              <w:ind w:right="17"/>
              <w:spacing w:after="0" w:line="142" w:lineRule="exact"/>
              <w:rPr>
                <w:sz w:val="20"/>
                <w:szCs w:val="20"/>
                <w:color w:val="auto"/>
              </w:rPr>
            </w:pPr>
            <w:r>
              <w:rPr>
                <w:rFonts w:ascii="Arial" w:cs="Arial" w:eastAsia="Arial" w:hAnsi="Arial"/>
                <w:sz w:val="14"/>
                <w:szCs w:val="14"/>
                <w:b w:val="1"/>
                <w:bCs w:val="1"/>
                <w:color w:val="auto"/>
                <w:w w:val="98"/>
              </w:rPr>
              <w:t>(In millions, except per share amounts)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 from product sales and services — as reported</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$158.0</w:t>
            </w:r>
          </w:p>
        </w:tc>
        <w:tc>
          <w:tcPr>
            <w:tcW w:w="1040" w:type="dxa"/>
            <w:vAlign w:val="bottom"/>
            <w:gridSpan w:val="3"/>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178.2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544.7</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4"/>
              </w:rPr>
              <w:t>531.7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Revenue from product sales and services — pro forma</w:t>
            </w:r>
          </w:p>
        </w:tc>
        <w:tc>
          <w:tcPr>
            <w:tcW w:w="800" w:type="dxa"/>
            <w:vAlign w:val="bottom"/>
          </w:tcPr>
          <w:p>
            <w:pPr>
              <w:ind w:left="220"/>
              <w:spacing w:after="0"/>
              <w:rPr>
                <w:sz w:val="20"/>
                <w:szCs w:val="20"/>
                <w:color w:val="auto"/>
              </w:rPr>
            </w:pPr>
            <w:r>
              <w:rPr>
                <w:rFonts w:ascii="Arial" w:cs="Arial" w:eastAsia="Arial" w:hAnsi="Arial"/>
                <w:sz w:val="18"/>
                <w:szCs w:val="18"/>
                <w:color w:val="auto"/>
              </w:rPr>
              <w:t>$166.8</w:t>
            </w:r>
          </w:p>
        </w:tc>
        <w:tc>
          <w:tcPr>
            <w:tcW w:w="1040" w:type="dxa"/>
            <w:vAlign w:val="bottom"/>
            <w:gridSpan w:val="3"/>
          </w:tcPr>
          <w:p>
            <w:pPr>
              <w:ind w:left="9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179.4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7"/>
              <w:spacing w:after="0"/>
              <w:rPr>
                <w:sz w:val="20"/>
                <w:szCs w:val="20"/>
                <w:color w:val="auto"/>
              </w:rPr>
            </w:pPr>
            <w:r>
              <w:rPr>
                <w:rFonts w:ascii="Arial" w:cs="Arial" w:eastAsia="Arial" w:hAnsi="Arial"/>
                <w:sz w:val="18"/>
                <w:szCs w:val="18"/>
                <w:color w:val="auto"/>
                <w:w w:val="97"/>
              </w:rPr>
              <w:t>566.4</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3"/>
              <w:spacing w:after="0"/>
              <w:rPr>
                <w:sz w:val="20"/>
                <w:szCs w:val="20"/>
                <w:color w:val="auto"/>
              </w:rPr>
            </w:pPr>
            <w:r>
              <w:rPr>
                <w:rFonts w:ascii="Arial" w:cs="Arial" w:eastAsia="Arial" w:hAnsi="Arial"/>
                <w:sz w:val="18"/>
                <w:szCs w:val="18"/>
                <w:color w:val="auto"/>
                <w:w w:val="84"/>
              </w:rPr>
              <w:t>535.1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 as reported</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 (38.3)</w:t>
            </w:r>
          </w:p>
        </w:tc>
        <w:tc>
          <w:tcPr>
            <w:tcW w:w="1040" w:type="dxa"/>
            <w:vAlign w:val="bottom"/>
            <w:gridSpan w:val="3"/>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87"/>
              </w:rPr>
              <w:t>(348.1)</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loss — pro forma</w:t>
            </w:r>
          </w:p>
        </w:tc>
        <w:tc>
          <w:tcPr>
            <w:tcW w:w="800" w:type="dxa"/>
            <w:vAlign w:val="bottom"/>
          </w:tcPr>
          <w:p>
            <w:pPr>
              <w:ind w:left="220"/>
              <w:spacing w:after="0"/>
              <w:rPr>
                <w:sz w:val="20"/>
                <w:szCs w:val="20"/>
                <w:color w:val="auto"/>
              </w:rPr>
            </w:pPr>
            <w:r>
              <w:rPr>
                <w:rFonts w:ascii="Arial" w:cs="Arial" w:eastAsia="Arial" w:hAnsi="Arial"/>
                <w:sz w:val="18"/>
                <w:szCs w:val="18"/>
                <w:color w:val="auto"/>
                <w:w w:val="90"/>
              </w:rPr>
              <w:t>$ (48.3)</w:t>
            </w:r>
          </w:p>
        </w:tc>
        <w:tc>
          <w:tcPr>
            <w:tcW w:w="1040" w:type="dxa"/>
            <w:vAlign w:val="bottom"/>
            <w:gridSpan w:val="3"/>
          </w:tcPr>
          <w:p>
            <w:pPr>
              <w:ind w:left="9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7"/>
              <w:spacing w:after="0"/>
              <w:rPr>
                <w:sz w:val="20"/>
                <w:szCs w:val="20"/>
                <w:color w:val="auto"/>
              </w:rPr>
            </w:pPr>
            <w:r>
              <w:rPr>
                <w:rFonts w:ascii="Arial" w:cs="Arial" w:eastAsia="Arial" w:hAnsi="Arial"/>
                <w:sz w:val="18"/>
                <w:szCs w:val="18"/>
                <w:color w:val="auto"/>
                <w:w w:val="87"/>
              </w:rPr>
              <w:t>(371.1)</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3"/>
              </w:rPr>
              <w:t>(23.8)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diluted common share — as reported</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 (0.65)</w:t>
            </w:r>
          </w:p>
        </w:tc>
        <w:tc>
          <w:tcPr>
            <w:tcW w:w="1040" w:type="dxa"/>
            <w:vAlign w:val="bottom"/>
            <w:gridSpan w:val="3"/>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(5.93)</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3"/>
              </w:rPr>
              <w:t>(0.02)</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Net loss per diluted common share — pro forma</w:t>
            </w:r>
          </w:p>
        </w:tc>
        <w:tc>
          <w:tcPr>
            <w:tcW w:w="800" w:type="dxa"/>
            <w:vAlign w:val="bottom"/>
          </w:tcPr>
          <w:p>
            <w:pPr>
              <w:ind w:left="220"/>
              <w:spacing w:after="0"/>
              <w:rPr>
                <w:sz w:val="20"/>
                <w:szCs w:val="20"/>
                <w:color w:val="auto"/>
              </w:rPr>
            </w:pPr>
            <w:r>
              <w:rPr>
                <w:rFonts w:ascii="Arial" w:cs="Arial" w:eastAsia="Arial" w:hAnsi="Arial"/>
                <w:sz w:val="18"/>
                <w:szCs w:val="18"/>
                <w:color w:val="auto"/>
                <w:w w:val="90"/>
              </w:rPr>
              <w:t>$ (0.82)</w:t>
            </w:r>
          </w:p>
        </w:tc>
        <w:tc>
          <w:tcPr>
            <w:tcW w:w="1040" w:type="dxa"/>
            <w:vAlign w:val="bottom"/>
            <w:gridSpan w:val="3"/>
          </w:tcPr>
          <w:p>
            <w:pPr>
              <w:ind w:left="9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3"/>
              </w:rPr>
              <w:t>(0.11)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7"/>
              <w:spacing w:after="0"/>
              <w:rPr>
                <w:sz w:val="20"/>
                <w:szCs w:val="20"/>
                <w:color w:val="auto"/>
              </w:rPr>
            </w:pPr>
            <w:r>
              <w:rPr>
                <w:rFonts w:ascii="Arial" w:cs="Arial" w:eastAsia="Arial" w:hAnsi="Arial"/>
                <w:sz w:val="18"/>
                <w:szCs w:val="18"/>
                <w:color w:val="auto"/>
              </w:rPr>
              <w:t>(6.32)</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3"/>
              <w:spacing w:after="0"/>
              <w:rPr>
                <w:sz w:val="20"/>
                <w:szCs w:val="20"/>
                <w:color w:val="auto"/>
              </w:rPr>
            </w:pPr>
            <w:r>
              <w:rPr>
                <w:rFonts w:ascii="Arial" w:cs="Arial" w:eastAsia="Arial" w:hAnsi="Arial"/>
                <w:sz w:val="18"/>
                <w:szCs w:val="18"/>
                <w:color w:val="auto"/>
                <w:w w:val="93"/>
              </w:rPr>
              <w:t>(0.41)</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 forma results are not necessarily indicative of our results of operations had we owned Telsima for the entire periods presented.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Trade Name Impairments</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test our goodwill and other indefinite-lived intangible assets in accordance with Statement 142 as part of our fiscal year-end financial close process and when events or circumstances indicate there may be an impairment. The majority of our goodwill and the trade name “Stratex” were recorded in connection with the acquisition of Stratex Networks, Inc. (“Stratex”) in January 2007 and were included in the International Microwave segment of our business. In January 2009, we determined that based on the current global economic environment and the decline of our market capitalization, it was likely that an indicator of goodwill impairment existed as of the end of the second quarter of fiscal 2009. As a result, we performed an interim review for impairment as of the end of the second quarter of fiscal 2009 of our goodwill and other indefinite-lived intangible assets (consisting solely of the trade name “Stratex”).</w:t>
      </w:r>
    </w:p>
    <w:p>
      <w:pPr>
        <w:spacing w:after="0" w:line="57" w:lineRule="exact"/>
        <w:rPr>
          <w:sz w:val="20"/>
          <w:szCs w:val="20"/>
          <w:color w:val="auto"/>
        </w:rPr>
      </w:pPr>
    </w:p>
    <w:p>
      <w:pPr>
        <w:ind w:right="100" w:firstLine="222"/>
        <w:spacing w:after="0" w:line="285" w:lineRule="auto"/>
        <w:rPr>
          <w:sz w:val="20"/>
          <w:szCs w:val="20"/>
          <w:color w:val="auto"/>
        </w:rPr>
      </w:pPr>
      <w:r>
        <w:rPr>
          <w:rFonts w:ascii="Arial" w:cs="Arial" w:eastAsia="Arial" w:hAnsi="Arial"/>
          <w:sz w:val="16"/>
          <w:szCs w:val="16"/>
          <w:color w:val="auto"/>
        </w:rPr>
        <w:t>To test for potential impairment of our goodwill, we determined the fair value of each of our reporting segments based on projected discounted cash flows and market-based multiples applied to sales and earnings. The results indicated an impairment to goodwill, because the current carrying value of the North America Microwave and International Microwave segments exceeded their fair value. We then allocated these fair values to the respective underlying assets and liabilities to determine the implied fair value of goodwill, resulting in a $279.0 million charge to write down all of our goodwill. We determined the fair value of the trade name “Stratex” by performing a projected discounted cash flow analysis based on the relief-from-royalty approach, resulting in a</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$22.0 million charge to write down a majority of the trade name “Stratex.” We will not be required to make any current or future cash expenditures as a result of these impairments, and these impairments do not impact our financial covenant compliance under our credit arrangements or our ongoing financial performance.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the goodwill and trade name impairment charges by reporting unit (none during the fiscal quarter ended April 3, 2009):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April 3, 2009</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Trade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International Microwave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247.2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Network Operations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gridSpan w:val="12"/>
            <w:vMerge w:val="restart"/>
          </w:tcPr>
          <w:p>
            <w:pPr>
              <w:jc w:val="right"/>
              <w:ind w:right="820"/>
              <w:spacing w:after="0"/>
              <w:rPr>
                <w:sz w:val="20"/>
                <w:szCs w:val="20"/>
                <w:color w:val="auto"/>
              </w:rPr>
            </w:pPr>
            <w:r>
              <w:rPr>
                <w:rFonts w:ascii="Arial" w:cs="Arial" w:eastAsia="Arial" w:hAnsi="Arial"/>
                <w:sz w:val="18"/>
                <w:szCs w:val="18"/>
                <w:color w:val="auto"/>
                <w:w w:val="94"/>
              </w:rPr>
              <w:t>A summary of changes in goodwill during the three quarters ended April 3, 2009, by reporting unit is as follows:</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4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Telsima</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700" w:type="dxa"/>
            <w:vAlign w:val="bottom"/>
            <w:gridSpan w:val="4"/>
          </w:tcPr>
          <w:p>
            <w:pPr>
              <w:ind w:left="340"/>
              <w:spacing w:after="0"/>
              <w:rPr>
                <w:sz w:val="20"/>
                <w:szCs w:val="20"/>
                <w:color w:val="auto"/>
              </w:rPr>
            </w:pPr>
            <w:r>
              <w:rPr>
                <w:rFonts w:ascii="Arial" w:cs="Arial" w:eastAsia="Arial" w:hAnsi="Arial"/>
                <w:sz w:val="14"/>
                <w:szCs w:val="14"/>
                <w:b w:val="1"/>
                <w:bCs w:val="1"/>
                <w:color w:val="auto"/>
              </w:rPr>
              <w:t>Acquisition</w:t>
            </w:r>
          </w:p>
        </w:tc>
        <w:tc>
          <w:tcPr>
            <w:tcW w:w="1440" w:type="dxa"/>
            <w:vAlign w:val="bottom"/>
            <w:gridSpan w:val="3"/>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International Microwave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firstLine="215"/>
        <w:spacing w:after="0" w:line="277" w:lineRule="auto"/>
        <w:rPr>
          <w:sz w:val="20"/>
          <w:szCs w:val="20"/>
          <w:color w:val="auto"/>
        </w:rPr>
      </w:pPr>
      <w:r>
        <w:rPr>
          <w:rFonts w:ascii="Arial" w:cs="Arial" w:eastAsia="Arial" w:hAnsi="Arial"/>
          <w:sz w:val="18"/>
          <w:szCs w:val="18"/>
          <w:color w:val="auto"/>
        </w:rPr>
        <w:t>Adjustments primarily relate to the effect of foreign currency translation and changes in the fair value of net assets subject to purchase accounting adjustments related to accounting for income taxes.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Stratex trade name during the three quarters ended April 3, 2009, by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w:t>
            </w:r>
          </w:p>
        </w:tc>
        <w:tc>
          <w:tcPr>
            <w:tcW w:w="17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International Microwave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Fair Value Measurements of Financial Assets and Financial Liabilities</w:t>
      </w:r>
    </w:p>
    <w:p>
      <w:pPr>
        <w:spacing w:after="0" w:line="121" w:lineRule="exact"/>
        <w:rPr>
          <w:sz w:val="20"/>
          <w:szCs w:val="20"/>
          <w:color w:val="auto"/>
        </w:rPr>
      </w:pPr>
    </w:p>
    <w:p>
      <w:pPr>
        <w:jc w:val="both"/>
        <w:ind w:right="500" w:firstLine="222"/>
        <w:spacing w:after="0" w:line="264" w:lineRule="auto"/>
        <w:rPr>
          <w:sz w:val="20"/>
          <w:szCs w:val="20"/>
          <w:color w:val="auto"/>
        </w:rPr>
      </w:pPr>
      <w:r>
        <w:rPr>
          <w:rFonts w:ascii="Arial" w:cs="Arial" w:eastAsia="Arial" w:hAnsi="Arial"/>
          <w:sz w:val="18"/>
          <w:szCs w:val="18"/>
          <w:color w:val="auto"/>
        </w:rPr>
        <w:t>We adopted Statement 157 in the first quarter of fiscal 2009 and there was no impact to our financial position, results of operations or cash flows. In accordance with FSP FAS 157-2, we elected to defer until fiscal 2010 the adoption of Statement 157 for all nonfinancial assets (including items such as goodwill and other intangible assets) and nonfinancial liabilities, except for items that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are recognized or disclosed at fair value in the financial statements on a recurring basis (at least annually). Statement 157 defines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Statement 157 requires entities to maximize the use of observable inputs and minimize the use of unobservable inputs in measuring fair value and establishes a three-level fair value hierarchy that prioritizes the inputs used to measure fair value. The three levels of inputs used to measure fair value are as follows:</w:t>
      </w:r>
    </w:p>
    <w:p>
      <w:pPr>
        <w:spacing w:after="0" w:line="64"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2 — Observable market-based inputs or observable inputs that are corroborated by market data;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Unobservable inputs reflecting our own assumptions.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represents the fair value hierarchy of our financial assets and liabilities measured at fair value on a recurring basis (at least annually) as of April 3,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42"/>
        </w:trPr>
        <w:tc>
          <w:tcPr>
            <w:tcW w:w="6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gridSpan w:val="3"/>
          </w:tcPr>
          <w:p>
            <w:pPr>
              <w:jc w:val="right"/>
              <w:ind w:right="714"/>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8"/>
                <w:szCs w:val="18"/>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$0.6</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0.3</w:t>
            </w:r>
          </w:p>
        </w:tc>
      </w:tr>
      <w:tr>
        <w:trPr>
          <w:trHeight w:val="230"/>
        </w:trPr>
        <w:tc>
          <w:tcPr>
            <w:tcW w:w="6180" w:type="dxa"/>
            <w:vAlign w:val="bottom"/>
          </w:tcPr>
          <w:p>
            <w:pPr>
              <w:ind w:left="220"/>
              <w:spacing w:after="0"/>
              <w:rPr>
                <w:sz w:val="20"/>
                <w:szCs w:val="20"/>
                <w:color w:val="auto"/>
              </w:rPr>
            </w:pPr>
            <w:r>
              <w:rPr>
                <w:rFonts w:ascii="Arial" w:cs="Arial" w:eastAsia="Arial" w:hAnsi="Arial"/>
                <w:sz w:val="18"/>
                <w:szCs w:val="18"/>
                <w:color w:val="auto"/>
              </w:rPr>
              <w:t>Warrants</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54"/>
              <w:spacing w:after="0"/>
              <w:rPr>
                <w:sz w:val="20"/>
                <w:szCs w:val="20"/>
                <w:color w:val="auto"/>
              </w:rPr>
            </w:pPr>
            <w:r>
              <w:rPr>
                <w:rFonts w:ascii="Arial" w:cs="Arial" w:eastAsia="Arial" w:hAnsi="Arial"/>
                <w:sz w:val="18"/>
                <w:szCs w:val="18"/>
                <w:color w:val="auto"/>
              </w:rPr>
              <w:t>0.1</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financial instruments carried at fair value as of April 3,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April 3, 2009</w:t>
            </w:r>
          </w:p>
        </w:tc>
      </w:tr>
      <w:tr>
        <w:trPr>
          <w:trHeight w:val="142"/>
        </w:trPr>
        <w:tc>
          <w:tcPr>
            <w:tcW w:w="1042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4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18"/>
                <w:szCs w:val="18"/>
                <w:color w:val="auto"/>
              </w:rPr>
            </w:pPr>
          </w:p>
        </w:tc>
      </w:tr>
      <w:tr>
        <w:trPr>
          <w:trHeight w:val="216"/>
        </w:trPr>
        <w:tc>
          <w:tcPr>
            <w:tcW w:w="10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420" w:type="dxa"/>
            <w:vAlign w:val="bottom"/>
          </w:tcPr>
          <w:p>
            <w:pPr>
              <w:ind w:left="220"/>
              <w:spacing w:after="0"/>
              <w:rPr>
                <w:sz w:val="20"/>
                <w:szCs w:val="20"/>
                <w:color w:val="auto"/>
              </w:rPr>
            </w:pPr>
            <w:r>
              <w:rPr>
                <w:rFonts w:ascii="Arial" w:cs="Arial" w:eastAsia="Arial" w:hAnsi="Arial"/>
                <w:sz w:val="18"/>
                <w:szCs w:val="18"/>
                <w:color w:val="auto"/>
              </w:rPr>
              <w:t>Foreign exchange forward contracts</w:t>
            </w:r>
          </w:p>
        </w:tc>
        <w:tc>
          <w:tcPr>
            <w:tcW w:w="360" w:type="dxa"/>
            <w:vAlign w:val="bottom"/>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18"/>
                <w:szCs w:val="18"/>
                <w:color w:val="auto"/>
              </w:rPr>
            </w:pPr>
          </w:p>
        </w:tc>
      </w:tr>
      <w:tr>
        <w:trPr>
          <w:trHeight w:val="216"/>
        </w:trPr>
        <w:tc>
          <w:tcPr>
            <w:tcW w:w="10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Short-term investments are reported at fair value with the related unrealized holding gains and losses reported as a component of accumulated other comprehensive income in shareholders’ equity. Realized gains and losses on short-term investments are recorded in selling and administrative expenses. Realized and unrealized gains and losses on foreign exchange forward contracts are considered operational expenses and are therefore recorded directly into income with the exception of contracts classified as Statement 133 designated hedges, in which case realized gains and losses may be recorded to other comprehensive income until released to income. See Note R for additional information related to Statement 133 designated hedges.</w:t>
      </w:r>
    </w:p>
    <w:p>
      <w:pPr>
        <w:spacing w:after="0" w:line="50" w:lineRule="exact"/>
        <w:rPr>
          <w:sz w:val="20"/>
          <w:szCs w:val="20"/>
          <w:color w:val="auto"/>
        </w:rPr>
      </w:pPr>
    </w:p>
    <w:p>
      <w:pPr>
        <w:ind w:right="160" w:firstLine="215"/>
        <w:spacing w:after="0" w:line="302" w:lineRule="auto"/>
        <w:rPr>
          <w:sz w:val="20"/>
          <w:szCs w:val="20"/>
          <w:color w:val="auto"/>
        </w:rPr>
      </w:pPr>
      <w:r>
        <w:rPr>
          <w:rFonts w:ascii="Arial" w:cs="Arial" w:eastAsia="Arial" w:hAnsi="Arial"/>
          <w:sz w:val="16"/>
          <w:szCs w:val="16"/>
          <w:color w:val="auto"/>
        </w:rPr>
        <w:t>As of June 27, 2008, we had warrants outstanding to purchase shares of our Class A common stock. Our liability for warrants is classified as a Level 3 financial liability under Statement 157. As of April 3, 2009, warrants to purchase 520,445 shares of our Class A common stock were outstanding. These warrants have an exercise price of $11.80 per common share and will expire on September 24, 2009. The per share fair value of each warrant was $0.21 and $1.15 as of April 3, 2009 and June 27, 2008, determined based on the Black-Scholes-Merton model with the assumptions listed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April 3, 2009</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June 27, 2008</w:t>
            </w: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0.0%</w:t>
            </w:r>
          </w:p>
        </w:tc>
        <w:tc>
          <w:tcPr>
            <w:tcW w:w="15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right"/>
              <w:ind w:right="74"/>
              <w:spacing w:after="0"/>
              <w:rPr>
                <w:sz w:val="20"/>
                <w:szCs w:val="20"/>
                <w:color w:val="auto"/>
              </w:rPr>
            </w:pPr>
            <w:r>
              <w:rPr>
                <w:rFonts w:ascii="Arial" w:cs="Arial" w:eastAsia="Arial" w:hAnsi="Arial"/>
                <w:sz w:val="18"/>
                <w:szCs w:val="18"/>
                <w:b w:val="1"/>
                <w:bCs w:val="1"/>
                <w:color w:val="auto"/>
              </w:rPr>
              <w:t>100.5%</w:t>
            </w:r>
          </w:p>
        </w:tc>
        <w:tc>
          <w:tcPr>
            <w:tcW w:w="1540" w:type="dxa"/>
            <w:vAlign w:val="bottom"/>
            <w:gridSpan w:val="2"/>
          </w:tcPr>
          <w:p>
            <w:pPr>
              <w:jc w:val="right"/>
              <w:ind w:right="99"/>
              <w:spacing w:after="0"/>
              <w:rPr>
                <w:sz w:val="20"/>
                <w:szCs w:val="20"/>
                <w:color w:val="auto"/>
              </w:rPr>
            </w:pPr>
            <w:r>
              <w:rPr>
                <w:rFonts w:ascii="Arial" w:cs="Arial" w:eastAsia="Arial" w:hAnsi="Arial"/>
                <w:sz w:val="18"/>
                <w:szCs w:val="18"/>
                <w:color w:val="auto"/>
              </w:rPr>
              <w:t>58.9%</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0.42%</w:t>
            </w:r>
          </w:p>
        </w:tc>
        <w:tc>
          <w:tcPr>
            <w:tcW w:w="15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2.31%</w:t>
            </w:r>
          </w:p>
        </w:tc>
      </w:tr>
      <w:tr>
        <w:trPr>
          <w:trHeight w:val="234"/>
        </w:trPr>
        <w:tc>
          <w:tcPr>
            <w:tcW w:w="8800" w:type="dxa"/>
            <w:vAlign w:val="bottom"/>
          </w:tcPr>
          <w:p>
            <w:pPr>
              <w:spacing w:after="0"/>
              <w:rPr>
                <w:sz w:val="20"/>
                <w:szCs w:val="20"/>
                <w:color w:val="auto"/>
              </w:rPr>
            </w:pPr>
            <w:r>
              <w:rPr>
                <w:rFonts w:ascii="Arial" w:cs="Arial" w:eastAsia="Arial" w:hAnsi="Arial"/>
                <w:sz w:val="18"/>
                <w:szCs w:val="18"/>
                <w:color w:val="auto"/>
              </w:rPr>
              <w:t>Expected holding period</w:t>
            </w:r>
          </w:p>
        </w:tc>
        <w:tc>
          <w:tcPr>
            <w:tcW w:w="1080" w:type="dxa"/>
            <w:vAlign w:val="bottom"/>
          </w:tcPr>
          <w:p>
            <w:pPr>
              <w:jc w:val="right"/>
              <w:ind w:right="94"/>
              <w:spacing w:after="0"/>
              <w:rPr>
                <w:sz w:val="20"/>
                <w:szCs w:val="20"/>
                <w:color w:val="auto"/>
              </w:rPr>
            </w:pPr>
            <w:r>
              <w:rPr>
                <w:rFonts w:ascii="Arial" w:cs="Arial" w:eastAsia="Arial" w:hAnsi="Arial"/>
                <w:sz w:val="18"/>
                <w:szCs w:val="18"/>
                <w:b w:val="1"/>
                <w:bCs w:val="1"/>
                <w:color w:val="auto"/>
              </w:rPr>
              <w:t>0.50 year</w:t>
            </w:r>
          </w:p>
        </w:tc>
        <w:tc>
          <w:tcPr>
            <w:tcW w:w="5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0.67 year</w:t>
            </w:r>
          </w:p>
        </w:tc>
      </w:tr>
    </w:tbl>
    <w:p>
      <w:pPr>
        <w:spacing w:after="0" w:line="75"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As a result of recording these outstanding warrants at fair value as of April 3, 2009, we recorded the change in fair value during the three quarters ended April 3, 2009 as a $0.5 million reduction to selling and administrative expenses on our Condensed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Consolidated Statements of Operations (none during the third quarter of fiscal 2009). During the quarter and three quarters ended April 3, 2009, no warrants were exercised.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a summary of changes in the fair value of our Level 3 financial liabilities (warrants) during the three quarters ended April 3, 2009:</w:t>
      </w:r>
    </w:p>
    <w:p>
      <w:pPr>
        <w:sectPr>
          <w:pgSz w:w="11900" w:h="16838" w:orient="portrait"/>
          <w:cols w:equalWidth="0" w:num="1">
            <w:col w:w="11420"/>
          </w:cols>
          <w:pgMar w:left="240" w:top="419"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Transfers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Realized gains (losses)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April 3, 2009</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Short-term investments as of April 3, 2009 and June 27, 2008 are as follows: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12" w:lineRule="exact"/>
        <w:rPr>
          <w:sz w:val="20"/>
          <w:szCs w:val="20"/>
          <w:color w:val="auto"/>
        </w:rPr>
      </w:pPr>
    </w:p>
    <w:p>
      <w:pPr>
        <w:ind w:left="520" w:hanging="511"/>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0.6</w:t>
      </w:r>
    </w:p>
    <w:p>
      <w:pPr>
        <w:spacing w:after="0" w:line="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471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 w:lineRule="exact"/>
        <w:rPr>
          <w:sz w:val="20"/>
          <w:szCs w:val="20"/>
          <w:color w:val="auto"/>
        </w:rPr>
      </w:pPr>
    </w:p>
    <w:p>
      <w:pPr>
        <w:ind w:left="520" w:hanging="511"/>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471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4718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2">
            <w:col w:w="9840" w:space="720"/>
            <w:col w:w="860"/>
          </w:cols>
          <w:pgMar w:left="240" w:top="419"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April 3, 2009</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Gain</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June 27, 2008</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Gain</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00" w:firstLine="215"/>
        <w:spacing w:after="0" w:line="342" w:lineRule="auto"/>
        <w:rPr>
          <w:sz w:val="20"/>
          <w:szCs w:val="20"/>
          <w:color w:val="auto"/>
        </w:rPr>
      </w:pPr>
      <w:r>
        <w:rPr>
          <w:rFonts w:ascii="Arial" w:cs="Arial" w:eastAsia="Arial" w:hAnsi="Arial"/>
          <w:sz w:val="16"/>
          <w:szCs w:val="16"/>
          <w:color w:val="auto"/>
        </w:rPr>
        <w:t>As of April 3, 2009, all of our short-term investments have maturity dates of less than one year, with a weighted average maturity of 87 days. Realized gains and losses from the sale of short-term investments during the third quarter and first three quarters of fiscal years 2009 and 2008 were not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Accumulated Other Comprehensive (Loss) Income and Comprehensive Loss</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changes in components of our accumulated other comprehensive (loss) income during the three quarters ended April 3, 2009 and March 28, 2008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Hedging</w:t>
            </w:r>
          </w:p>
        </w:tc>
        <w:tc>
          <w:tcPr>
            <w:tcW w:w="58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Short-Term</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Derivatives</w:t>
            </w:r>
          </w:p>
        </w:tc>
        <w:tc>
          <w:tcPr>
            <w:tcW w:w="1980" w:type="dxa"/>
            <w:vAlign w:val="bottom"/>
            <w:gridSpan w:val="4"/>
          </w:tcPr>
          <w:p>
            <w:pPr>
              <w:ind w:left="580"/>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27, 2008</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Balance as of April 3, 2009</w:t>
            </w:r>
          </w:p>
        </w:tc>
        <w:tc>
          <w:tcPr>
            <w:tcW w:w="19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29, 2007</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Balance as of March 28, 2008</w:t>
            </w: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vMerge w:val="restart"/>
          </w:tcPr>
          <w:p>
            <w:pPr>
              <w:jc w:val="right"/>
              <w:ind w:right="3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comprehensive (loss) income for the quarter and three quarters ended April 3, 2009 and March 28, 2008 was comprised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April 3,</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(348.1)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(loss)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Net unrealized (loss) gain on hedging activities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(363.7)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G — Receivables</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Our receivables are summarized below:</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April 3, 2009</w:t>
            </w:r>
          </w:p>
        </w:tc>
        <w:tc>
          <w:tcPr>
            <w:tcW w:w="1160" w:type="dxa"/>
            <w:vAlign w:val="bottom"/>
            <w:gridSpan w:val="5"/>
          </w:tcPr>
          <w:p>
            <w:pPr>
              <w:ind w:left="220"/>
              <w:spacing w:after="0"/>
              <w:rPr>
                <w:sz w:val="20"/>
                <w:szCs w:val="20"/>
                <w:color w:val="auto"/>
              </w:rPr>
            </w:pPr>
            <w:r>
              <w:rPr>
                <w:rFonts w:ascii="Arial" w:cs="Arial" w:eastAsia="Arial" w:hAnsi="Arial"/>
                <w:sz w:val="14"/>
                <w:szCs w:val="14"/>
                <w:b w:val="1"/>
                <w:bCs w:val="1"/>
                <w:color w:val="auto"/>
              </w:rPr>
              <w:t>June 27,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00" w:type="dxa"/>
            <w:vAlign w:val="bottom"/>
            <w:tcBorders>
              <w:top w:val="single" w:sz="8" w:color="auto"/>
            </w:tcBorders>
            <w:gridSpan w:val="2"/>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Notes receivable due within one year — net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(27.6)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During the first three quarters of fiscal 2009, the net increase to our allowance for collection losses was $15.0 million. This net increase primarily consisted of an increase of $8.5 million from changes in customer status during the global recession and the downturn in the macro-economic environment and an increase of $6.5 million from the Telsima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inventories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April 3, 2009</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June 27, 2008</w:t>
            </w:r>
          </w:p>
        </w:tc>
      </w:tr>
      <w:tr>
        <w:trPr>
          <w:trHeight w:val="142"/>
        </w:trPr>
        <w:tc>
          <w:tcPr>
            <w:tcW w:w="90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millions)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23"/>
        </w:trPr>
        <w:tc>
          <w:tcPr>
            <w:tcW w:w="9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(48.7)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r>
      <w:tr>
        <w:trPr>
          <w:trHeight w:val="223"/>
        </w:trPr>
        <w:tc>
          <w:tcPr>
            <w:tcW w:w="90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color w:val="auto"/>
        </w:rPr>
        <w:t>During the first three quarters of fiscal 2009, we increased our inventory reserves by $13.1 million primarily due to inventory mark-downs as a result of product transitioning and product discontinuance. During the third quarter of fiscal 2009, we also recorded $3.4 million included in “Charges for product transition” on the consolidated statement of operations for estimated losses on future inventory purchase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Property, Plant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property, plant and equipment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April 3, 2009</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June 27, 2008</w:t>
            </w:r>
          </w:p>
        </w:tc>
      </w:tr>
      <w:tr>
        <w:trPr>
          <w:trHeight w:val="142"/>
        </w:trPr>
        <w:tc>
          <w:tcPr>
            <w:tcW w:w="90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Less allowances for depreciation and amortization</w:t>
            </w:r>
          </w:p>
        </w:tc>
        <w:tc>
          <w:tcPr>
            <w:tcW w:w="240" w:type="dxa"/>
            <w:vAlign w:val="bottom"/>
          </w:tcPr>
          <w:p>
            <w:pPr>
              <w:spacing w:after="0"/>
              <w:rPr>
                <w:sz w:val="19"/>
                <w:szCs w:val="19"/>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(72.7)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r>
      <w:tr>
        <w:trPr>
          <w:trHeight w:val="216"/>
        </w:trPr>
        <w:tc>
          <w:tcPr>
            <w:tcW w:w="90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During the third quarter of fiscal 2009, we recorded a $2.9 million write-down of software developed for internal use and a $7.2 million write-down of machinery and equipment related to our product transitioning activities. We also recorded a $2.4 million impairment of a building used in manufacturing that we classified as property held for sale.</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color w:val="auto"/>
        </w:rPr>
        <w:t>Depreciation and amortization expense related to plant and equipment, including software amortization, was $5.0 million and $5.1 million during the quarters ended April 3, 2009 and March 28, 2008, and $14.8 million and $13.1 million in the three quarters ended April 3, 2009 and March 28,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the following as of April 3, 2009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April 3, 2009</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June 27, 2008</w:t>
            </w: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Less short-term borrowings and current portion of long-term debt</w:t>
            </w:r>
          </w:p>
        </w:tc>
        <w:tc>
          <w:tcPr>
            <w:tcW w:w="260" w:type="dxa"/>
            <w:vAlign w:val="bottom"/>
          </w:tcPr>
          <w:p>
            <w:pPr>
              <w:spacing w:after="0"/>
              <w:rPr>
                <w:sz w:val="19"/>
                <w:szCs w:val="19"/>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outstanding</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15"/>
        <w:spacing w:after="0" w:line="255" w:lineRule="auto"/>
        <w:rPr>
          <w:sz w:val="20"/>
          <w:szCs w:val="20"/>
          <w:color w:val="auto"/>
        </w:rPr>
      </w:pPr>
      <w:r>
        <w:rPr>
          <w:rFonts w:ascii="Arial" w:cs="Arial" w:eastAsia="Arial" w:hAnsi="Arial"/>
          <w:sz w:val="18"/>
          <w:szCs w:val="18"/>
          <w:color w:val="auto"/>
        </w:rPr>
        <w:t>As of June 27, 2008, we had a credit facility with Silicon Valley Bank (the “Original Credit Facility”) which provided for short-term and long-term borrowings. The Original Credit Facility allowed for revolving credit borrowings of up to $50 million with available credit defined as $50 million less the outstanding balance of the long-term portion and any usage under the revolving credit portion. As of June 27, 2008, the outstanding balance of the long-term portion of our Original Credit Facility was $8.8 million and there were $8.6 million in outstanding standby letters of credit as of that date defined as usage under the revolving credit portion of the facility. As of April 3, 2009, the amount under standby letters of credit outstanding under the Original Credit Facility totaled $5.1 million.</w:t>
      </w:r>
    </w:p>
    <w:p>
      <w:pPr>
        <w:spacing w:after="0" w:line="85"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On June 30, 2008 the Original Credit Facility was terminated and replaced by a new revolving credit facility with Silicon Valley Bank and Bank of America as of that date (the “New Facility”). The outstanding balance of the Original Credit Facility was repaid in full, including all accrued interest, on June 30, 2008 with the proceeds of a $10 million short-term borrowing under the New Facility.</w:t>
      </w:r>
    </w:p>
    <w:p>
      <w:pPr>
        <w:spacing w:after="0" w:line="73"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The New Facility provides for an initial committed amount of $70 million with an uncommitted option for an additional $50 million available with the same or additional banks. The initial term of the New Facility is three years and provides for (1) demand borrowings (with no stated maturity date) with an interest rate of the greater of Bank of America’s prime rate or the Federal Funds rate plus 0.5%, (2) fixed term Eurodollar loans for up to six months or more as agreed with the banks with an interest rate of LIBOR plus a spread of between 1.25% to 2.00% based on our current leverage ratio and (3) the issuance of standby or commercial letters of credit. The New Facility contains a minimum liquidity ratio covenant and a maximum leverage ratio covenant and is unsecured. As of April 3, 2009, we were in compliance with these financial covenants.</w:t>
      </w:r>
    </w:p>
    <w:p>
      <w:pPr>
        <w:spacing w:after="0" w:line="70" w:lineRule="exact"/>
        <w:rPr>
          <w:sz w:val="20"/>
          <w:szCs w:val="20"/>
          <w:color w:val="auto"/>
        </w:rPr>
      </w:pPr>
    </w:p>
    <w:p>
      <w:pPr>
        <w:ind w:right="520" w:firstLine="222"/>
        <w:spacing w:after="0" w:line="264" w:lineRule="auto"/>
        <w:rPr>
          <w:sz w:val="20"/>
          <w:szCs w:val="20"/>
          <w:color w:val="auto"/>
        </w:rPr>
      </w:pPr>
      <w:r>
        <w:rPr>
          <w:rFonts w:ascii="Arial" w:cs="Arial" w:eastAsia="Arial" w:hAnsi="Arial"/>
          <w:sz w:val="18"/>
          <w:szCs w:val="18"/>
          <w:color w:val="auto"/>
        </w:rPr>
        <w:t>The New Facility allows for borrowings of up to $70 million with available credit defined as $70 million less the outstanding balance of borrowings ($10.0 million as of April 3, 2009) and letters of credit ($8.7 million as of April 3, 2009). Available credit as of April 3, 2009 was $51.3 million. The weighted average interest rate on our short-term borrowings was 2.13% as of April 3,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items” on the Condensed Consolidated Balance Sheets, during the three quarters ended April 3, 2009 and March 28, 2008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Quarters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millions)</w:t>
            </w: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1660" w:type="dxa"/>
            <w:vAlign w:val="bottom"/>
            <w:gridSpan w:val="2"/>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6.9</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Warranty provision for revenue recorded during the period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4.8</w:t>
            </w:r>
          </w:p>
        </w:tc>
        <w:tc>
          <w:tcPr>
            <w:tcW w:w="5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b w:val="1"/>
                <w:bCs w:val="1"/>
                <w:color w:val="auto"/>
              </w:rPr>
              <w:t>(4.3)</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adjustments to liability, including foreign currency translation during the period</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0.2</w:t>
            </w:r>
          </w:p>
        </w:tc>
        <w:tc>
          <w:tcPr>
            <w:tcW w:w="5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end of the period</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7.6</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167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Restructuring Activities</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During the first quarter of fiscal 2009, we announced a new restructuring plan (the “Fiscal 2009 Plan”) to reduce our worldwide workforce. During the first three quarters of fiscal 2009, our net restructuring charges totaled $4.9 million consisting of:</w:t>
      </w:r>
    </w:p>
    <w:p>
      <w:pPr>
        <w:spacing w:after="0" w:line="6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$5.2 million (Fiscal 2009 Plan).</w:t>
      </w:r>
    </w:p>
    <w:p>
      <w:pPr>
        <w:spacing w:after="0" w:line="117" w:lineRule="exact"/>
        <w:rPr>
          <w:rFonts w:ascii="Arial" w:cs="Arial" w:eastAsia="Arial" w:hAnsi="Arial"/>
          <w:sz w:val="18"/>
          <w:szCs w:val="18"/>
          <w:b w:val="1"/>
          <w:bCs w:val="1"/>
          <w:color w:val="auto"/>
        </w:rPr>
      </w:pPr>
    </w:p>
    <w:p>
      <w:pPr>
        <w:ind w:left="220" w:right="40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$0.4 million and facility restoration costs of $0.5 million at our Canadian location (Fiscal 2009 Plan).</w:t>
      </w:r>
    </w:p>
    <w:p>
      <w:pPr>
        <w:spacing w:after="0" w:line="62" w:lineRule="exact"/>
        <w:rPr>
          <w:rFonts w:ascii="Arial" w:cs="Arial" w:eastAsia="Arial" w:hAnsi="Arial"/>
          <w:sz w:val="18"/>
          <w:szCs w:val="18"/>
          <w:b w:val="1"/>
          <w:bCs w:val="1"/>
          <w:color w:val="auto"/>
        </w:rPr>
      </w:pPr>
    </w:p>
    <w:p>
      <w:pPr>
        <w:ind w:left="220" w:right="58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($0.6 million) and Canadian locations ($0.3 million).</w:t>
      </w:r>
    </w:p>
    <w:p>
      <w:pPr>
        <w:spacing w:after="0" w:line="62" w:lineRule="exact"/>
        <w:rPr>
          <w:rFonts w:ascii="Arial" w:cs="Arial" w:eastAsia="Arial" w:hAnsi="Arial"/>
          <w:sz w:val="18"/>
          <w:szCs w:val="18"/>
          <w:b w:val="1"/>
          <w:bCs w:val="1"/>
          <w:color w:val="auto"/>
        </w:rPr>
      </w:pPr>
    </w:p>
    <w:p>
      <w:pPr>
        <w:ind w:left="220" w:right="84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three quarters ended April 3, 2009 and the remaining restructuring liability as of April 3,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3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0"/>
              </w:rPr>
              <w:t>Benefits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June 27, 2008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Provision in the three quarters (Fiscal 2009 Plan)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Reversal of accrual in the three quarters to statement of operations for changes in estimates (Fiscal</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 Plans)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Non-cash charges in the three quarters (Fiscal 2009 Plan)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the three quarters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Restructuring liability as of April 3, 2009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restructuring liability as of April 3, 2009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Long-term portion of restructuring liability as of April 3, 2009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liability as of April 3, 2009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Fiscal 2007 Plans were fully implemented during fiscal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restructuring costs incurred through April 3, 2009 and costs expected to be incurred under our Fiscal 2009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548"/>
              <w:spacing w:after="0"/>
              <w:rPr>
                <w:sz w:val="20"/>
                <w:szCs w:val="20"/>
                <w:color w:val="auto"/>
              </w:rPr>
            </w:pPr>
            <w:r>
              <w:rPr>
                <w:rFonts w:ascii="Arial" w:cs="Arial" w:eastAsia="Arial" w:hAnsi="Arial"/>
                <w:sz w:val="14"/>
                <w:szCs w:val="14"/>
                <w:b w:val="1"/>
                <w:bCs w:val="1"/>
                <w:color w:val="auto"/>
                <w:w w:val="95"/>
              </w:rPr>
              <w:t>Cumulative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The</w:t>
            </w:r>
          </w:p>
        </w:tc>
        <w:tc>
          <w:tcPr>
            <w:tcW w:w="17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Estimated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160" w:type="dxa"/>
            <w:vAlign w:val="bottom"/>
            <w:gridSpan w:val="4"/>
          </w:tcPr>
          <w:p>
            <w:pPr>
              <w:ind w:left="1480"/>
              <w:spacing w:after="0" w:line="149" w:lineRule="exact"/>
              <w:rPr>
                <w:sz w:val="20"/>
                <w:szCs w:val="20"/>
                <w:color w:val="auto"/>
              </w:rPr>
            </w:pPr>
            <w:r>
              <w:rPr>
                <w:rFonts w:ascii="Arial" w:cs="Arial" w:eastAsia="Arial" w:hAnsi="Arial"/>
                <w:sz w:val="14"/>
                <w:szCs w:val="14"/>
                <w:b w:val="1"/>
                <w:bCs w:val="1"/>
                <w:color w:val="auto"/>
              </w:rPr>
              <w:t>Three Quarters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8"/>
              <w:spacing w:after="0" w:line="149"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April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8"/>
              <w:spacing w:after="0" w:line="149" w:lineRule="exact"/>
              <w:rPr>
                <w:sz w:val="20"/>
                <w:szCs w:val="20"/>
                <w:color w:val="auto"/>
              </w:rPr>
            </w:pPr>
            <w:r>
              <w:rPr>
                <w:rFonts w:ascii="Arial" w:cs="Arial" w:eastAsia="Arial" w:hAnsi="Arial"/>
                <w:sz w:val="14"/>
                <w:szCs w:val="14"/>
                <w:b w:val="1"/>
                <w:bCs w:val="1"/>
                <w:color w:val="auto"/>
              </w:rPr>
              <w:t>April 3,</w:t>
            </w:r>
          </w:p>
        </w:tc>
        <w:tc>
          <w:tcPr>
            <w:tcW w:w="13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Additional Costs</w:t>
            </w:r>
          </w:p>
        </w:tc>
        <w:tc>
          <w:tcPr>
            <w:tcW w:w="13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6"/>
              </w:rPr>
              <w:t>millions)</w:t>
            </w:r>
          </w:p>
        </w:tc>
        <w:tc>
          <w:tcPr>
            <w:tcW w:w="4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to be Incurred</w:t>
            </w:r>
          </w:p>
        </w:tc>
        <w:tc>
          <w:tcPr>
            <w:tcW w:w="2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Microwave: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Total North America Microwave</w:t>
            </w:r>
          </w:p>
        </w:tc>
        <w:tc>
          <w:tcPr>
            <w:tcW w:w="1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Total International Microwave</w:t>
            </w:r>
          </w:p>
        </w:tc>
        <w:tc>
          <w:tcPr>
            <w:tcW w:w="1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857"/>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Share-Based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Compensation expense for share-based awards was $0.4 million and $2.0 million for the quarters ended April 3, 2009 and March 28, 2008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$1.9 million and $6.3 million for the three quarters ended April 3, 2009 and March 28, 2008. Amounts were included in our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Quarters Ended</w:t>
            </w: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April 3,</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During the quarter ended April 3, 2009, we determined that certain net income and cash flow targets would not be achieved for performance share awards made under our fiscal year 2007 Long-Term Incentive Plan. The 30-month performance period for these awards ends on July 3, 2009. We now estimate that 100% of these awards will not vest and will be forfeited as of July 3, 2009. Accordingly, we recorded a credit to compensation expense of $0.7 million and $1.7 million during the quarter and three quarters ended April 3, 2009 related to these awards. The final determination of the number of performance shares vesting in respect of an award will be determined by our Board of Directors, or a committee of our Board.</w:t>
      </w:r>
    </w:p>
    <w:p>
      <w:pPr>
        <w:spacing w:after="0" w:line="6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During November 2008, we granted options to purchase 860,906 shares of our Class A Common Stock and 447,654 performance share awards to employees under our 2007 Stock Equity Plan. The fair value of each option grant was estimated on the date of grant using the Black-Scholes-Merton option-pricing model using the following weighted average assumptions: expected volatility of 53.0 percent; expected contractual term life of 4.4 years; and expected dividend yield of zero percent.</w:t>
      </w:r>
    </w:p>
    <w:p>
      <w:pPr>
        <w:spacing w:after="0" w:line="79"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During March 2009, we granted options to purchase 80,586 shares of our Class A Common Stock and 54,320 performance share awards to employees under our 2007 Stock Equity Plan. We also granted 98,819 restricted shares to our directors as part of their annual compensation. These restricted shares granted to directors vest ratably on a quarterly basis through the annual service period ending January 26, 2010. The fair value of each option grant was estimated on the date of grant using the Black-Scholes-Merton option-pricing model using the following weighted average assumptions: expected volatility of 60.5 percent; expected contractual term life of 4.4 years; and expected dividend yield of zero percent.</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issued 688 shares upon the exercise of stock options during the three quarters ended April 3,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issued 35,227 and 120,592 shares upon the exercise of stock options during the quarter and three quarters ended March 28,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Business Segments</w:t>
      </w:r>
    </w:p>
    <w:p>
      <w:pPr>
        <w:spacing w:after="0" w:line="121"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organized into three operating segments around the markets we serve: North America Microwave, International Microwave and Network Operations. The North America Microwave segment designs, manufactures, sells and services microwave radio products, primarily for cellular network providers and private network users within North America (U.S. and Canada). The International Microwave segment designs, manufactures, sells and services microwave radio products, primarily for cellular network providers and private network users outside of North America. The Network Operations segment develops, designs, produces, sells and services network management software systems, primarily for cellular network providers and private network users.</w:t>
      </w:r>
    </w:p>
    <w:p>
      <w:pPr>
        <w:spacing w:after="0" w:line="85"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During the third quarter and first three quarters of fiscal 2009, the group of service providers comprising Mobile Telephone Networks of Africa (“MTN”) accounted for 29% and 17% of our total revenue. During the third quarter and first three quarters of fiscal 2008, MTN accounted for 16% and 13% of our total revenue. As of April 3, 2009, MTN accounted for 9.6% of our accounts receivable.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loss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April 3,</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North America Microwave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42.2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Network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North America Microwave (1)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(27.5)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Microwave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Network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(Loss) 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tables summarize certain charges and expenses included in the North America Microwave segment operating results during the third quarter and first three quarters of fiscal 2009 and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6"/>
          </w:tcPr>
          <w:p>
            <w:pPr>
              <w:jc w:val="center"/>
              <w:ind w:left="395"/>
              <w:spacing w:after="0" w:line="128" w:lineRule="exact"/>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4"/>
          </w:tcPr>
          <w:p>
            <w:pPr>
              <w:jc w:val="right"/>
              <w:ind w:right="660"/>
              <w:spacing w:after="0"/>
              <w:rPr>
                <w:sz w:val="20"/>
                <w:szCs w:val="20"/>
                <w:color w:val="auto"/>
              </w:rPr>
            </w:pPr>
            <w:r>
              <w:rPr>
                <w:rFonts w:ascii="Arial" w:cs="Arial" w:eastAsia="Arial" w:hAnsi="Arial"/>
                <w:sz w:val="18"/>
                <w:szCs w:val="18"/>
                <w:color w:val="auto"/>
              </w:rPr>
              <w:t>25.3</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260" w:type="dxa"/>
            <w:vAlign w:val="bottom"/>
          </w:tcPr>
          <w:p>
            <w:pPr>
              <w:spacing w:after="0"/>
              <w:rPr>
                <w:sz w:val="24"/>
                <w:szCs w:val="24"/>
                <w:color w:val="auto"/>
              </w:rPr>
            </w:pPr>
          </w:p>
        </w:tc>
        <w:tc>
          <w:tcPr>
            <w:tcW w:w="136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6"/>
              </w:rPr>
              <w:t>First Three</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First Three</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Quarters</w:t>
            </w:r>
          </w:p>
        </w:tc>
        <w:tc>
          <w:tcPr>
            <w:tcW w:w="2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4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Inventory mark-downs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Lease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8"/>
        <w:spacing w:after="0" w:line="277" w:lineRule="auto"/>
        <w:tabs>
          <w:tab w:leader="none" w:pos="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tables summarize certain charges and expenses included in the International Microwave segment operating results during the third quarter and first three quarters of fiscal 2009 and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6"/>
          </w:tcPr>
          <w:p>
            <w:pPr>
              <w:jc w:val="center"/>
              <w:ind w:left="395"/>
              <w:spacing w:after="0" w:line="128" w:lineRule="exact"/>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Stratex merger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260" w:type="dxa"/>
            <w:vAlign w:val="bottom"/>
          </w:tcPr>
          <w:p>
            <w:pPr>
              <w:spacing w:after="0"/>
              <w:rPr>
                <w:sz w:val="24"/>
                <w:szCs w:val="24"/>
                <w:color w:val="auto"/>
              </w:rPr>
            </w:pPr>
          </w:p>
        </w:tc>
        <w:tc>
          <w:tcPr>
            <w:tcW w:w="136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6"/>
              </w:rPr>
              <w:t>First Three</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First Three</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Quarters</w:t>
            </w:r>
          </w:p>
        </w:tc>
        <w:tc>
          <w:tcPr>
            <w:tcW w:w="2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40" w:type="dxa"/>
            <w:vAlign w:val="bottom"/>
            <w:gridSpan w:val="2"/>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Inventory mark-downs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62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Income Taxes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provision for income taxes for the third quarter and first three quarters of fiscal 2009 and 2008 is based on our estimated annual effective tax rate adjusted for losses in separate jurisdictions for which no tax benefit can be recognized. Our provision for income taxes was $3.6 million and $28.0 million for the third quarter and first three quarters of fiscal 2009. The 2009 tax provision was primarily due to a $20.8 million increase in the valuation allowance for certain deferred tax assets in the second quarter of fiscal 2009. We concluded during the second quarter of fiscal 2009 that it was now more likely than not that we will not utilize certain net operating loss carryforwards and have recorded a valuation allowance on the entire balance of our deferred tax assets. Due to our determination regarding the utililzation of net operating losses, no tax benefit has been recognized for current year losses. Because our operations are taxable in a number of jurisdictions, income tax expense is recorded on a consolidated pre-tax loss. Our effective tax rate varies from the U.S. federal statutory rate of 35% due to the increase in the valuation allowance related to certain deferred tax assets noted above and earnings in foreign jurisdictions with tax rates different from the U.S. federal statutory rate.</w:t>
      </w:r>
    </w:p>
    <w:p>
      <w:pPr>
        <w:spacing w:after="0" w:line="74"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of June 27, 2008, we had a liability for unrecognized tax benefits of $29.6 million for various federal, foreign, and state income tax matters. During the first three quarters of fiscal 2009, the liability for unrecognized tax benefits increased by $1.1 million. The total liability for unrecognized tax benefits as of April 3, 2009 was $30.7 million. If the unrecognized tax benefits associated with these positions are ultimately recognized, they would not be expected to have a material impact on our effective tax rate or financial position.</w:t>
      </w:r>
    </w:p>
    <w:p>
      <w:pPr>
        <w:spacing w:after="0" w:line="7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an additional amount for such interest of less than $0.1 million during the third quarter and first three quarters of fiscal 2009 and 2008. No penalties have been accrued.</w:t>
      </w:r>
    </w:p>
    <w:p>
      <w:pPr>
        <w:spacing w:after="0" w:line="7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Nigeria, Singapore, New Zealand, Poland, South Africa, France and the U.K. The earliest years still open and subject to ongoing audits as for purposes of FIN 48 for these jurisdictions are as follows: (i) United States (Federal/State) — 2005/2004; (ii) Nigeria — 2004; (iii) Singapore — 2002; (iv) New Zealand — 2004; (v) Poland — 2003; (vi) South Africa — 2002; (vii) France — 2005; and (viii) U.K. —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 with Harris</w:t>
      </w:r>
    </w:p>
    <w:p>
      <w:pPr>
        <w:spacing w:after="0" w:line="121" w:lineRule="exact"/>
        <w:rPr>
          <w:sz w:val="20"/>
          <w:szCs w:val="20"/>
          <w:color w:val="auto"/>
        </w:rPr>
      </w:pPr>
    </w:p>
    <w:p>
      <w:pPr>
        <w:ind w:right="240" w:firstLine="225"/>
        <w:spacing w:after="0" w:line="273" w:lineRule="auto"/>
        <w:rPr>
          <w:sz w:val="20"/>
          <w:szCs w:val="20"/>
          <w:color w:val="auto"/>
        </w:rPr>
      </w:pPr>
      <w:r>
        <w:rPr>
          <w:rFonts w:ascii="Arial" w:cs="Arial" w:eastAsia="Arial" w:hAnsi="Arial"/>
          <w:sz w:val="17"/>
          <w:szCs w:val="17"/>
          <w:color w:val="auto"/>
        </w:rPr>
        <w:t>Pursuant to a Transition Services Agreement, Harris provides various services to us and charges are based primarily on actual usage. These services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Harris charged us $1.2 million and $1.7 million for these services during the quarters ended April 3, 2009 and March 28, 2008, and $4.5 million and $5.2 million during the three quarters ended April 3, 2009 and March 28, 2008. We intend to continue utilizing select services from Harris and extend the terms of the Transition Services Agreement.</w:t>
      </w:r>
    </w:p>
    <w:p>
      <w:pPr>
        <w:spacing w:after="0" w:line="70"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We have sales to, and purchases from, other Harris entities from time to time. These purchases and sales are recorded at market price. Our sales to Harris entities were $0.8 million and $1.5 million for the quarters ended April 3, 2009 and March 28, 2008 and $2.7 million and $6.4 million for the three quarters ended April 3, 2009 and March 28, 2008. We also recognized costs associated with related party purchases from Harris of 0.7 and $0.6 million for the quarters ended April 3, 2009 and March 28, 2008 and $2.6 million and $4.2 million for the three quarters ended April 3, 2009 and March 28, 2008.</w:t>
      </w:r>
    </w:p>
    <w:p>
      <w:pPr>
        <w:spacing w:after="0" w:line="46"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unpaid amounts billed from Harris are included within “Due to Harris Corporation” on our Condensed Consolidated Balance Sheets. Additionally, we have other receivables and payables in the normal course of business with Harris. These amounts are netted within “Due from Harris Corporation” on our Condensed Consolidated Balance Sheets. Total receivables from Harris were $6.3 million and $4.0 million as of April 3, 2009 and June 27, 2008. Total payables to Harris were $2.5 million and $20.8 million as of April 3, 2009 and June 27, 2008.</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Prior to January 26, 2007, the date of our merger with Stratex Networks, Inc., we used certain assets in Canada owned by Harris that were not contributed to us as part of the merger. We continue to use these assets in our business and entered into a 5-year lease agreement to accommodate this use. This agreement is a capital lease under U.S. generally accepted accounting principles. As of April 3, 2009, our lease obligation to Harris was $1.8 million, of which $0.8 million is a current liability. The related asset amount, net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accumulated amortization of $1.6 million, is included in property, plant and equipment. Quarterly lease payments are due to Harris based on the amount of 103% of Harris’ annual depreciation calculated in accordance with U.S. generally accepted accounting principles.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During the first three quarters of fiscal 2008, we recognized an impairment charge of $1.3 million on a portion of these Canadian assets which is included in our restructuring charges. We also recognized an increase of $0.4 million to the lease obligation balance during the first three quarters of fiscal 2008 from a recapitalization under the lease terms, primarily because of the impairment charge and a rescheduling of the lease payments. During the first three quarters of fiscal 2009, we paid Harris $0.8 million under this capital lease obligation for the lease payments. During the first three quarters of fiscal 2008, we paid Harris $3.2 million under this capital lease obligation resulting from the $1.3 million impairment discussed above and for the lease payments. Our amortization expense on this capital lease was $0.2 million and $0.3 million for the quarters ended April 3, 2009 and March 28, 2008 and $0.8 million and $1.2 million for the three quarters ended April 3, 2009 and March 28,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Legal Proceedings</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79" w:lineRule="exact"/>
        <w:rPr>
          <w:sz w:val="20"/>
          <w:szCs w:val="20"/>
          <w:color w:val="auto"/>
        </w:rPr>
      </w:pPr>
    </w:p>
    <w:p>
      <w:pPr>
        <w:ind w:right="100" w:firstLine="222"/>
        <w:spacing w:after="0" w:line="289" w:lineRule="auto"/>
        <w:rPr>
          <w:sz w:val="20"/>
          <w:szCs w:val="20"/>
          <w:color w:val="auto"/>
        </w:rPr>
      </w:pPr>
      <w:r>
        <w:rPr>
          <w:rFonts w:ascii="Arial" w:cs="Arial" w:eastAsia="Arial" w:hAnsi="Arial"/>
          <w:sz w:val="16"/>
          <w:szCs w:val="16"/>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Item 2 “Management’s Discussion and Analysis of Financial Condition and Results of Operations.”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We believe that we have meritorious defenses and intend to defend ourselves vigorously.</w:t>
      </w:r>
    </w:p>
    <w:p>
      <w:pPr>
        <w:spacing w:after="0" w:line="59" w:lineRule="exact"/>
        <w:rPr>
          <w:sz w:val="20"/>
          <w:szCs w:val="20"/>
          <w:color w:val="auto"/>
        </w:rPr>
      </w:pPr>
    </w:p>
    <w:p>
      <w:pPr>
        <w:jc w:val="both"/>
        <w:ind w:right="28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materially adverse impact on our operating results,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Risk Management, Derivative Financial Instruments and Hedging Activities</w:t>
      </w:r>
    </w:p>
    <w:p>
      <w:pPr>
        <w:spacing w:after="0" w:line="121"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w:t>
      </w:r>
    </w:p>
    <w:p>
      <w:pPr>
        <w:spacing w:after="0" w:line="62"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under Statement 133. Accordingly, changes in the fair value of hedges of recorded balance sheet positions are recognized immediately in cost of external product sales on the consolidated statements of operations together with the transaction gain or loss from the hedged balance sheet position.</w:t>
      </w:r>
    </w:p>
    <w:p>
      <w:pPr>
        <w:spacing w:after="0" w:line="5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Substantially all derivatives outstanding as of April 3, 2009 are designated as cash flow hedges or non-designated hedges of recorded balance sheet positions. All derivatives are recognized on the balance sheet at their fair value. The total notional amount of outstanding derivatives as of April 3, 2009 was $73.4 million, of which $13.5 million were designated as cash flow hedges under Statement 133 and $59.9 million were not designated as cash flow hedging instruments.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215"/>
        <w:spacing w:after="0" w:line="264" w:lineRule="auto"/>
        <w:rPr>
          <w:sz w:val="20"/>
          <w:szCs w:val="20"/>
          <w:color w:val="auto"/>
        </w:rPr>
      </w:pPr>
      <w:r>
        <w:rPr>
          <w:rFonts w:ascii="Arial" w:cs="Arial" w:eastAsia="Arial" w:hAnsi="Arial"/>
          <w:sz w:val="18"/>
          <w:szCs w:val="18"/>
          <w:color w:val="auto"/>
        </w:rPr>
        <w:t>As of April 3, 2009, we had 34 foreign currency forward contracts outstanding with a total net notional amount of $17.8 million consisting of 13 different currencies, primarily the Australian dollar, Canadian dollar, Euro and Polish zloty. Following is a summary by currency of the contract net notional amounts grouped by the underlying foreign currency,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9"/>
              </w:rPr>
              <w:t>Contract Amount</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1640" w:type="dxa"/>
            <w:vAlign w:val="bottom"/>
          </w:tcPr>
          <w:p>
            <w:pPr>
              <w:ind w:left="500"/>
              <w:spacing w:after="0"/>
              <w:rPr>
                <w:sz w:val="20"/>
                <w:szCs w:val="20"/>
                <w:color w:val="auto"/>
              </w:rPr>
            </w:pPr>
            <w:r>
              <w:rPr>
                <w:rFonts w:ascii="Arial" w:cs="Arial" w:eastAsia="Arial" w:hAnsi="Arial"/>
                <w:sz w:val="14"/>
                <w:szCs w:val="14"/>
                <w:b w:val="1"/>
                <w:bCs w:val="1"/>
                <w:color w:val="auto"/>
              </w:rPr>
              <w:t>(Local Currency)</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2060" w:type="dxa"/>
            <w:vAlign w:val="bottom"/>
            <w:tcBorders>
              <w:top w:val="single" w:sz="8" w:color="auto"/>
            </w:tcBorders>
            <w:gridSpan w:val="2"/>
          </w:tcPr>
          <w:p>
            <w:pPr>
              <w:ind w:left="13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(“AUD”) net contracts to receive (pay) USD</w:t>
            </w:r>
          </w:p>
        </w:tc>
        <w:tc>
          <w:tcPr>
            <w:tcW w:w="1640" w:type="dxa"/>
            <w:vAlign w:val="bottom"/>
            <w:shd w:val="clear" w:color="auto" w:fill="CCEEFF"/>
          </w:tcPr>
          <w:p>
            <w:pPr>
              <w:jc w:val="center"/>
              <w:ind w:right="738"/>
              <w:spacing w:after="0"/>
              <w:rPr>
                <w:sz w:val="20"/>
                <w:szCs w:val="20"/>
                <w:color w:val="auto"/>
              </w:rPr>
            </w:pPr>
            <w:r>
              <w:rPr>
                <w:rFonts w:ascii="Arial" w:cs="Arial" w:eastAsia="Arial" w:hAnsi="Arial"/>
                <w:sz w:val="18"/>
                <w:szCs w:val="18"/>
                <w:color w:val="auto"/>
                <w:w w:val="99"/>
              </w:rPr>
              <w:t>(AUD)</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1640" w:type="dxa"/>
            <w:vAlign w:val="bottom"/>
          </w:tcPr>
          <w:p>
            <w:pPr>
              <w:jc w:val="center"/>
              <w:ind w:right="738"/>
              <w:spacing w:after="0"/>
              <w:rPr>
                <w:sz w:val="20"/>
                <w:szCs w:val="20"/>
                <w:color w:val="auto"/>
              </w:rPr>
            </w:pPr>
            <w:r>
              <w:rPr>
                <w:rFonts w:ascii="Arial" w:cs="Arial" w:eastAsia="Arial" w:hAnsi="Arial"/>
                <w:sz w:val="18"/>
                <w:szCs w:val="18"/>
                <w:color w:val="auto"/>
                <w:w w:val="99"/>
              </w:rPr>
              <w:t>(CAD)</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(16.9)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Euro (“EUR”) net contracts to receive (pay) USD</w:t>
            </w:r>
          </w:p>
        </w:tc>
        <w:tc>
          <w:tcPr>
            <w:tcW w:w="1640" w:type="dxa"/>
            <w:vAlign w:val="bottom"/>
            <w:shd w:val="clear" w:color="auto" w:fill="CCEEFF"/>
          </w:tcPr>
          <w:p>
            <w:pPr>
              <w:jc w:val="center"/>
              <w:ind w:right="758"/>
              <w:spacing w:after="0"/>
              <w:rPr>
                <w:sz w:val="20"/>
                <w:szCs w:val="20"/>
                <w:color w:val="auto"/>
              </w:rPr>
            </w:pPr>
            <w:r>
              <w:rPr>
                <w:rFonts w:ascii="Arial" w:cs="Arial" w:eastAsia="Arial" w:hAnsi="Arial"/>
                <w:sz w:val="18"/>
                <w:szCs w:val="18"/>
                <w:color w:val="auto"/>
                <w:w w:val="95"/>
              </w:rPr>
              <w:t>(EUR)</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Polish zloty (“PLN”) net contracts to receive (pay) USD</w:t>
            </w:r>
          </w:p>
        </w:tc>
        <w:tc>
          <w:tcPr>
            <w:tcW w:w="1640" w:type="dxa"/>
            <w:vAlign w:val="bottom"/>
          </w:tcPr>
          <w:p>
            <w:pPr>
              <w:jc w:val="center"/>
              <w:ind w:right="738"/>
              <w:spacing w:after="0"/>
              <w:rPr>
                <w:sz w:val="20"/>
                <w:szCs w:val="20"/>
                <w:color w:val="auto"/>
              </w:rPr>
            </w:pPr>
            <w:r>
              <w:rPr>
                <w:rFonts w:ascii="Arial" w:cs="Arial" w:eastAsia="Arial" w:hAnsi="Arial"/>
                <w:sz w:val="18"/>
                <w:szCs w:val="18"/>
                <w:color w:val="auto"/>
                <w:w w:val="97"/>
              </w:rPr>
              <w:t>(PLN)</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33.6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of all currencies</w:t>
            </w: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fair value of derivative instruments included within our condensed consolidated balance sheet as of April 3, 2009: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Asset Derivatives</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4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2"/>
                <w:szCs w:val="12"/>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274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designated as hedging</w:t>
            </w:r>
          </w:p>
        </w:tc>
        <w:tc>
          <w:tcPr>
            <w:tcW w:w="2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 under Statement 133:</w:t>
            </w:r>
          </w:p>
        </w:tc>
        <w:tc>
          <w:tcPr>
            <w:tcW w:w="2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Foreign exchange forward contracts</w:t>
            </w:r>
          </w:p>
        </w:tc>
        <w:tc>
          <w:tcPr>
            <w:tcW w:w="2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not designated as hedging</w:t>
            </w:r>
          </w:p>
        </w:tc>
        <w:tc>
          <w:tcPr>
            <w:tcW w:w="2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 under Statement 133:</w:t>
            </w:r>
          </w:p>
        </w:tc>
        <w:tc>
          <w:tcPr>
            <w:tcW w:w="2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Foreign exchange forward contracts</w:t>
            </w:r>
          </w:p>
        </w:tc>
        <w:tc>
          <w:tcPr>
            <w:tcW w:w="2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Income, the amounts transferred from Other Comprehensive Income and recorded in revenue and cost of goods sold, and the amounts associated with excluded time value and hedge ineffectiveness for the quarter and three quarters ended April 3, 2009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center"/>
              <w:ind w:left="401"/>
              <w:spacing w:after="0" w:line="149" w:lineRule="exact"/>
              <w:rPr>
                <w:sz w:val="20"/>
                <w:szCs w:val="20"/>
                <w:color w:val="auto"/>
              </w:rPr>
            </w:pPr>
            <w:r>
              <w:rPr>
                <w:rFonts w:ascii="Arial" w:cs="Arial" w:eastAsia="Arial" w:hAnsi="Arial"/>
                <w:sz w:val="14"/>
                <w:szCs w:val="14"/>
                <w:b w:val="1"/>
                <w:bCs w:val="1"/>
                <w:color w:val="auto"/>
                <w:w w:val="90"/>
              </w:rPr>
              <w:t>Recognized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93"/>
              </w:rPr>
              <w:t>Derivatives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Three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Locations of Gains (Losses) recorded from derivatives designated as cash flow hedges under Statement 133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April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8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of gain of effective hedges recognized in Other Comprehensive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Amount of gain of effective hedges reclassified from Other Comprehensive Income into:</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recorded into Cost of Goods Sold associated with excluded time value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Amount of gain (loss) recorded into Cost of Goods Sold due to hedge ineffectiveness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8700" w:type="dxa"/>
            <w:vAlign w:val="bottom"/>
            <w:gridSpan w:val="2"/>
          </w:tcPr>
          <w:p>
            <w:pPr>
              <w:jc w:val="right"/>
              <w:ind w:right="281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86" w:lineRule="auto"/>
        <w:rPr>
          <w:sz w:val="20"/>
          <w:szCs w:val="20"/>
          <w:color w:val="auto"/>
        </w:rPr>
      </w:pPr>
      <w:r>
        <w:rPr>
          <w:rFonts w:ascii="Arial" w:cs="Arial" w:eastAsia="Arial" w:hAnsi="Arial"/>
          <w:sz w:val="17"/>
          <w:szCs w:val="17"/>
          <w:color w:val="auto"/>
        </w:rPr>
        <w:t>Refer to Note E — Fair Value Measurements of Financial Assets and Financial Liabilities for a description of how the above financial instruments are valued in accordance with Statement 157 and Note F — Accumulated Other Comprehensive Income (Loss) and Comprehensive Loss for additional information on changes in other comprehensive income (loss) for the quarter and three quarters ended April 3,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160" w:firstLine="222"/>
        <w:spacing w:after="0" w:line="293" w:lineRule="auto"/>
        <w:rPr>
          <w:sz w:val="20"/>
          <w:szCs w:val="20"/>
          <w:color w:val="auto"/>
        </w:rPr>
      </w:pPr>
      <w:r>
        <w:rPr>
          <w:rFonts w:ascii="Arial" w:cs="Arial" w:eastAsia="Arial" w:hAnsi="Arial"/>
          <w:sz w:val="16"/>
          <w:szCs w:val="16"/>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exchange risks where internal netting strategies cannot be effectively employed. As of April 3, 2009, hedged transactions included our customer and intercompany backlog and outstanding purchase commitments denominated in Australian dollars, Euros and Polish zlotys. We hedge up to 100% of anticipated exposures typically one to three months in advance, but have hedged as much as five months in advance. We generally review our exposures twice each month and adjust the amount of derivatives outstanding as needed.</w:t>
      </w:r>
    </w:p>
    <w:p>
      <w:pPr>
        <w:spacing w:after="0" w:line="57" w:lineRule="exact"/>
        <w:rPr>
          <w:sz w:val="20"/>
          <w:szCs w:val="20"/>
          <w:color w:val="auto"/>
        </w:rPr>
      </w:pPr>
    </w:p>
    <w:p>
      <w:pPr>
        <w:ind w:right="20" w:firstLine="215"/>
        <w:spacing w:after="0" w:line="297" w:lineRule="auto"/>
        <w:rPr>
          <w:sz w:val="20"/>
          <w:szCs w:val="20"/>
          <w:color w:val="auto"/>
        </w:rPr>
      </w:pPr>
      <w:r>
        <w:rPr>
          <w:rFonts w:ascii="Arial" w:cs="Arial" w:eastAsia="Arial" w:hAnsi="Arial"/>
          <w:sz w:val="16"/>
          <w:szCs w:val="16"/>
          <w:color w:val="auto"/>
        </w:rPr>
        <w:t>All changes in fair values of outstanding cash flow hedge derivatives, except those associated with excluded time value and hedge ineffectiveness are recorded in the financial statements and the related gain or loss on the transaction is reflected in net income or loss.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external product sales, respectively, when the underlying hedged transaction is recorded.</w:t>
      </w:r>
    </w:p>
    <w:p>
      <w:pPr>
        <w:spacing w:after="0" w:line="50" w:lineRule="exact"/>
        <w:rPr>
          <w:sz w:val="20"/>
          <w:szCs w:val="20"/>
          <w:color w:val="auto"/>
        </w:rPr>
      </w:pPr>
    </w:p>
    <w:p>
      <w:pPr>
        <w:ind w:right="200" w:firstLine="215"/>
        <w:spacing w:after="0" w:line="302" w:lineRule="auto"/>
        <w:rPr>
          <w:sz w:val="20"/>
          <w:szCs w:val="20"/>
          <w:color w:val="auto"/>
        </w:rPr>
      </w:pPr>
      <w:r>
        <w:rPr>
          <w:rFonts w:ascii="Arial" w:cs="Arial" w:eastAsia="Arial" w:hAnsi="Arial"/>
          <w:sz w:val="16"/>
          <w:szCs w:val="16"/>
          <w:color w:val="auto"/>
        </w:rPr>
        <w:t>As of April 3, 2009, $0.4 million of deferred net gains on both outstanding and matured derivatives accumulated in other comprehensive income or loss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April 3, 2009, the maximum term over which we are hedging cash flow exposures is four months.</w:t>
      </w:r>
    </w:p>
    <w:p>
      <w:pPr>
        <w:spacing w:after="0" w:line="4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non-Statement 133 hedge, if it is still outstanding at the time the determination is made.</w:t>
      </w:r>
    </w:p>
    <w:p>
      <w:pPr>
        <w:spacing w:after="0" w:line="64"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external product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121"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As mentioned above, the total notional amount of outstanding derivatives as of April 3, 2009 not designated as cash flow hedging instruments was $59.9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goods sold. For the quarter and three quarters ended April 3, 2009, we recorded in cost of goods sold the following amount of gains recorded on non-designated hedges as follows, in millions:</w:t>
      </w:r>
    </w:p>
    <w:p>
      <w:pPr>
        <w:spacing w:after="0" w:line="157"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Amount of Gain (Loss) recognized in Income on</w:t>
      </w:r>
    </w:p>
    <w:p>
      <w:pPr>
        <w:jc w:val="center"/>
        <w:ind w:left="440"/>
        <w:spacing w:after="0" w:line="236" w:lineRule="auto"/>
        <w:rPr>
          <w:sz w:val="20"/>
          <w:szCs w:val="20"/>
          <w:color w:val="auto"/>
        </w:rPr>
      </w:pPr>
      <w:r>
        <w:rPr>
          <w:rFonts w:ascii="Arial" w:cs="Arial" w:eastAsia="Arial" w:hAnsi="Arial"/>
          <w:sz w:val="14"/>
          <w:szCs w:val="14"/>
          <w:b w:val="1"/>
          <w:bCs w:val="1"/>
          <w:color w:val="auto"/>
        </w:rPr>
        <w:t>Derivatives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Quarter</w:t>
            </w:r>
          </w:p>
        </w:tc>
        <w:tc>
          <w:tcPr>
            <w:tcW w:w="14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Three Quarters</w:t>
            </w:r>
          </w:p>
        </w:tc>
        <w:tc>
          <w:tcPr>
            <w:tcW w:w="1620" w:type="dxa"/>
            <w:vAlign w:val="bottom"/>
          </w:tcPr>
          <w:p>
            <w:pPr>
              <w:spacing w:after="0"/>
              <w:rPr>
                <w:sz w:val="10"/>
                <w:szCs w:val="10"/>
                <w:color w:val="auto"/>
              </w:rPr>
            </w:pPr>
          </w:p>
        </w:tc>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w w:val="91"/>
              </w:rPr>
              <w:t>Location of Gain (Loss) Recognized</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60" w:type="dxa"/>
            <w:vAlign w:val="bottom"/>
          </w:tcPr>
          <w:p>
            <w:pPr>
              <w:spacing w:after="0"/>
              <w:rPr>
                <w:sz w:val="12"/>
                <w:szCs w:val="12"/>
                <w:color w:val="auto"/>
              </w:rPr>
            </w:pPr>
          </w:p>
        </w:tc>
        <w:tc>
          <w:tcPr>
            <w:tcW w:w="2580" w:type="dxa"/>
            <w:vAlign w:val="bottom"/>
            <w:gridSpan w:val="2"/>
          </w:tcPr>
          <w:p>
            <w:pPr>
              <w:jc w:val="center"/>
              <w:ind w:right="1620"/>
              <w:spacing w:after="0" w:line="149" w:lineRule="exact"/>
              <w:rPr>
                <w:sz w:val="20"/>
                <w:szCs w:val="20"/>
                <w:color w:val="auto"/>
              </w:rPr>
            </w:pPr>
            <w:r>
              <w:rPr>
                <w:rFonts w:ascii="Arial" w:cs="Arial" w:eastAsia="Arial" w:hAnsi="Arial"/>
                <w:sz w:val="14"/>
                <w:szCs w:val="14"/>
                <w:b w:val="1"/>
                <w:bCs w:val="1"/>
                <w:color w:val="auto"/>
                <w:w w:val="93"/>
              </w:rPr>
              <w:t>Ended</w:t>
            </w: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spacing w:after="0"/>
              <w:rPr>
                <w:sz w:val="20"/>
                <w:szCs w:val="20"/>
                <w:color w:val="auto"/>
              </w:rPr>
            </w:pPr>
            <w:r>
              <w:rPr>
                <w:rFonts w:ascii="Arial" w:cs="Arial" w:eastAsia="Arial" w:hAnsi="Arial"/>
                <w:sz w:val="18"/>
                <w:szCs w:val="18"/>
                <w:color w:val="auto"/>
              </w:rPr>
              <w:t>Derivatives not designated as hedging</w:t>
            </w:r>
          </w:p>
        </w:tc>
        <w:tc>
          <w:tcPr>
            <w:tcW w:w="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April 3, 2009</w:t>
            </w:r>
          </w:p>
        </w:tc>
        <w:tc>
          <w:tcPr>
            <w:tcW w:w="1460" w:type="dxa"/>
            <w:vAlign w:val="bottom"/>
          </w:tcPr>
          <w:p>
            <w:pPr>
              <w:spacing w:after="0"/>
              <w:rPr>
                <w:sz w:val="14"/>
                <w:szCs w:val="14"/>
                <w:color w:val="auto"/>
              </w:rPr>
            </w:pPr>
          </w:p>
        </w:tc>
        <w:tc>
          <w:tcPr>
            <w:tcW w:w="258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96"/>
              </w:rPr>
              <w:t>April 3, 2009</w:t>
            </w:r>
          </w:p>
        </w:tc>
        <w:tc>
          <w:tcPr>
            <w:tcW w:w="2200" w:type="dxa"/>
            <w:vAlign w:val="bottom"/>
          </w:tcPr>
          <w:p>
            <w:pPr>
              <w:ind w:left="340"/>
              <w:spacing w:after="0"/>
              <w:rPr>
                <w:sz w:val="20"/>
                <w:szCs w:val="20"/>
                <w:color w:val="auto"/>
              </w:rPr>
            </w:pPr>
            <w:r>
              <w:rPr>
                <w:rFonts w:ascii="Arial" w:cs="Arial" w:eastAsia="Arial" w:hAnsi="Arial"/>
                <w:sz w:val="14"/>
                <w:szCs w:val="14"/>
                <w:b w:val="1"/>
                <w:bCs w:val="1"/>
                <w:color w:val="auto"/>
              </w:rPr>
              <w:t>in Income on Derivatives</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instruments under FAS 133:</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Foreign exchange forward contracts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1620"/>
              <w:spacing w:after="0"/>
              <w:rPr>
                <w:sz w:val="20"/>
                <w:szCs w:val="20"/>
                <w:color w:val="auto"/>
              </w:rPr>
            </w:pPr>
            <w:r>
              <w:rPr>
                <w:rFonts w:ascii="Arial" w:cs="Arial" w:eastAsia="Arial" w:hAnsi="Arial"/>
                <w:sz w:val="18"/>
                <w:szCs w:val="18"/>
                <w:color w:val="auto"/>
              </w:rPr>
              <w:t>7.2</w:t>
            </w:r>
          </w:p>
        </w:tc>
        <w:tc>
          <w:tcPr>
            <w:tcW w:w="2200" w:type="dxa"/>
            <w:vAlign w:val="bottom"/>
          </w:tcPr>
          <w:p>
            <w:pPr>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420" w:firstLine="222"/>
        <w:spacing w:after="0" w:line="293"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5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Net Income per Share of Class A and Class B Common Stock</w:t>
      </w:r>
    </w:p>
    <w:p>
      <w:pPr>
        <w:spacing w:after="0" w:line="121" w:lineRule="exact"/>
        <w:rPr>
          <w:sz w:val="20"/>
          <w:szCs w:val="20"/>
          <w:color w:val="auto"/>
        </w:rPr>
      </w:pPr>
    </w:p>
    <w:p>
      <w:pPr>
        <w:ind w:right="20" w:firstLine="222"/>
        <w:spacing w:after="0" w:line="285" w:lineRule="auto"/>
        <w:rPr>
          <w:sz w:val="20"/>
          <w:szCs w:val="20"/>
          <w:color w:val="auto"/>
        </w:rPr>
      </w:pPr>
      <w:r>
        <w:rPr>
          <w:rFonts w:ascii="Arial" w:cs="Arial" w:eastAsia="Arial" w:hAnsi="Arial"/>
          <w:sz w:val="16"/>
          <w:szCs w:val="16"/>
          <w:color w:val="auto"/>
        </w:rPr>
        <w:t xml:space="preserve">We compute net income per share of Class A and Class B common stock in accordance with Statement of Financial Accounting Standards No. 128 “Earnings per Share” (“Statement 128”) using the two class method. Under the provisions of Statement 128, basic net income per share is computed using the weighted average number of common shares outstanding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The dilutive effect of outstanding stock options is reflected in diluted earnings per share by application of the treasury stock method. The computation of the diluted net income per share of Class A common stock assumes the conversion of Class B common stock, while the diluted net income per share of Class B common stock does not assume the conversion of those shares. The rights, including the liquidation and dividend rights, of the holders of our Class A and Class B common stock are substantially similar. However, the holders of Class B common stock have the sole and exclusive right to elect or remove the Class B directors, who currently number five of the nine members of our board of directors. Further, our restated certificate of incorporation cannot be amended or replaced to adversely affect the rights of the holders of Class B common stock or to approve a new issuance of Class B common stock without the approval of the holders of a majority of Class B common stock. At any time each holder may exchange the holder’s shares of Class B common stock for an equal number of shares of Class A common stock at the holder’s option. Under certain circumstances, each share of Class B common stock will convert automatically into one share of Class A common stock. The holders of Class B common stock have the right to preserve their proportionate interest in the company by participating in any issuance of capital stock by the company other than issuances pursuant to stock option or similar employee benefit plan. As a result, and in accordance with EITF 03-6, </w:t>
      </w:r>
      <w:r>
        <w:rPr>
          <w:rFonts w:ascii="Arial" w:cs="Arial" w:eastAsia="Arial" w:hAnsi="Arial"/>
          <w:sz w:val="16"/>
          <w:szCs w:val="16"/>
          <w:i w:val="1"/>
          <w:iCs w:val="1"/>
          <w:color w:val="auto"/>
        </w:rPr>
        <w:t>Participating Securities and the Two-Class Method under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128, </w:t>
      </w:r>
      <w:r>
        <w:rPr>
          <w:rFonts w:ascii="Arial" w:cs="Arial" w:eastAsia="Arial" w:hAnsi="Arial"/>
          <w:sz w:val="16"/>
          <w:szCs w:val="16"/>
          <w:color w:val="auto"/>
        </w:rPr>
        <w:t>the undistributed earnings for each year are allocated based on the contractual participation rights of the Class A and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as if the earnings for the year had been distributed. As the liquidation and dividend rights are identical, the undistributed earnings are allocated on a proportionate basis. Further, as we assume the conversion of Class B common stock in the computation of the diluted net income per share of Class A common stock, the undistributed earnings are equal to net income for that computation.</w:t>
      </w:r>
    </w:p>
    <w:p>
      <w:pPr>
        <w:sectPr>
          <w:pgSz w:w="11900" w:h="16838" w:orient="portrait"/>
          <w:cols w:equalWidth="0" w:num="1">
            <w:col w:w="11400"/>
          </w:cols>
          <w:pgMar w:left="240" w:top="41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of Class A and Class B common stock for the quarter and three quarters ended March 28,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6"/>
              </w:rPr>
              <w:t>Quarter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65"/>
              <w:spacing w:after="0" w:line="119" w:lineRule="exact"/>
              <w:rPr>
                <w:sz w:val="20"/>
                <w:szCs w:val="20"/>
                <w:color w:val="auto"/>
              </w:rPr>
            </w:pPr>
            <w:r>
              <w:rPr>
                <w:rFonts w:ascii="Arial" w:cs="Arial" w:eastAsia="Arial" w:hAnsi="Arial"/>
                <w:sz w:val="13"/>
                <w:szCs w:val="13"/>
                <w:b w:val="1"/>
                <w:bCs w:val="1"/>
                <w:color w:val="auto"/>
              </w:rPr>
              <w:t>March 28,</w:t>
            </w:r>
          </w:p>
        </w:tc>
        <w:tc>
          <w:tcPr>
            <w:tcW w:w="5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28,</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82"/>
              </w:rPr>
              <w:t>per common</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millions, except</w:t>
            </w:r>
          </w:p>
        </w:tc>
        <w:tc>
          <w:tcPr>
            <w:tcW w:w="66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gridSpan w:val="3"/>
          </w:tcPr>
          <w:p>
            <w:pPr>
              <w:jc w:val="right"/>
              <w:ind w:right="233"/>
              <w:spacing w:after="0" w:line="142" w:lineRule="exact"/>
              <w:rPr>
                <w:sz w:val="20"/>
                <w:szCs w:val="20"/>
                <w:color w:val="auto"/>
              </w:rPr>
            </w:pPr>
            <w:r>
              <w:rPr>
                <w:rFonts w:ascii="Arial" w:cs="Arial" w:eastAsia="Arial" w:hAnsi="Arial"/>
                <w:sz w:val="14"/>
                <w:szCs w:val="14"/>
                <w:color w:val="auto"/>
              </w:rPr>
              <w:t>share amounts)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Class 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1240" w:type="dxa"/>
            <w:vAlign w:val="bottom"/>
            <w:gridSpan w:val="2"/>
          </w:tcPr>
          <w:p>
            <w:pPr>
              <w:jc w:val="right"/>
              <w:ind w:right="693"/>
              <w:spacing w:after="0" w:line="142" w:lineRule="exact"/>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undistributed earnings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09</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undistributed earnings for basic computation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8"/>
              </w:rPr>
              <w:t>Reallocation of undistributed earnings as a result of conversion of Class B to</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Class A shares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59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net of tax</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33"/>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Reallocation of undistributed earnings to Class B shares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40" w:type="dxa"/>
            <w:vAlign w:val="bottom"/>
            <w:gridSpan w:val="2"/>
          </w:tcPr>
          <w:p>
            <w:pPr>
              <w:jc w:val="right"/>
              <w:ind w:right="5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undistributed earnings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33"/>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basic computation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Weighted average effect of dilutive securities — add: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Class B to Class A common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Stock options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93"/>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33"/>
              <w:spacing w:after="0"/>
              <w:rPr>
                <w:sz w:val="20"/>
                <w:szCs w:val="20"/>
                <w:color w:val="auto"/>
              </w:rPr>
            </w:pPr>
            <w:r>
              <w:rPr>
                <w:rFonts w:ascii="Arial" w:cs="Arial" w:eastAsia="Arial" w:hAnsi="Arial"/>
                <w:sz w:val="18"/>
                <w:szCs w:val="18"/>
                <w:color w:val="auto"/>
              </w:rPr>
              <w:t>(0.02)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We excluded 2.4 million shares for both the quarter and three quarters ended March 28, 2008 attributable to outstanding stock options from the calculation of diluted earnings per share because their inclusion would have been anti-dilutive. The net income per share amounts are the same for Class A and Class B because the holders of each class are legally entitled to equal per share distributions whether through dividends or in liquidation. Diluted earnings per share is not presented for the quarter and three quarters ended April 3, 2009 due to a net loss in both periods.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Harris Stratex Networks, Inc.</w:t>
      </w:r>
    </w:p>
    <w:p>
      <w:pPr>
        <w:spacing w:after="0" w:line="117"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have reviewed the condensed consolidated balance sheet of Harris Stratex Networks, Inc. and subsidiaries as of April 3, 2009, the related condensed consolidated statements of operations for the quarter and three quarters ended April 3, 2009 and March 28, 2008, and the condensed consolidated statements of cash flows for the three quarters ended April 3, 2009 and March 28, 2008. These financial statements are the responsibility of the Company’s management.</w:t>
      </w:r>
    </w:p>
    <w:p>
      <w:pPr>
        <w:spacing w:after="0" w:line="3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Harris Stratex Networks, Inc. and subsidiaries as of June 27, 2008, and the related consolidated statements of operations and cash flows for the year then ended, not presented herein, and in our report dated September 12, 2008, we expressed an unqualified opinion on those consolidated financial statements. In our opinion, the information set forth in the accompanying condensed consolidated balance sheet as of June 27, 2008, is fairly stated, in all material respects, in relation to the consolidated balance sheet from which it has been derived.</w:t>
      </w:r>
    </w:p>
    <w:p>
      <w:pPr>
        <w:spacing w:after="0" w:line="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21939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939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2009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i w:val="1"/>
          <w:iCs w:val="1"/>
          <w:color w:val="auto"/>
        </w:rPr>
        <w:t>This report contains forward-looking statements within the meaning of Section 27A of the Securities Act of 1933, as amended, and Section 21E of the Securities Exchange Act of 1934, as amended (the “Exchange Act”), which include, without limitation, statements about the market for our technology, our strategy and competition. Such statements are based upon current expectations that involve risks and uncertainties. Any statements contained herein that are not statements of historical fact may be deemed forward-looking statements. For example, the words “believes”, “anticipates”, “plans”, “expects”, “intends” and similar expressions are intended to identify forward-looking statements. Our actual results and the timing of certain events may differ significantly from the results discussed in the forward-looking statements. Factors that might cause such a discrepancy include, but are not limited to, those discussed below under the discussions of “Risk Factors” set forth in our annual report on Form 10-K filed with the Securities and Exchange Commission on September 25, 2008. All forward looking statements in this document are based on information available to us as of the date hereof and we assume no obligation to update any such forward-looking statements.</w:t>
      </w:r>
    </w:p>
    <w:p>
      <w:pPr>
        <w:spacing w:after="0" w:line="74"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i w:val="1"/>
          <w:iCs w:val="1"/>
          <w:color w:val="auto"/>
        </w:rPr>
        <w:t>As previously announced on July 30, 2008, Harris Stratex Networks, Inc. and its Audit Committee concluded that our consolidated financial statements for the fiscal years ended June 29, 2007, June 30, 2006 and July 1, 2005 and for the first three quarters of the fiscal year ended June 27, 2008 would be restated for the correction of errors contained in those consolidated financial statements. The effect of these restatement items reduced shareholders’ equity cumulatively by $13.2 million as of March 28, 2008. Previously reported net loss was increased by $2.2 million and $1.6 million for the quarter and three quarters ended March 28, 2008. The restatement had no impact on our net cash flows from operations, financing activities or investing activities. To correct these errors, on September 25, 2008, we filed amended quarterly reports on Form 10-Q/A for the first three quarters of fiscal 2008 and an amended annual report on Form 10-K/A for fiscal year 2008. The financial statements for the third quarter of fiscal 2008 included in this report are from the amended quarterly report on Form 10-Q/A filed with the SEC on September 25,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222"/>
        <w:spacing w:after="0" w:line="290"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which is sometimes referred to in this Quarterly Report on Form 10-Q as the MD&amp;A, is provided as a supplement to, should be read in conjunction with, and is qualified in its entirety by reference to our condensed consolidated financial statements and related notes presented under </w:t>
      </w:r>
      <w:r>
        <w:rPr>
          <w:rFonts w:ascii="Arial" w:cs="Arial" w:eastAsia="Arial" w:hAnsi="Arial"/>
          <w:sz w:val="16"/>
          <w:szCs w:val="16"/>
          <w:i w:val="1"/>
          <w:iCs w:val="1"/>
          <w:color w:val="auto"/>
        </w:rPr>
        <w:t>Item 1, Financial Statements</w:t>
      </w:r>
      <w:r>
        <w:rPr>
          <w:rFonts w:ascii="Arial" w:cs="Arial" w:eastAsia="Arial" w:hAnsi="Arial"/>
          <w:sz w:val="16"/>
          <w:szCs w:val="16"/>
          <w:color w:val="auto"/>
        </w:rPr>
        <w:t xml:space="preserve"> of this report. As of April 3, 2009, Harris Corporation (“Harris”) owned 100% of our Class B common stock representing approximately 56% of our total voting shares. Harris has announced its intention to effect a taxable pro rata stock dividend payable on May 27, 2009 to the Harris shareholders of record as of 5:30 p.m. Eastern Time on May 13, 2009, the record date for the spin-off dividend in which the Harris shareholders will receive approximately 0.24 of a share of Harris Stratex Class A common stock for every share of Harris common stock they own on the record date. Following the spin-off dividend, we will cease to be a majority-owned subsidiary of Harris. We intend to continue utilizing select services from Harris and extend the terms of the transition services agreement.</w:t>
      </w:r>
    </w:p>
    <w:p>
      <w:pPr>
        <w:spacing w:after="0" w:line="58"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following is a list of the sections of the MD&amp;A, together with the perspective of our management on the contents of these sections of the MD&amp;A, which is intended to make reading these pages more productive:</w:t>
      </w:r>
    </w:p>
    <w:p>
      <w:pPr>
        <w:spacing w:after="0" w:line="62" w:lineRule="exact"/>
        <w:rPr>
          <w:sz w:val="20"/>
          <w:szCs w:val="20"/>
          <w:color w:val="auto"/>
        </w:rPr>
      </w:pPr>
    </w:p>
    <w:p>
      <w:pPr>
        <w:ind w:left="660" w:right="40" w:hanging="436"/>
        <w:spacing w:after="0" w:line="264"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Results of Operations — an analysis of our consolidated results of operations and of the results in each of our three operating segments, to the extent the operating segment results are helpful to gain an understanding of our business as a whole, for the periods presented in our Condensed Consolidated Financial Statements (Unaudited).</w:t>
      </w:r>
    </w:p>
    <w:p>
      <w:pPr>
        <w:spacing w:after="0" w:line="86" w:lineRule="exact"/>
        <w:rPr>
          <w:rFonts w:ascii="Arial" w:cs="Arial" w:eastAsia="Arial" w:hAnsi="Arial"/>
          <w:sz w:val="18"/>
          <w:szCs w:val="18"/>
          <w:b w:val="1"/>
          <w:bCs w:val="1"/>
          <w:color w:val="auto"/>
        </w:rPr>
      </w:pPr>
    </w:p>
    <w:p>
      <w:pPr>
        <w:ind w:left="660" w:right="9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 — an analysis of cash flows, sources of liquidity and resources, contractual obligations and commercial commitments.</w:t>
      </w:r>
    </w:p>
    <w:p>
      <w:pPr>
        <w:spacing w:after="0" w:line="75" w:lineRule="exact"/>
        <w:rPr>
          <w:rFonts w:ascii="Arial" w:cs="Arial" w:eastAsia="Arial" w:hAnsi="Arial"/>
          <w:sz w:val="18"/>
          <w:szCs w:val="18"/>
          <w:b w:val="1"/>
          <w:bCs w:val="1"/>
          <w:color w:val="auto"/>
        </w:rPr>
      </w:pPr>
    </w:p>
    <w:p>
      <w:pPr>
        <w:ind w:left="660" w:right="740" w:hanging="436"/>
        <w:spacing w:after="0" w:line="308"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Critical Accounting Policies and Estimates — information about accounting policies and estimates that require critical judgment and about accounting pronouncements that have been issued but not yet implemented by us and their potential impact.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 2009 compared with Quarter Ended March 28, 2008</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and Net (Loss)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w:t>
            </w:r>
          </w:p>
        </w:tc>
        <w:tc>
          <w:tcPr>
            <w:tcW w:w="12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$158.0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178.2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(loss) income</w:t>
            </w:r>
          </w:p>
        </w:tc>
        <w:tc>
          <w:tcPr>
            <w:tcW w:w="1080" w:type="dxa"/>
            <w:vAlign w:val="bottom"/>
          </w:tcPr>
          <w:p>
            <w:pPr>
              <w:ind w:left="260"/>
              <w:spacing w:after="0"/>
              <w:rPr>
                <w:sz w:val="20"/>
                <w:szCs w:val="20"/>
                <w:color w:val="auto"/>
              </w:rPr>
            </w:pPr>
            <w:r>
              <w:rPr>
                <w:rFonts w:ascii="Arial" w:cs="Arial" w:eastAsia="Arial" w:hAnsi="Arial"/>
                <w:sz w:val="18"/>
                <w:szCs w:val="18"/>
                <w:color w:val="auto"/>
              </w:rPr>
              <w:t>$ (38.3)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revenue in the third quarter of fiscal 2009 was $158.0 million, a decrease of $20.2 million or 11.3%, compared with the third quarter of fiscal 2008.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decrease in revenue resulted from declines in revenue in all regions except Africa. Regional declines in revenue included North America ($14.7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25.8%), Europe, Middle East and Russia ($6.9 million or 17.6%) and in Latin America and Asia Pacific ($4.4 million or 20%) reflecting lower demand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global recession and delays in capital spending by customers in these regions. These decreases in revenue were partially offset by growth in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 million increase) as our existing customers continued to expand their network infrastructures. Revenue from our customers also may fluctuate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timing of their specific procurement needs for network expansion.</w:t>
      </w:r>
    </w:p>
    <w:p>
      <w:pPr>
        <w:spacing w:after="0" w:line="10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During the third quarter of fiscal 2009, the MTN group in Africa accounted for 29% of our total revenue. During the third quarter of fiscal 2008, MTN accounted for 16% of our total revenue. We have entered into separate and distinct contracts with MTN as well as separate arrangements with MTN group subsidiaries. None of such other contracts on an individual basis are material to our operations. The loss of all MTN group business could adversely affect our results of operations, cash flows and financial position.</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the third quarter of fiscal 2009, we experienced a decline in orders and payment delays due to the global recession and the tightening of credit among lending institutions. We believe these factors may continue to cause customers to delay or decrease their overall spending allocated for network expansion for the next several quarters. We believe some customers have delayed or decreased spending and at present cannot estimate when they will change their plans and resume their purchases of our products. Subject to such qualifications, we expect revenue to be in the range of $140 million to $160 million in the fourth quarter of fiscal 2009.</w:t>
      </w:r>
    </w:p>
    <w:p>
      <w:pPr>
        <w:spacing w:after="0" w:line="8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Our net loss in the third quarter of fiscal 2009 was $38.3 million compared with net income of $5.2 million in the third quarter of fiscal 2008. The net loss in the third quarter of fiscal 2009 included $29.8 of charges for provisions for legacy product excess and obsolete inventory, and write-downs of property, plant, manufacturing and test equipment, and charges recorded for estimated losses on inventory purchase commitments as we accelerated our transition towards a common IP-based platform for all our principal products. These product transition charges as well as purchase accounting adjustments and other expenses related to the acquisitions of Stratex and Telsima, share-based compensation expense and an impairment of software are set forth on a comparative basis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Third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c>
          <w:tcPr>
            <w:tcW w:w="6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 from Telsima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customer relationships and non-competition agreements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integration activities undertaken in connection with the Stratex merger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first quarter of fiscal 2009, we implemented a new restructuring plan (the “Fiscal 2009 Plan”) to reduce our workforce in Canada, Brazil and the U.S. During the third quarter of fiscal 2009, our restructuring charges totaled $0.5 million as follows:</w:t>
      </w:r>
    </w:p>
    <w:p>
      <w:pPr>
        <w:spacing w:after="0" w:line="62"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$0.6 million (Fiscal 2009 Plan).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Facility restoration costs totaling $0.2 million at our Canadian location (Fiscal 2009 Plan).</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2008 restructuring plans (the “Fiscal 2008 Plans”) for changes in estimates to reduce the severance liability in Canada ($0.3 million).</w:t>
      </w:r>
    </w:p>
    <w:p>
      <w:pPr>
        <w:spacing w:after="0" w:line="6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We estimate that we will record an additional $3.9 million in restructuring charges under the Fiscal 2009 Plan during the fourth quarter of fiscal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4"/>
              </w:rPr>
              <w:t>Quarter Ended</w:t>
            </w:r>
          </w:p>
        </w:tc>
        <w:tc>
          <w:tcPr>
            <w:tcW w:w="8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2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April 3, 2009</w:t>
            </w:r>
          </w:p>
        </w:tc>
        <w:tc>
          <w:tcPr>
            <w:tcW w:w="160" w:type="dxa"/>
            <w:vAlign w:val="bottom"/>
            <w:tcBorders>
              <w:bottom w:val="single" w:sz="8" w:color="auto"/>
            </w:tcBorders>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w:t>
            </w:r>
          </w:p>
        </w:tc>
        <w:tc>
          <w:tcPr>
            <w:tcW w:w="12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158.0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7"/>
              </w:rPr>
              <w:t>178.2</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87"/>
              </w:rPr>
              <w:t>(140.4)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w w:val="87"/>
              </w:rPr>
              <w:t>(127.9)</w:t>
            </w:r>
          </w:p>
        </w:tc>
        <w:tc>
          <w:tcPr>
            <w:tcW w:w="500" w:type="dxa"/>
            <w:vAlign w:val="bottom"/>
          </w:tcPr>
          <w:p>
            <w:pPr>
              <w:spacing w:after="0"/>
              <w:rPr>
                <w:sz w:val="18"/>
                <w:szCs w:val="18"/>
                <w:color w:val="auto"/>
              </w:rPr>
            </w:pPr>
          </w:p>
        </w:tc>
        <w:tc>
          <w:tcPr>
            <w:tcW w:w="1400" w:type="dxa"/>
            <w:vAlign w:val="bottom"/>
          </w:tcPr>
          <w:p>
            <w:pPr>
              <w:jc w:val="right"/>
              <w:ind w:right="277"/>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50.3</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 of revenue</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28.2%</w:t>
            </w: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20" w:firstLine="225"/>
        <w:spacing w:after="0" w:line="255" w:lineRule="auto"/>
        <w:rPr>
          <w:sz w:val="20"/>
          <w:szCs w:val="20"/>
          <w:color w:val="auto"/>
        </w:rPr>
      </w:pPr>
      <w:r>
        <w:rPr>
          <w:rFonts w:ascii="Arial" w:cs="Arial" w:eastAsia="Arial" w:hAnsi="Arial"/>
          <w:sz w:val="18"/>
          <w:szCs w:val="18"/>
          <w:color w:val="auto"/>
        </w:rPr>
        <w:t>Gross margin in the third quarter of fiscal 2009 was $17.6 million, or 11.1% of revenue, compared with $50.3 million, or 28.2% of revenue in the third quarter of fiscal 2008. Gross margin in the third quarter of fiscal 2009 was reduced by $31.6 million which included $29.8 million in charges for legacy product excess and obsolete inventory and write-downs of property, plant, manufacturing and test equipment, and charges for inventory purchase commitments, $1.8 million for amortization of developed technology. Gross margin in the third quarter of fiscal 2008 was reduced by $2.0 million which included $0.2 million of amortization of the fair value of adjustments for fixed assets acquired from Stratex and $1.8 million of amortization of developed technology.</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w:t>
            </w:r>
          </w:p>
        </w:tc>
        <w:tc>
          <w:tcPr>
            <w:tcW w:w="12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8"/>
              </w:rPr>
              <w:t>158.0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178.2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Research and development expenses were $9.9 million in the third quarter of fiscal 2009 compared with $11.5 million in the third quarter of fiscal 2008. As a percentage of revenue, these expenses decreased from 6.5% in the third quarter of fiscal 2008 to 6.3% in the third quarter of fiscal 2009 due to a decrease in spending. The decrease in spending in the third quarter of fiscal 2009 compared with the third quarter of fiscal 2008 was primarily attributable to the reduction in engineering workforce implemented in our restructuring plans during fiscal 2008.</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w:t>
            </w:r>
          </w:p>
        </w:tc>
        <w:tc>
          <w:tcPr>
            <w:tcW w:w="12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8"/>
              </w:rPr>
              <w:t>158.0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178.2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34.6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21.9%</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third quarter of fiscal 2009 with the third quarter of fiscal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2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w w:val="96"/>
              </w:rPr>
              <w:t>Increase/(Decrease)</w:t>
            </w:r>
          </w:p>
        </w:tc>
      </w:tr>
      <w:tr>
        <w:trPr>
          <w:trHeight w:val="142"/>
        </w:trPr>
        <w:tc>
          <w:tcPr>
            <w:tcW w:w="10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in allowance for uncollectible accounts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Increase due to change in fair value of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formation of chief operations officer group during fiscal 2009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Increase in external audit and SOX consulting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in finance costs, primarily for internal audit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Increase in fringe benefit costs, primarily medical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Decrease in selling expenses and sales commissions due to lower order levels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Decrease in amounts accrued under bonus plans and share-based compensation due to lower profitability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23"/>
        </w:trPr>
        <w:tc>
          <w:tcPr>
            <w:tcW w:w="10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chief operations officer group was formed in fiscal 2009 to centrally manage activities that provide support to all functions of our company. These costs include the development of a program manager group that drives our internal project execution and the business process engineering team that enhances system integration and facilitates process improvements throughout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1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83"/>
              </w:rPr>
              <w:t>millions, except</w:t>
            </w:r>
          </w:p>
        </w:tc>
        <w:tc>
          <w:tcPr>
            <w:tcW w:w="5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(34.7)</w:t>
            </w:r>
          </w:p>
        </w:tc>
        <w:tc>
          <w:tcPr>
            <w:tcW w:w="16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$ 5.4</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(3.6)</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N/M</w:t>
            </w:r>
          </w:p>
        </w:tc>
        <w:tc>
          <w:tcPr>
            <w:tcW w:w="1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Our provision for income taxes was $3.6 million for the third quarter of fiscal 2009 consisting primarily of tax on current income related to group companies outside the U.S., mainly from our Singapore subsidiary. The provision for income taxes for the third quarters of fiscal 2009 and 2008 reflected our pre-tax (loss) income based on our estimated annual effective tax rate adjusted for losses in separate jurisdictions for which no tax benefit can be recognized.</w:t>
      </w:r>
    </w:p>
    <w:p>
      <w:pPr>
        <w:spacing w:after="0" w:line="3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Due to the determination during fiscal 2009 that it is more likely than not that we will not utilize many of our net operating loss carryforwards, no tax benefit is recorded on certain current and historical losses, resulting in income tax expense recognized on a loss before income taxes for the third quarter of fiscal 2009. Our effective tax rate varies from the U.S. federal statutory rate of 35% for the third quarters of fiscal 2009 and 2008 due primarily to the conclusion in fiscal 2009 regarding the use of net operating losses noted above for the third quarter of fiscal 2009 and due to earnings in foreign jurisdictions with tax rates different from the statutory U.S. federal rate for both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North America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April 3, 2009</w:t>
            </w:r>
          </w:p>
        </w:tc>
        <w:tc>
          <w:tcPr>
            <w:tcW w:w="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w:t>
            </w:r>
          </w:p>
        </w:tc>
        <w:tc>
          <w:tcPr>
            <w:tcW w:w="114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w w:val="85"/>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$ 42.2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5"/>
              </w:rPr>
              <w:t>56.9</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1060" w:type="dxa"/>
            <w:vAlign w:val="bottom"/>
          </w:tcPr>
          <w:p>
            <w:pPr>
              <w:ind w:left="260"/>
              <w:spacing w:after="0"/>
              <w:rPr>
                <w:sz w:val="20"/>
                <w:szCs w:val="20"/>
                <w:color w:val="auto"/>
              </w:rPr>
            </w:pPr>
            <w:r>
              <w:rPr>
                <w:rFonts w:ascii="Arial" w:cs="Arial" w:eastAsia="Arial" w:hAnsi="Arial"/>
                <w:sz w:val="18"/>
                <w:szCs w:val="18"/>
                <w:color w:val="auto"/>
              </w:rPr>
              <w:t>$(27.5)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North America Microwave segment revenue decreased by $14.7 million, or 25.8%, in the third quarter of fiscal 2009 compared with the third quarter of fiscal 2008 due to the recession and tightening of credit among lending institutions.</w:t>
      </w:r>
    </w:p>
    <w:p>
      <w:pPr>
        <w:spacing w:after="0" w:line="62"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North America Microwave segment had an operating loss of $27.5 million in the third quarter of fiscal 2009 primarily due $25.3 million of charges for the accelerated transition towards a common IP-based platform. The charges for this accelerated product transition included provisions of $25.3 million for legacy product excess and obsolete inventory, and write-downs of property, plant, manufacturing and test equipment, and charges recorded for inventory purchase commitments. This compares with operating income of $1.0 million in the third quarter of fiscal 2008. The operating loss in the third quarter of fiscal 2009 and the operating income in the third quarter of fiscal 2008 also included charges related to the acquisition of Stratex, restructuring charges and share-based compensation expense.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following table summarizes these charges and expenses included in the North America Microwave segment operating results during the third quarter of fiscal 2009 and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Third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c>
          <w:tcPr>
            <w:tcW w:w="6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3, 2009</w:t>
            </w:r>
          </w:p>
        </w:tc>
        <w:tc>
          <w:tcPr>
            <w:tcW w:w="4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w:t>
            </w:r>
          </w:p>
        </w:tc>
        <w:tc>
          <w:tcPr>
            <w:tcW w:w="122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4"/>
              </w:rPr>
              <w:t>112.9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8"/>
              </w:rPr>
              <w:t>117.1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International Microwave segment revenue decreased by $4.2 million or 3.6% in the third quarter of fiscal 2009 compared with the third quarter of fiscal 2008. This decrease occurred even though we experienced growth in Africa ($7.1 million increase) as customers in this region continued to expand their network infrastructures. The increase in Africa was more than offset by a decline in Europe, Middle East and Russia ($6.9 million decrease). Revenue in Latin America and Asia Pacific also declined by $4.4 million in the third quarter of fiscal 2009 compared with the third quarter of fiscal 2008. Revenue from some of our customers may fluctuate due to the timing of their specific procurement needs for network expansion.</w:t>
      </w:r>
    </w:p>
    <w:p>
      <w:pPr>
        <w:spacing w:after="0" w:line="6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Our International Microwave segment had an operating loss of $5.6 million in the third quarter of fiscal 2009 primarily due to $4.5 million of charges for product transition compared with operating income of $5.1 million in the third quarter of fiscal 2008. The operating loss in the third quarter of fiscal 2009 and the operating income in the third quarter of fiscal 2008 also include deductions related to the acquisition of Stratex, restructuring charges and share-based compensation expense.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these charges and expenses included in the International Microwave segment operating results during the third quarter of fiscal 2009 and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Third</w:t>
            </w:r>
          </w:p>
        </w:tc>
      </w:tr>
      <w:tr>
        <w:trPr>
          <w:trHeight w:val="149"/>
        </w:trPr>
        <w:tc>
          <w:tcPr>
            <w:tcW w:w="8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49"/>
        </w:trPr>
        <w:tc>
          <w:tcPr>
            <w:tcW w:w="8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Fiscal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71"/>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w w:val="99"/>
              </w:rPr>
              <w:t>Amortization of developed technology, trade names, customer relationships and non-compete agreements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Stratex merger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23"/>
        </w:trPr>
        <w:tc>
          <w:tcPr>
            <w:tcW w:w="8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Network Operations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7"/>
              </w:rPr>
              <w:t>millions, except</w:t>
            </w:r>
          </w:p>
        </w:tc>
        <w:tc>
          <w:tcPr>
            <w:tcW w:w="5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w:t>
            </w:r>
          </w:p>
        </w:tc>
        <w:tc>
          <w:tcPr>
            <w:tcW w:w="16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$ 4.2</w:t>
            </w:r>
          </w:p>
        </w:tc>
        <w:tc>
          <w:tcPr>
            <w:tcW w:w="1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$(0.3)</w:t>
            </w:r>
          </w:p>
        </w:tc>
        <w:tc>
          <w:tcPr>
            <w:tcW w:w="1940" w:type="dxa"/>
            <w:vAlign w:val="bottom"/>
            <w:gridSpan w:val="2"/>
          </w:tcPr>
          <w:p>
            <w:pPr>
              <w:jc w:val="right"/>
              <w:ind w:right="288"/>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6"/>
              </w:rPr>
              <w:t>N/M</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Network Operations segment revenue decreased by 31.0% in the third quarter of fiscal 2009 compared with the third quarter of fiscal 2008 primarily due to a reduction in orders from customers. This segment had an operating loss of $1.0 million in the third quarter of fiscal 2009 compared with a loss of $0.3 million in the third quarter of fiscal 2008. Revenue in this segment has been adversely impacted by the global economic slowdown.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Quarters Ended April 3, 2009 compared with Three Quarters Ended March 28, 2008</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and Net (Loss)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4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Quarters Ended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April 3, 2009</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2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$ 544.7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8"/>
              </w:rPr>
              <w:t>531.6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tcPr>
          <w:p>
            <w:pPr>
              <w:ind w:left="260"/>
              <w:spacing w:after="0"/>
              <w:rPr>
                <w:sz w:val="20"/>
                <w:szCs w:val="20"/>
                <w:color w:val="auto"/>
              </w:rPr>
            </w:pPr>
            <w:r>
              <w:rPr>
                <w:rFonts w:ascii="Arial" w:cs="Arial" w:eastAsia="Arial" w:hAnsi="Arial"/>
                <w:sz w:val="18"/>
                <w:szCs w:val="18"/>
                <w:color w:val="auto"/>
              </w:rPr>
              <w:t>$(348.1)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revenue in the first three quarters of fiscal 2009 was $544.7 million, an increase of $13.1 million or 2.5%, compared with the first three quarters of fiscal 2008. This increase in revenue resulted from growth in Africa ($30.5 million increase) and in Europe, Middle East and Russia ($13.5 million increase) as customers in these regions continued to expand their network infrastructures prior to the slowdown in the third quarter. Revenue in Latin America and Asia Pacific declined by $16.1 million in the first three quarters of fiscal 2009 compared with the first three quarters of fiscal 2008 due to the procurement cycle of several large mobile operators in the Asia Pacific region.</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During the first three quarters of fiscal 2009, MTN accounted for 17% of our total revenue. During the first three quarters of fiscal 2008, MTN accounted for 13% of our total revenue.</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Our net loss in the first three quarters of fiscal 2009 was $348.1 million compared with net income of $1.8 million in the first three quarters of fiscal 2008. The net loss in the first three quarters of fiscal 2009 included $301.0 million of impairment charges for goodwill and the trade name “Stratex,” $29.8 million of charges related to the accelerated transition towards a common IP-based platform.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These charges, as well as purchase accounting adjustments and other expenses related to the acquisitions of Stratex and Telsima, share-based compensation expense and an impairment for software are set forth on a comparative basis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3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6"/>
              </w:rPr>
              <w:t>First Three</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First Three</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13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Quarters</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(In millions)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developed technology</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customer relationships and non-competition agreements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Software impairment charges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120" w:type="dxa"/>
            <w:vAlign w:val="bottom"/>
          </w:tcPr>
          <w:p>
            <w:pPr>
              <w:spacing w:after="0"/>
              <w:rPr>
                <w:sz w:val="18"/>
                <w:szCs w:val="18"/>
                <w:color w:val="auto"/>
              </w:rPr>
            </w:pP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Lease impairment</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Inventory mark-downs</w:t>
            </w:r>
          </w:p>
        </w:tc>
        <w:tc>
          <w:tcPr>
            <w:tcW w:w="120" w:type="dxa"/>
            <w:vAlign w:val="bottom"/>
          </w:tcPr>
          <w:p>
            <w:pPr>
              <w:spacing w:after="0"/>
              <w:rPr>
                <w:sz w:val="18"/>
                <w:szCs w:val="18"/>
                <w:color w:val="auto"/>
              </w:rPr>
            </w:pP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first three quarters of fiscal 2009, our net restructuring charges totaled $4.9 million consisting of:</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$5.2 million (Fiscal 2009 Plan).</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$0.4 million and facility restoration costs of $0.5 million at our Canadian location (Fiscal 2009 Plan).</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($0.6 million) and Canadian locations ($0.3 million).</w:t>
      </w:r>
    </w:p>
    <w:p>
      <w:pPr>
        <w:spacing w:after="0" w:line="7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three quarters of fiscal 2008, we recorded an additional $8.4 million of restructuring charges in connection with the implementation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2007 Plans. During the first three quarters of fiscal 2008, our net restructuring charges consisted of:</w:t>
      </w:r>
    </w:p>
    <w:p>
      <w:pPr>
        <w:spacing w:after="0" w:line="103"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$3.4 million.</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Lease impairment charges totaling $1.9 million from implementation of Fiscal 2007 Plans and changes in estimates related to sub-tenant activity at our U.S. and Canadian locations.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Impairment of $2.3 million for the reduction in fair value of a recoverable value-added type tax in Brazil.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Impairment of $1.4 million for fixed assets at our Canadian location.</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related to the amount of severance in Canada and France ($0.6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3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Three Quarters Ended</w:t>
            </w: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Borders>
              <w:top w:val="single" w:sz="8" w:color="auto"/>
              <w:bottom w:val="single" w:sz="8" w:color="auto"/>
            </w:tcBorders>
            <w:vMerge w:val="restart"/>
          </w:tcPr>
          <w:p>
            <w:pPr>
              <w:jc w:val="center"/>
              <w:ind w:left="74"/>
              <w:spacing w:after="0"/>
              <w:rPr>
                <w:sz w:val="20"/>
                <w:szCs w:val="20"/>
                <w:color w:val="auto"/>
              </w:rPr>
            </w:pPr>
            <w:r>
              <w:rPr>
                <w:rFonts w:ascii="Arial" w:cs="Arial" w:eastAsia="Arial" w:hAnsi="Arial"/>
                <w:sz w:val="14"/>
                <w:szCs w:val="14"/>
                <w:b w:val="1"/>
                <w:bCs w:val="1"/>
                <w:color w:val="auto"/>
              </w:rPr>
              <w:t>(In</w:t>
            </w:r>
          </w:p>
        </w:tc>
        <w:tc>
          <w:tcPr>
            <w:tcW w:w="12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millions, except percentages)</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$ 544.7</w:t>
            </w:r>
          </w:p>
        </w:tc>
        <w:tc>
          <w:tcPr>
            <w:tcW w:w="17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$ 531.6</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1140" w:type="dxa"/>
            <w:vAlign w:val="bottom"/>
          </w:tcPr>
          <w:p>
            <w:pPr>
              <w:jc w:val="right"/>
              <w:ind w:right="196"/>
              <w:spacing w:after="0"/>
              <w:rPr>
                <w:sz w:val="20"/>
                <w:szCs w:val="20"/>
                <w:color w:val="auto"/>
              </w:rPr>
            </w:pPr>
            <w:r>
              <w:rPr>
                <w:rFonts w:ascii="Arial" w:cs="Arial" w:eastAsia="Arial" w:hAnsi="Arial"/>
                <w:sz w:val="18"/>
                <w:szCs w:val="18"/>
                <w:color w:val="auto"/>
              </w:rPr>
              <w:t>$(414.5)</w:t>
            </w:r>
          </w:p>
        </w:tc>
        <w:tc>
          <w:tcPr>
            <w:tcW w:w="1780" w:type="dxa"/>
            <w:vAlign w:val="bottom"/>
            <w:gridSpan w:val="2"/>
          </w:tcPr>
          <w:p>
            <w:pPr>
              <w:jc w:val="right"/>
              <w:ind w:right="268"/>
              <w:spacing w:after="0"/>
              <w:rPr>
                <w:sz w:val="20"/>
                <w:szCs w:val="20"/>
                <w:color w:val="auto"/>
              </w:rPr>
            </w:pPr>
            <w:r>
              <w:rPr>
                <w:rFonts w:ascii="Arial" w:cs="Arial" w:eastAsia="Arial" w:hAnsi="Arial"/>
                <w:sz w:val="18"/>
                <w:szCs w:val="18"/>
                <w:color w:val="auto"/>
              </w:rPr>
              <w:t>$(385.3)</w:t>
            </w:r>
          </w:p>
        </w:tc>
        <w:tc>
          <w:tcPr>
            <w:tcW w:w="480" w:type="dxa"/>
            <w:vAlign w:val="bottom"/>
          </w:tcPr>
          <w:p>
            <w:pPr>
              <w:spacing w:after="0"/>
              <w:rPr>
                <w:sz w:val="18"/>
                <w:szCs w:val="18"/>
                <w:color w:val="auto"/>
              </w:rPr>
            </w:pPr>
          </w:p>
        </w:tc>
        <w:tc>
          <w:tcPr>
            <w:tcW w:w="1340" w:type="dxa"/>
            <w:vAlign w:val="bottom"/>
          </w:tcPr>
          <w:p>
            <w:pPr>
              <w:jc w:val="right"/>
              <w:ind w:right="27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$ 130.2</w:t>
            </w:r>
          </w:p>
        </w:tc>
        <w:tc>
          <w:tcPr>
            <w:tcW w:w="17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$ 146.3</w:t>
            </w: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 of revenue</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23.9%</w:t>
            </w:r>
          </w:p>
        </w:tc>
        <w:tc>
          <w:tcPr>
            <w:tcW w:w="1780" w:type="dxa"/>
            <w:vAlign w:val="bottom"/>
            <w:gridSpan w:val="2"/>
          </w:tcPr>
          <w:p>
            <w:pPr>
              <w:jc w:val="right"/>
              <w:ind w:right="188"/>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Gross margin in the first three quarters of fiscal 2009 was $130.2 million, or 23.9% of revenue, compared with $146.3 million, or 27.5% of revenue in the first three quarters of fiscal 2008. Gross margin in the first three quarters of fiscal 2009 was reduced by $29.8 million in charges related to product transition, $5.4 million for amortization of developed technology and $0.5 million of amortization of the fair value of adjustments for fixed assets acquired from Stratex. By comparison gross margin in the first three quarters of fiscal 2008 was reduced by $3.7 million in markdowns of inventory, $0.6 million of amortization of the fair value of adjustments for fixed assets acquired from Stratex, $5.3 million of amortization of developed technology and $1.5 million of merger integration costs.</w:t>
      </w:r>
    </w:p>
    <w:p>
      <w:pPr>
        <w:spacing w:after="0" w:line="85"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Aside from the charges and expenses mentioned above, gross margin and gross margin percentage benefited from an improved product mix in our International Microwave segment during the first three quarters of fiscal 2009 compared with the first three quarters of fiscal 2008. These benefits were mitigated by a higher mix of services revenue in the first three quarters of fiscal 2009 compared with the third quarter of fiscal 2008. Gross margin from our services revenue is lower than for products revenue.</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Quarters Ended</w:t>
            </w: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Borders>
              <w:top w:val="single" w:sz="8" w:color="auto"/>
              <w:bottom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(In</w:t>
            </w:r>
          </w:p>
        </w:tc>
        <w:tc>
          <w:tcPr>
            <w:tcW w:w="12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9"/>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8"/>
              </w:rPr>
              <w:t>544.7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531.6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4"/>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34.8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Research and development expenses were $29.6 million in the first three quarters of fiscal 2009 compared with $34.8 million in the first three quarters of fiscal 2008. As a percentage of revenue, these expenses decreased from 6.5% in the first three quarters of fiscal 2008 to 5.4% in the first three quarters of fiscal 2009 due to higher revenue and a decrease in spending. The decrease in spending in the first three quarters of fiscal 2009 compared with the first three quarters of fiscal 2008 was primarily attributable to the reduction in engineering workforce implemented in our restructuring plans during fiscal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3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Quarters Ended</w:t>
            </w: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Borders>
              <w:top w:val="single" w:sz="8" w:color="auto"/>
              <w:bottom w:val="single" w:sz="8" w:color="auto"/>
            </w:tcBorders>
            <w:vMerge w:val="restart"/>
          </w:tcPr>
          <w:p>
            <w:pPr>
              <w:jc w:val="center"/>
              <w:ind w:left="36"/>
              <w:spacing w:after="0"/>
              <w:rPr>
                <w:sz w:val="20"/>
                <w:szCs w:val="20"/>
                <w:color w:val="auto"/>
              </w:rPr>
            </w:pPr>
            <w:r>
              <w:rPr>
                <w:rFonts w:ascii="Arial" w:cs="Arial" w:eastAsia="Arial" w:hAnsi="Arial"/>
                <w:sz w:val="14"/>
                <w:szCs w:val="14"/>
                <w:b w:val="1"/>
                <w:bCs w:val="1"/>
                <w:color w:val="auto"/>
              </w:rPr>
              <w:t>(In</w:t>
            </w:r>
          </w:p>
        </w:tc>
        <w:tc>
          <w:tcPr>
            <w:tcW w:w="12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$544.7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4"/>
              </w:rPr>
              <w:t>531.6</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080" w:type="dxa"/>
            <w:vAlign w:val="bottom"/>
          </w:tcPr>
          <w:p>
            <w:pPr>
              <w:jc w:val="right"/>
              <w:ind w:right="237"/>
              <w:spacing w:after="0"/>
              <w:rPr>
                <w:sz w:val="20"/>
                <w:szCs w:val="20"/>
                <w:color w:val="auto"/>
              </w:rPr>
            </w:pPr>
            <w:r>
              <w:rPr>
                <w:rFonts w:ascii="Arial" w:cs="Arial" w:eastAsia="Arial" w:hAnsi="Arial"/>
                <w:sz w:val="18"/>
                <w:szCs w:val="18"/>
                <w:color w:val="auto"/>
              </w:rPr>
              <w:t>$104.0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96.1</w:t>
            </w:r>
          </w:p>
        </w:tc>
        <w:tc>
          <w:tcPr>
            <w:tcW w:w="50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19.1%</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18.1%</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first three quarters of fiscal 2009 to the first three quarters of fiscal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2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w w:val="96"/>
              </w:rPr>
              <w:t>Increase/(Decrease)</w:t>
            </w:r>
          </w:p>
        </w:tc>
      </w:tr>
      <w:tr>
        <w:trPr>
          <w:trHeight w:val="142"/>
        </w:trPr>
        <w:tc>
          <w:tcPr>
            <w:tcW w:w="10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in allowance for uncollectible accounts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Increase due to formation of chief operations officer group during fiscal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change in fair value of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Increase due to administrative costs to unify company-wide systems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Increase in external audit and SOX consulting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Increase in legal and consulting fees for the restatement of prior year financials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Decrease in selling expenses and sales commissions due to lower order levels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Decrease in amounts accrued under bonus plans and share-based compensation due to lower profitability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10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Quarters Ended</w:t>
            </w:r>
          </w:p>
        </w:tc>
        <w:tc>
          <w:tcPr>
            <w:tcW w:w="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April 3, 2009</w:t>
            </w:r>
          </w:p>
        </w:tc>
        <w:tc>
          <w:tcPr>
            <w:tcW w:w="4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4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w w:val="76"/>
              </w:rPr>
              <w:t>millions, except</w:t>
            </w:r>
          </w:p>
        </w:tc>
        <w:tc>
          <w:tcPr>
            <w:tcW w:w="5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7"/>
              </w:rPr>
              <w:t>(320.1)</w:t>
            </w:r>
          </w:p>
        </w:tc>
        <w:tc>
          <w:tcPr>
            <w:tcW w:w="15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(28.0)</w:t>
            </w:r>
          </w:p>
        </w:tc>
        <w:tc>
          <w:tcPr>
            <w:tcW w:w="1520" w:type="dxa"/>
            <w:vAlign w:val="bottom"/>
            <w:gridSpan w:val="2"/>
          </w:tcPr>
          <w:p>
            <w:pPr>
              <w:jc w:val="right"/>
              <w:ind w:right="322"/>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(loss) income before income taxes</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Our provision for income taxes was $28.0 million for the first three quarters of fiscal 2009 consisting of a $20.8 million increase in the valuation allowance for certain deferred tax assets and tax on earnings in foreign jurisdictions, primarily Singapore. The provision for income taxes for the first three quarters of fiscal 2009 and 2008 reflected our pre-tax (loss) income based on our estimated annual effective tax rate adjusted for losses in separate jurisdictions for which no tax benefit can be recognized.</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Due to the determination during fiscal 2009 that it is more likely than not that we will not utilize many of our net operating loss carryforwards, no tax benefit is recorded on certain current and historical losses, resulting in income tax expense recognized on a loss before income taxes for the first three quarters of fiscal 2009. Our effective tax rate varies from the U.S. federal statutory rate of 35% for the first three quarters of fiscal 2009 and 2008 due primarily to the conclusion in fiscal 2009 regarding the use of net operating losses noted above for the first three quarters of fiscal 2009 and due to earnings in foreign jurisdictions with tax rates different from the statutory U.S. federal rate for both periods.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North America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320" w:type="dxa"/>
            <w:vAlign w:val="bottom"/>
            <w:gridSpan w:val="6"/>
          </w:tcPr>
          <w:p>
            <w:pPr>
              <w:ind w:left="680"/>
              <w:spacing w:after="0"/>
              <w:rPr>
                <w:sz w:val="20"/>
                <w:szCs w:val="20"/>
                <w:color w:val="auto"/>
              </w:rPr>
            </w:pPr>
            <w:r>
              <w:rPr>
                <w:rFonts w:ascii="Arial" w:cs="Arial" w:eastAsia="Arial" w:hAnsi="Arial"/>
                <w:sz w:val="14"/>
                <w:szCs w:val="14"/>
                <w:b w:val="1"/>
                <w:bCs w:val="1"/>
                <w:color w:val="auto"/>
              </w:rPr>
              <w:t>Three Quarters Ended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April 3, 2009</w:t>
            </w:r>
          </w:p>
        </w:tc>
        <w:tc>
          <w:tcPr>
            <w:tcW w:w="480" w:type="dxa"/>
            <w:vAlign w:val="bottom"/>
            <w:tcBorders>
              <w:top w:val="single" w:sz="8" w:color="auto"/>
              <w:bottom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(In</w:t>
            </w:r>
          </w:p>
        </w:tc>
        <w:tc>
          <w:tcPr>
            <w:tcW w:w="12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8"/>
              </w:rPr>
              <w:t>177.3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080" w:type="dxa"/>
            <w:vAlign w:val="bottom"/>
          </w:tcPr>
          <w:p>
            <w:pPr>
              <w:ind w:left="240"/>
              <w:spacing w:after="0"/>
              <w:rPr>
                <w:sz w:val="20"/>
                <w:szCs w:val="20"/>
                <w:color w:val="auto"/>
              </w:rPr>
            </w:pPr>
            <w:r>
              <w:rPr>
                <w:rFonts w:ascii="Arial" w:cs="Arial" w:eastAsia="Arial" w:hAnsi="Arial"/>
                <w:sz w:val="18"/>
                <w:szCs w:val="18"/>
                <w:color w:val="auto"/>
              </w:rPr>
              <w:t>$ (55.4)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North America Microwave segment revenue decreased by $8.8 million, or 5.0%, in the first three quarters of fiscal 2009 compared with the first three quarters of fiscal 2008. This decline reflected lower demand due to the recession and delays in capital spending by customers.</w:t>
      </w:r>
    </w:p>
    <w:p>
      <w:pPr>
        <w:spacing w:after="0" w:line="38"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Our North America Microwave segment had an operating loss of $55.4 million in the first three quarters of fiscal 2009 compared with an operating loss of $0.6 million in the first three quarters of fiscal 2008 due to the following charges and expenses included in the North America Microwave segment operating results during the first three quarters of fiscal 2009 compared with similar types of charges in fiscal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3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6"/>
              </w:rPr>
              <w:t>First Three</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First Three</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13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Quarters</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(In millions)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120" w:type="dxa"/>
            <w:vAlign w:val="bottom"/>
          </w:tcPr>
          <w:p>
            <w:pPr>
              <w:spacing w:after="0"/>
              <w:rPr>
                <w:sz w:val="18"/>
                <w:szCs w:val="18"/>
                <w:color w:val="auto"/>
              </w:rPr>
            </w:pP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Inventory mark-downs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Lease impairment</w:t>
            </w:r>
          </w:p>
        </w:tc>
        <w:tc>
          <w:tcPr>
            <w:tcW w:w="120" w:type="dxa"/>
            <w:vAlign w:val="bottom"/>
          </w:tcPr>
          <w:p>
            <w:pPr>
              <w:spacing w:after="0"/>
              <w:rPr>
                <w:sz w:val="18"/>
                <w:szCs w:val="18"/>
                <w:color w:val="auto"/>
              </w:rPr>
            </w:pP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International Microwave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4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Three Quarters Ended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1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April 3, 2009</w:t>
            </w:r>
          </w:p>
        </w:tc>
        <w:tc>
          <w:tcPr>
            <w:tcW w:w="480" w:type="dxa"/>
            <w:vAlign w:val="bottom"/>
            <w:tcBorders>
              <w:top w:val="single" w:sz="8" w:color="auto"/>
              <w:bottom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(In</w:t>
            </w:r>
          </w:p>
        </w:tc>
        <w:tc>
          <w:tcPr>
            <w:tcW w:w="12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8"/>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$ 365.0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8"/>
              </w:rPr>
              <w:t>337.1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1160" w:type="dxa"/>
            <w:vAlign w:val="bottom"/>
          </w:tcPr>
          <w:p>
            <w:pPr>
              <w:ind w:left="260"/>
              <w:spacing w:after="0"/>
              <w:rPr>
                <w:sz w:val="20"/>
                <w:szCs w:val="20"/>
                <w:color w:val="auto"/>
              </w:rPr>
            </w:pPr>
            <w:r>
              <w:rPr>
                <w:rFonts w:ascii="Arial" w:cs="Arial" w:eastAsia="Arial" w:hAnsi="Arial"/>
                <w:sz w:val="18"/>
                <w:szCs w:val="18"/>
                <w:color w:val="auto"/>
              </w:rPr>
              <w:t>$(262.0)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International Microwave segment revenue increased by $27.9 million or 8.3% in the first three quarters of fiscal 2009 compared with the first three quarters of fiscal 2008. This increase resulted from growth in Africa ($30.5 million increase) and in Europe, Middle East and Russia ($13.5 million increase) as customers in these regions continued to expand their network infrastructures. Revenue in Latin America and Asia Pacific declined by $16.1 million in the first three quarters of fiscal 2009 compared with the first three quarters of fiscal 2008 due to sales decreases which we believe were largely related to the procurement cycle of several large mobile operators in the Asia Pacific region.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Our International Microwave segment had an operating loss of $262.0 million in the first three quarters of fiscal 2009 compared with operating income of $0.9 million in the first three quarters of fiscal 2008 due to the following charges and expenses included in the International Microwave segment operating results during the first three quarters of fiscal 2009 compared with similar types of charges in fiscal 2008: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360" w:type="dxa"/>
            <w:vAlign w:val="bottom"/>
            <w:gridSpan w:val="3"/>
          </w:tcPr>
          <w:p>
            <w:pPr>
              <w:jc w:val="center"/>
              <w:ind w:right="588"/>
              <w:spacing w:after="0"/>
              <w:rPr>
                <w:sz w:val="20"/>
                <w:szCs w:val="20"/>
                <w:color w:val="auto"/>
              </w:rPr>
            </w:pPr>
            <w:r>
              <w:rPr>
                <w:rFonts w:ascii="Arial" w:cs="Arial" w:eastAsia="Arial" w:hAnsi="Arial"/>
                <w:sz w:val="14"/>
                <w:szCs w:val="14"/>
                <w:b w:val="1"/>
                <w:bCs w:val="1"/>
                <w:color w:val="auto"/>
                <w:w w:val="96"/>
              </w:rPr>
              <w:t>First Three</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First Three</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1360" w:type="dxa"/>
            <w:vAlign w:val="bottom"/>
            <w:gridSpan w:val="3"/>
          </w:tcPr>
          <w:p>
            <w:pPr>
              <w:jc w:val="center"/>
              <w:ind w:right="608"/>
              <w:spacing w:after="0" w:line="149" w:lineRule="exact"/>
              <w:rPr>
                <w:sz w:val="20"/>
                <w:szCs w:val="20"/>
                <w:color w:val="auto"/>
              </w:rPr>
            </w:pPr>
            <w:r>
              <w:rPr>
                <w:rFonts w:ascii="Arial" w:cs="Arial" w:eastAsia="Arial" w:hAnsi="Arial"/>
                <w:sz w:val="14"/>
                <w:szCs w:val="14"/>
                <w:b w:val="1"/>
                <w:bCs w:val="1"/>
                <w:color w:val="auto"/>
                <w:w w:val="95"/>
              </w:rPr>
              <w:t>Quarters</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Quarters</w:t>
            </w:r>
          </w:p>
        </w:tc>
        <w:tc>
          <w:tcPr>
            <w:tcW w:w="0" w:type="dxa"/>
            <w:vAlign w:val="bottom"/>
          </w:tcPr>
          <w:p>
            <w:pPr>
              <w:spacing w:after="0"/>
              <w:rPr>
                <w:sz w:val="1"/>
                <w:szCs w:val="1"/>
                <w:color w:val="auto"/>
              </w:rPr>
            </w:pPr>
          </w:p>
        </w:tc>
      </w:tr>
      <w:tr>
        <w:trPr>
          <w:trHeight w:val="149"/>
        </w:trPr>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2009</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(In millions)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customer relationships and non-compete agreements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integration activities undertaken in connection with the merger</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Inventory mark-downs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The effect of these charges on the International Microwave segment operating loss was partially offset by the increase of $27.9 million in revenue compared with the same period in the prior year.</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Network Operations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Quarters Ended</w:t>
            </w: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r>
      <w:tr>
        <w:trPr>
          <w:trHeight w:val="142"/>
        </w:trPr>
        <w:tc>
          <w:tcPr>
            <w:tcW w:w="4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13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400" w:type="dxa"/>
            <w:vAlign w:val="bottom"/>
          </w:tcPr>
          <w:p>
            <w:pPr>
              <w:spacing w:after="0"/>
              <w:rPr>
                <w:sz w:val="12"/>
                <w:szCs w:val="12"/>
                <w:color w:val="auto"/>
              </w:rPr>
            </w:pPr>
          </w:p>
        </w:tc>
        <w:tc>
          <w:tcPr>
            <w:tcW w:w="16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r>
      <w:tr>
        <w:trPr>
          <w:trHeight w:val="142"/>
        </w:trPr>
        <w:tc>
          <w:tcPr>
            <w:tcW w:w="4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millions, except</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3"/>
              </w:rPr>
              <w:t>percentages)</w:t>
            </w: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252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Network Operations segment revenue decreased by 34.9% in the first three quarters of fiscal 2009 compared with the first three quarters of fiscal 2008 primarily due to a reduction in orders from customers and a realignment of the sales force. This segment had an operating loss of $1.4 million in the first three quarters of fiscal 2009 compared with operating income of $1.1 million in the first three quarters of fiscal 2008. Revenue in this segment has been adversely impacted by the global economic slowdown.</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Related Party Transactions with Harris</w:t>
      </w:r>
    </w:p>
    <w:p>
      <w:pPr>
        <w:spacing w:after="0" w:line="117" w:lineRule="exact"/>
        <w:rPr>
          <w:sz w:val="20"/>
          <w:szCs w:val="20"/>
          <w:color w:val="auto"/>
        </w:rPr>
      </w:pPr>
    </w:p>
    <w:p>
      <w:pPr>
        <w:ind w:right="240" w:firstLine="225"/>
        <w:spacing w:after="0" w:line="276" w:lineRule="auto"/>
        <w:rPr>
          <w:sz w:val="20"/>
          <w:szCs w:val="20"/>
          <w:color w:val="auto"/>
        </w:rPr>
      </w:pPr>
      <w:r>
        <w:rPr>
          <w:rFonts w:ascii="Arial" w:cs="Arial" w:eastAsia="Arial" w:hAnsi="Arial"/>
          <w:sz w:val="17"/>
          <w:szCs w:val="17"/>
          <w:color w:val="auto"/>
        </w:rPr>
        <w:t>Pursuant to a Transition Services Agreement, Harris provides various services to us and charges are based primarily on actual usage. These services include database management, supply chain operating systems, eBusiness services, sales and service, financial systems, back office material resource planning support, HR systems, internal and information systems shared services support, network management and help desk support, and server administration and support. Harris charged us $1.2 million and $1.7 million for these services during the quarters ended April 3, 2009 and March 28, 2008, and $4.5 million and $5.2 million during the three quarters ended April 3, 2009 and March 28, 2008.</w:t>
      </w:r>
    </w:p>
    <w:p>
      <w:pPr>
        <w:spacing w:after="0" w:line="64"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We have sales to, and purchases from, other Harris entities from time to time. These purchases and sales are recorded at market price. Our sales to Harris entities were $0.8 million and $1.5 million for the quarters ended April 3, 2009 and March 28, 2008 and $2.7 million and $6.4 million for the three quarters ended April 3, 2009 and March 28, 2008. We also recognized costs associated with related party purchases from Harris of 0.7 and $0.6 million for the quarters ended April 3, 2009 and March 28, 2008 and $2.6 million and $4.2 million for the three quarters ended April 3, 2009 and March 28, 2008.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unpaid amounts billed from Harris are included within “Due to Harris Corporation” on our Condensed Consolidated Balance Sheets. Additionally, we have other receivables and payables in the normal course of business with Harris. These amounts are netted within “Due from Harris Corporation” on our Condensed Consolidated Balance Sheets. Total receivables from Harris were $6.3 million and $4.0 million as of April 3, 2009 and June 27, 2008. Total payables to Harris were $2.5 million and $20.8 million as of April 3, 2009 and June 27, 2008.</w:t>
      </w:r>
    </w:p>
    <w:p>
      <w:pPr>
        <w:spacing w:after="0" w:line="79"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Prior to January 26, 2007, the date of our merger with Stratex Networks, Inc., we used certain assets in Canada owned by Harris that were not contributed to us as part of the merger. We continue to use these assets in our business and entered into a 5-year lease agreement to accommodate this use. This agreement is a capital lease under U.S. generally accepted accounting principles. As of April 3, 2009, our lease obligation to Harris was $1.8 million, of which</w:t>
      </w:r>
    </w:p>
    <w:p>
      <w:pPr>
        <w:spacing w:after="0" w:line="255" w:lineRule="auto"/>
        <w:rPr>
          <w:sz w:val="20"/>
          <w:szCs w:val="20"/>
          <w:color w:val="auto"/>
        </w:rPr>
      </w:pPr>
      <w:r>
        <w:rPr>
          <w:rFonts w:ascii="Arial" w:cs="Arial" w:eastAsia="Arial" w:hAnsi="Arial"/>
          <w:sz w:val="18"/>
          <w:szCs w:val="18"/>
          <w:color w:val="auto"/>
        </w:rPr>
        <w:t>$0.8 million is a current liability. The related asset amount, net of accumulated amortization of $1.6 million, is included in property, plant and equipment. Quarterly lease payments are due to Harris based on the amount of 103% of Harris’ annual depreciation calculated in accordance with U.S. generally accepted accounting principles.</w:t>
      </w:r>
    </w:p>
    <w:p>
      <w:pPr>
        <w:spacing w:after="0" w:line="8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During the first three quarters of fiscal 2008, we recognized an impairment charge of $1.3 million on a portion of these Canadian assets which is included in our restructuring charges. We also recognized an increase of $0.4 million to the lease obligation balance during the first three quarters of fiscal 2008 from a recapitalization under the lease terms, primarily because of the impairment charge and a rescheduling of the lease payments. During the first three quarters of fiscal 2009, we paid Harris $0.8 million under this capital lease obligation for the lease payments. During the first three quarters of fiscal 2008, we paid Harris $3.2 million under this capital lease obligation resulting from the $1.3 million impairment discussed above and for the lease payments. Our amortization expense on this capital lease was $0.2 million and $0.3 million for the quarters ended April 3, 2009 and March 28, 2008 and $0.8 million and $1.2 million for the three quarters ended April 3, 2009 and March 28,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7"/>
              </w:rPr>
              <w:t>Three Quarters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millions)</w:t>
            </w: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9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45.3</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(15.8)</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(0.6)</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660" w:firstLine="222"/>
        <w:spacing w:after="0" w:line="264" w:lineRule="auto"/>
        <w:rPr>
          <w:sz w:val="20"/>
          <w:szCs w:val="20"/>
          <w:color w:val="auto"/>
        </w:rPr>
      </w:pPr>
      <w:r>
        <w:rPr>
          <w:rFonts w:ascii="Arial" w:cs="Arial" w:eastAsia="Arial" w:hAnsi="Arial"/>
          <w:sz w:val="18"/>
          <w:szCs w:val="18"/>
          <w:color w:val="auto"/>
        </w:rPr>
        <w:t>We consider all highly liquid debt instruments purchased with a remaining maturity of three months or less as of the time of purchase to be cash equivalents. Our cash and cash equivalents increased by $20.6 million to $115.6 million during the first three quarters of fiscal 2009 compared with a $27.8 million increase during the first three quarters of fiscal 2008.</w:t>
      </w:r>
    </w:p>
    <w:p>
      <w:pPr>
        <w:spacing w:after="0" w:line="7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During the three quarters ended April 3, 2009, our cash balances decreased by $8.3 million, primarily as a result of a decline in the foreign currency exchange rates of the Canadian Dollar, Polish Zloty, Brazilian Real and Mexican Peso to the U.S. Dollar. To the extent that exchange rates associated with these foreign currencies decline further, we could be subject to further decreases in our cash balances upon translation to U.S. Dollars. However, we continue to believe that our existing cash balances, even in light of the foreign currency volatility we are experiencing, are adequate to meet our liquidity and working capital requirements for the foreseeable future.</w:t>
      </w:r>
    </w:p>
    <w:p>
      <w:pPr>
        <w:spacing w:after="0" w:line="80"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We currently believe that existing cash, cash equivalents, short-term investments, funds generated from operations and access to our credit facility will be sufficient to provide for our anticipated requirements for working capital and capital expenditures for the next 12 months and the foreseeable future.</w:t>
      </w:r>
    </w:p>
    <w:p>
      <w:pPr>
        <w:spacing w:after="0" w:line="1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If we are unable to maintain cash balances or generate sufficient cash flow from operations to service our obligations and meet our anticipated requirements for working capital and capital expenditures, we may be required to sell assets, reduce capital expenditures, or obtain additional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market and to general economic, political, financial, competitive, legislative and regulatory factors beyond our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Net cash and cash equivalents provided by our operating activities totaled $45.3 million during the first three quarters of fiscal 2009 compared with $35.4 million provided by operating activities during the first three quarters of fiscal 2008. Operating cash flow in the first three quarters of fiscal 2009 benefited from a $60.7 million decrease in receivables, and a $4.8 million increase in advance payments and unearned income. Increases to operating cash flow were partially offset by a $20.7 million decrease in amounts due to Harris.</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decrease in receivables resulted primarily from successful aggressive collection efforts to maintain cash balances during the global recession which began in the second half of calendar 2008. Additionally, during the third quarter of fiscal 2009, our revenue declined by $20.2 million compared with the third quarter of fiscal 2008 which resulted in lower receivables recorded as of April 3, 2009. The $20.7 million decrease in the amount due to Harris resulted from payments made to become current on our accounts in the normal course of business.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cash provided by our operating activities was $35.4 million in the first three quarters of fiscal 2008. Operating cash flow in the first three quarters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2008 was affected by $1.8 million net loss, a decrease in unbilled costs and inventories and, an increase in advance payments and unearned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 million) and other cash flow from operations. These increases to operating cash flow were partially offset by an increase of $10.9 million in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decreases in accounts payable and accrued expenses ($1.4 million) and a $9.7 million decrease to restructuring liabilities and other during the first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quarters of fiscal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Investing Activities</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Net cash used in our investing activities was $15.8 million during the first three quarters of fiscal 2009 compared with $2.8 million provided by investing activities during the first three quarters of fiscal 2008. Investing activities during the first three quarters of fiscal 2009 included $1.2 million in purchases of short-term investments, $3.1 million of additions of capitalized software and $11.2 million of additions of property, plant and equipment. We also made $4.0 million in cash payments for the Telsima acquisition, net of acquisition costs and cash acquired in the transaction. These uses of cash in investing activities during the first three quarters of fiscal 2009 were partially offset by the receipt of $3.7 million in proceeds from the sale and maturity of short-term investments.</w:t>
      </w:r>
    </w:p>
    <w:p>
      <w:pPr>
        <w:spacing w:after="0" w:line="85"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Net cash used in investing activities in the first three quarters of fiscal 2008 was $8.3 million in purchases of short-term investments, $7.9 million of additions of capitalized software primarily for the purchase and implementation of new enterprise-wide information systems and $6.3 million of additions of property, plant and equipment. These uses of cash in investing activities during the first three quarters of fiscal 2008 were more than offset by the receipt of $25.3 million in proceeds from the sale and maturity of short-term investments and available for sale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121"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Net cash used in our financing activities during the first three quarters of fiscal 2009 was $0.6 million compared with $11.3 million during the first three quarters of fiscal 2008. During the first three quarters of fiscal 2009, we used our cash for the repayment of $8.8 million of long-term debt upon obtaining a new credit facility and the pay-off of $1.0 million of debt upon closing of the Telsima acquisition. We obtained cash from short-term borrowings of $10.0 million under the new credit facility to pay-off the long-term debt outstanding under the previous credit facility. We also made a payment of $0.8 million to reduce the long-term capital lease obligation with Harris during the first three quarters of fiscal 2009.</w:t>
      </w:r>
    </w:p>
    <w:p>
      <w:pPr>
        <w:spacing w:after="0" w:line="64"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net cash used in financing activities during the first three quarters of fiscal 2008 was for the repayment of $1.2 million in short-term debt, payment of $3.2 million on our capital lease obligation to Harris and $8.4 million in principal payments on long-term debt. We received $1.5 million in proceeds from the exercise of former Stratex stock options during the first three quarters of fiscal 2008.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of April 3, 2009, our principal sources of liquidity consisted of $116.2 million in cash, cash equivalents and short-term investments and $51.3 million of available credit under our $70.0 million credit facility, described below.</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April 3, 2009 we had $51.3 million of credit available against our $70 million revolving credit facility with two commercial banks as described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Note J under Item 1, “Notes to Condensed Consolidated Financial Statements.” The total amount of revolving credit available as of April 3, 2009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$70 million less short-term debt of $10.0 million drawn under the revolving credit portion of the facility and $8.7 million outstanding in standby letters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credit as of that date, which are defined as usage under the revolving credit portion of the facility. There were no long-term borrowings under the facility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the following as of April 3, 2009 and June 27,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April 3, 2009</w:t>
            </w:r>
          </w:p>
        </w:tc>
        <w:tc>
          <w:tcPr>
            <w:tcW w:w="1240" w:type="dxa"/>
            <w:vAlign w:val="bottom"/>
            <w:gridSpan w:val="4"/>
          </w:tcPr>
          <w:p>
            <w:pPr>
              <w:ind w:left="300"/>
              <w:spacing w:after="0"/>
              <w:rPr>
                <w:sz w:val="20"/>
                <w:szCs w:val="20"/>
                <w:color w:val="auto"/>
              </w:rPr>
            </w:pPr>
            <w:r>
              <w:rPr>
                <w:rFonts w:ascii="Arial" w:cs="Arial" w:eastAsia="Arial" w:hAnsi="Arial"/>
                <w:sz w:val="14"/>
                <w:szCs w:val="14"/>
                <w:b w:val="1"/>
                <w:bCs w:val="1"/>
                <w:color w:val="auto"/>
              </w:rPr>
              <w:t>June 27, 2008</w:t>
            </w: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Less short-term borrowings and current portion of long-term debt</w:t>
            </w:r>
          </w:p>
        </w:tc>
        <w:tc>
          <w:tcPr>
            <w:tcW w:w="260" w:type="dxa"/>
            <w:vAlign w:val="bottom"/>
          </w:tcPr>
          <w:p>
            <w:pPr>
              <w:spacing w:after="0"/>
              <w:rPr>
                <w:sz w:val="19"/>
                <w:szCs w:val="19"/>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outstanding</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$10.0 million in short-term borrowings outstanding under the credit facility as of April 3, 2009 are fixed term Eurodollar borrowings with maturity dates of one to three months. There are no immediate plans to repay this amount. The credit facility expires on June 29, 2011.</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covenants included as part of the credit facility we are required to maintain, as measured as of the last day of each fiscal quarter, a minimum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liquidity ratio and a maximum leverage ratio. The liquidity ratio is defined as the ratio of total unrestricted cash and equivalents, short-term investments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plus 50% of total monetary receivables to outstanding loans and letter of credit obligations under the facility. The leverage ratio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defined as the ratio of consolidated EBITDA for the four fiscal quarters most recently ended to total funded indebtedness. The impairments we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three quarters of fiscal 2009 totaling $301.0 million for goodwill and the trade name “Stratex,” total charges for product transition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$29.8 million, acquired in-process research and development from the Telsima acquisition of $2.4 million and software impairment charges of $2.9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did not adversely affect the calculations of our financial covenants under the credit facility. As of April 3, 2009, we were in compliance with these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covenants. We anticipate that we will be able to maintain compliance with these financial covenants for the foreseeable future.</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Amount Due to Former Shareholders of Telsima</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amounts disclosed in our Fiscal 2008 Form 10-K included our contractual cash obligations as of June 27, 2008 for repayment of debt and related interest, purchase obligations to acquire goods and services, payments for operating lease commitments, obligations to Harris, payments on our restructuring and severance liabilities, redemption of our preference shares and payment of the related required dividend payments and other current liabilities on our balance sheet in the normal course of business. During the three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quarters ended April 3, 2009, no material changes occurred in our contractual obligations, except for purchase obligations, which increased to $41.8 million as of April 3, 2009 from $23.2 million as of June 27, 2008 primarily due to increased commitments to purchase finished products from our contract suppliers.</w:t>
      </w:r>
    </w:p>
    <w:p>
      <w:pPr>
        <w:spacing w:after="0" w:line="16"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of April 3, 2009, we have an $8.0 million liability included in “Other accrued items” on our condensed consolidated balance sheet due to the former shareholders of Telsima in connection with the purchase price of this acquisition. The total purchase price excluding acquisition costs was $12.0 million of which $4.0 has been paid as of the closing date of February 27, 2009. The remaining payments consist of $2.5 million due on May 27, 2009, $2.5 million due on August 27, 2009 and $3.0 million due on February 27, 2010.</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During the three quarters ended April 3, 2009, our commercial commitments and contingent liabilities on outstanding letters of credit, guarantees and other arrangements increased to $55.0 million from $50.5 million as of June 27,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(“U.S. GAAP”). The application of U.S. GAAP requires management to make estimates that affect our reported amounts of assets, liabilities, revenue and expenses, and related disclosure of contingent assets and liabilities. In many instances, we could have reasonably used different accounting estimates. In other instances, changes in the accounting estimates from period to period are reasonably likely to occur. Accordingly, actual results could differ significantly from the estimates made by management. To the extent that there are material differences between these estimates and actual results, our future financial statement presentation of our financial condition or results of operations may be affected.</w:t>
      </w:r>
    </w:p>
    <w:p>
      <w:pPr>
        <w:spacing w:after="0" w:line="7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an ongoing basis, we evaluate our estimates, including those related to revenue recognition, provision for doubtful accounts and sales returns, provision for inventory obsolescence, fair value of investments, fair value of acquired intangible assets and goodwill, useful lives of intangible assets and property and equipment, income taxes, restructuring obligations, product warranty obligations, and contingencies and litigation, among others. We base our estimates on historical experience, our assessment of current factors impacting the estimates and on various other assumptions that are believed to be reasonable under the circumstances, the results of which form the basis for making judgments about the carrying values of assets and liabilities that are not readily apparent from other sources. We refer to accounting estimates of this type as “critical accounting estimates.”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Our Condensed Consolidated Financial Statements (Unaudited) and accompanying Notes are prepared in accordance with U.S. generally accepted accounting principles. Preparing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Note B — “Significant Accounting Policies” in our Notes to Consolidated Financial Statements included in our Fiscal 2008 Form 10-K. Critical accounting policies and estimates are those that require application of management’s most difficult, subjective or complex judgments, often as a result of matters that are inherently uncertain and may change in subsequent periods. Critical accounting policies and estimates for us include: (i) revenue recognition,</w:t>
      </w:r>
    </w:p>
    <w:p>
      <w:pPr>
        <w:spacing w:after="0" w:line="5" w:lineRule="exact"/>
        <w:rPr>
          <w:sz w:val="20"/>
          <w:szCs w:val="20"/>
          <w:color w:val="auto"/>
        </w:rPr>
      </w:pPr>
    </w:p>
    <w:p>
      <w:pPr>
        <w:ind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for excess and obsolete inventory losses, (iii) goodwill and intangible assets, and (iv) income taxes and tax valuation allowances. For additional discussion of our critical accounting policies and estimates, see our “Management’s Discussion and Analysis of Financial Condition and Results of Operations” in our Fiscal 2008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described in “Note B — Accounting Changes and Recent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use foreign exchange contracts to hedge both balance sheet and off-balance sheet future foreign currency commitments. Generally, these foreign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exchange contracts offset foreign currency denominated monetary assets and liabilities, including accounts receivable from customers and intercompany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customer orders in backlog and purchase commitments from suppliers. We believe the use of foreign currency financial instruments should reduce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risks that arise from doing business in international markets. As of April 3, 2009, we had open foreign exchange contracts with a notional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$73.4 million, of which $13.5 million were designated as cash flow hedges under Statement of Financial Accounting Standards No. 133 “Accounting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Instruments and Hedging Activities” (“Statement 133”) and $59.9 million were not designated as Statement 133 hedges. That compares with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contracts with a notional amount of $80.4 million as of June 27, 2008, of which $19.2 million were designated as Statement 133 cash flow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hedges and $61.2 million were not designated as Statement 133 hedges. As of April 3, 2009, contract expiration dates ranged from less than one month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four months with a weighted average contract life of approximately 1.4 months. The foreign exchange contracts designated as Statement 133 cash flow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have been used primarily to hedge currency exposures from customer orders currently in backlog that are denominated in non-functional currencies.</w:t>
      </w:r>
    </w:p>
    <w:p>
      <w:pPr>
        <w:spacing w:after="0" w:line="126"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As of April 3, 2009, we estimated that pre-tax income of $0.4 million would be reclassified into earnings from accumulated other comprehensive income within the next four months related to these cash flow hedges. The net gain or loss included in our earnings representing the amount of hedge ineffectiveness during the fiscal quarters ended April 3, 2009 and March 28, 2008 was not significant.</w:t>
      </w:r>
    </w:p>
    <w:p>
      <w:pPr>
        <w:spacing w:after="0" w:line="73"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recognize in earnings any portion of the change in fair value of a derivative which is assessed as ineffective in accordance with the provisions of Statement 133. The amount recognized in our earnings related to the component of the derivative instruments’ gain or loss excluded from the assessment of hedge effectiveness during each of the third quarters of fiscal 2009 and 2008 was less than a $0.1 million loss. The amount recognized in our earnings related to the component of the gain or loss on the derivative instrument excluded from the assessment of hedge effectiveness during the first three quarters of fiscal 2009 and 2008 was a $0.3 million loss and less than a $0.1 million gain. All of these derivatives were recorded at their fair value on our consolidated balance sheet in accordance with Statement 133. Factors that could impact the effectiveness of our hedging programs for foreign currency exposures include accuracy of exposure forecasts, volatility of currency markets and the cost and availability of hedging instruments.</w:t>
      </w:r>
    </w:p>
    <w:p>
      <w:pPr>
        <w:spacing w:after="0" w:line="59" w:lineRule="exact"/>
        <w:rPr>
          <w:sz w:val="20"/>
          <w:szCs w:val="20"/>
          <w:color w:val="auto"/>
        </w:rPr>
      </w:pPr>
    </w:p>
    <w:p>
      <w:pPr>
        <w:jc w:val="both"/>
        <w:ind w:right="160" w:firstLine="215"/>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April 3, 2009 would have an impact of approximately $5.4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exposure to market risk for changes in interest rates relates primarily to our cash equivalents, short-term investments and bank debt borrowings.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on Cash Equivalents and Short-term Investments</w:t>
      </w:r>
    </w:p>
    <w:p>
      <w:pPr>
        <w:spacing w:after="0" w:line="11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third party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investment policy specifically excludes investments in auction rate or asset backed securities. All money market funds we utilize at banks and financial institutions are rated as prime and subject to federal regulations governing such funds. The money market funds we invest in have not been revalued below $1 per share or experienced liquidity issues.</w:t>
      </w:r>
    </w:p>
    <w:p>
      <w:pPr>
        <w:spacing w:after="0" w:line="7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had $116.2 million in cash, cash equivalents and short-term investments as of April 3, 2009. Short-term investments were $0.6 million as of April 3, 2009. As of April 3, 2009, short-term investments had contractual maturities of 72 and 102 days.</w:t>
      </w:r>
    </w:p>
    <w:p>
      <w:pPr>
        <w:spacing w:after="0" w:line="62"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not been material. The weighted average days to maturity for our cash equivalents and short-term investments combined as of April 3, 2009 was 2.4 days, and these investments had an average yield of 0.68% per annum.</w:t>
      </w:r>
    </w:p>
    <w:p>
      <w:pPr>
        <w:spacing w:after="0" w:line="80" w:lineRule="exact"/>
        <w:rPr>
          <w:sz w:val="20"/>
          <w:szCs w:val="20"/>
          <w:color w:val="auto"/>
        </w:rPr>
      </w:pPr>
    </w:p>
    <w:p>
      <w:pPr>
        <w:ind w:right="360" w:firstLine="215"/>
        <w:spacing w:after="0" w:line="277" w:lineRule="auto"/>
        <w:rPr>
          <w:sz w:val="20"/>
          <w:szCs w:val="20"/>
          <w:color w:val="auto"/>
        </w:rPr>
      </w:pPr>
      <w:r>
        <w:rPr>
          <w:rFonts w:ascii="Arial" w:cs="Arial" w:eastAsia="Arial" w:hAnsi="Arial"/>
          <w:sz w:val="18"/>
          <w:szCs w:val="18"/>
          <w:color w:val="auto"/>
        </w:rPr>
        <w:t>As of April 3, 2009, unrealized losses on our investments were not significant. Cash equivalents and short-term investments have been recorded at fair value on our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Exposure on Bank Debt Borrowings</w:t>
      </w:r>
    </w:p>
    <w:p>
      <w:pPr>
        <w:spacing w:after="0" w:line="11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On June 30, 2008, we entered into a new revolving credit facility with two banks (the “New Facility”) for an initial committed amount of $70 million. As of that date, we repaid $8.8 million in long-term debt outstanding with the proceeds of a $10 million short-term borrowing under the New Facility. Under the New Facility, interest on our borrowings will be at either the greater of the bank’s prime rate or the Fed Funds rate plus 0.5% (for demand borrowings) or at LIBOR plus 1.25% (for fixed rate Eurodollar borrowings). We had $10 million in short-term borrowings under the New Facility as of April 3, 2009 bearing interest at LIBOR plus 1.25%. As of April 3, 2009, the weighted average interest rate on our short-term borrowings was 2.13%. A 10% change in interest rates on the current borrowings or on future borrowings are not expected to have a material impact on our financial position, results of operations or cash flows since interest on our short-term debt is not material to our overall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such term is defined in Exchange Act Rule 13a-15(f) and 15d-15(f).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(“COSO”).</w:t>
      </w:r>
    </w:p>
    <w:p>
      <w:pPr>
        <w:spacing w:after="0" w:line="6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Because of its inherent limitations, systems of internal control over financial reporting can provide only reasonable assurance with respect to financial statement preparation and presentation.</w:t>
      </w:r>
    </w:p>
    <w:p>
      <w:pPr>
        <w:spacing w:after="0" w:line="62" w:lineRule="exact"/>
        <w:rPr>
          <w:sz w:val="20"/>
          <w:szCs w:val="20"/>
          <w:color w:val="auto"/>
        </w:rPr>
      </w:pPr>
    </w:p>
    <w:p>
      <w:pPr>
        <w:ind w:right="300" w:firstLine="222"/>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the design and operation of certain of our disclosure controls and procedures were not effective as of April 3, 2009 because of the continued existence of the material weakness related to project cost variances and account reconciliations as described in Management’s Report on Internal Control Over Financial Reporting in Item 9A. Controls and Procedures in our Annual Report on Form 10-K for the year ended June 27, 2008 (“Management’s Report”).</w:t>
      </w:r>
    </w:p>
    <w:p>
      <w:pPr>
        <w:spacing w:after="0" w:line="85"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To address our material weaknesses related to project cost variances and account reconciliations, in September 2008, we began dedicating significant in-house and external resources to implement enhancements to remediate these material weaknesses. During the closing of our books for the quarter ended April 3, 2009, we performed additional account reconciliation procedures and reviews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address the risks associated with the material weaknesses. The material weaknesses will continue to exist until the following remediation steps are fully implemented: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Project Cost Variances</w:t>
      </w:r>
    </w:p>
    <w:p>
      <w:pPr>
        <w:spacing w:after="0" w:line="117"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Management will generate and review a project work in process exposure report each quarter to ensure work in process is properly relieved of costs.</w:t>
      </w:r>
    </w:p>
    <w:p>
      <w:pPr>
        <w:spacing w:after="0" w:line="140" w:lineRule="exact"/>
        <w:rPr>
          <w:rFonts w:ascii="Arial" w:cs="Arial" w:eastAsia="Arial" w:hAnsi="Arial"/>
          <w:sz w:val="16"/>
          <w:szCs w:val="16"/>
          <w:b w:val="1"/>
          <w:bCs w:val="1"/>
          <w:color w:val="auto"/>
        </w:rPr>
      </w:pPr>
    </w:p>
    <w:p>
      <w:pPr>
        <w:ind w:left="220" w:hanging="212"/>
        <w:spacing w:after="0" w:line="277"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will train the appropriate associates in the methods of review of the project costs and will create a high-level awareness of the importance of thorough project cost reviews.</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will ensure the timely closing of projects.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will ensure that project costs are properly reconciled and evaluated for aging balances on a quarterly basis.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 Reconciliations</w:t>
      </w:r>
    </w:p>
    <w:p>
      <w:pPr>
        <w:spacing w:after="0" w:line="117"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complete the on-going implementation of software tools to track the account reconciliation process.</w:t>
      </w:r>
    </w:p>
    <w:p>
      <w:pPr>
        <w:spacing w:after="0" w:line="117" w:lineRule="exact"/>
        <w:rPr>
          <w:rFonts w:ascii="Arial" w:cs="Arial" w:eastAsia="Arial" w:hAnsi="Arial"/>
          <w:sz w:val="18"/>
          <w:szCs w:val="18"/>
          <w:b w:val="1"/>
          <w:bCs w:val="1"/>
          <w:color w:val="auto"/>
        </w:rPr>
      </w:pPr>
    </w:p>
    <w:p>
      <w:pPr>
        <w:ind w:left="220" w:right="700" w:hanging="212"/>
        <w:spacing w:after="0" w:line="277" w:lineRule="auto"/>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institute the processes necessary to ensure the timely completion of account reconciliations supported by a sub-ledger or other independent documentation or calculation.</w:t>
      </w:r>
    </w:p>
    <w:p>
      <w:pPr>
        <w:spacing w:after="0" w:line="62" w:lineRule="exact"/>
        <w:rPr>
          <w:rFonts w:ascii="Arial" w:cs="Arial" w:eastAsia="Arial" w:hAnsi="Arial"/>
          <w:sz w:val="18"/>
          <w:szCs w:val="18"/>
          <w:b w:val="1"/>
          <w:bCs w:val="1"/>
          <w:color w:val="auto"/>
        </w:rPr>
      </w:pPr>
    </w:p>
    <w:p>
      <w:pPr>
        <w:ind w:left="220" w:right="240" w:hanging="212"/>
        <w:spacing w:after="0" w:line="277" w:lineRule="auto"/>
        <w:tabs>
          <w:tab w:leader="none" w:pos="2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will dedicate appropriate resources to ensure thorough and timely reviews of account reconciliations and resolution of aged balances and reconciling items.</w:t>
      </w:r>
    </w:p>
    <w:p>
      <w:pPr>
        <w:spacing w:after="0" w:line="6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effectiveness of these control changes has not been fully evaluated as of April 3,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discussed above, as of April 3, 2009, we identified material weaknesses in our internal control over project cost variances and account reconciliations.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addressing these material weaknesses and expect to have these material weaknesses remediated by July 3,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Except as otherwise discussed above, there have been no changes in our internal controls over financial reporting during the fiscal quarter ended April 3, 2009, that have materially affected, or are reasonably likely to materially affect, our internal controls over financial reporting.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Descriptions of our legal proceedings are contained in Part I, Item 1, Financial Statements — Notes to Condensed Consolidated Financial Statements — “Note 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Investors should carefully review and consider the information regarding certain factors which could materially affect our business, operating results, cash flows and financial condition set forth under Item 1A, Risk Factors, in our Fiscal 2008 Form 10-K and in our second quarter Form 10-Q.</w:t>
      </w:r>
    </w:p>
    <w:p>
      <w:pPr>
        <w:spacing w:after="0" w:line="38" w:lineRule="exact"/>
        <w:rPr>
          <w:sz w:val="20"/>
          <w:szCs w:val="20"/>
          <w:color w:val="auto"/>
        </w:rPr>
      </w:pPr>
    </w:p>
    <w:p>
      <w:pPr>
        <w:jc w:val="both"/>
        <w:ind w:firstLine="222"/>
        <w:spacing w:after="0" w:line="312" w:lineRule="auto"/>
        <w:rPr>
          <w:sz w:val="20"/>
          <w:szCs w:val="20"/>
          <w:color w:val="auto"/>
        </w:rPr>
      </w:pPr>
      <w:r>
        <w:rPr>
          <w:rFonts w:ascii="Arial" w:cs="Arial" w:eastAsia="Arial" w:hAnsi="Arial"/>
          <w:sz w:val="16"/>
          <w:szCs w:val="16"/>
          <w:color w:val="auto"/>
        </w:rPr>
        <w:t>We do not believe that there have been any other material additions or changes to the risk factors previously disclosed in our Fiscal 2008 Form 10-K and in our second quarter Form 10-Q,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April 16, 2009, we filed a Current Report on Form 8-K to disclose material impairments under Item 2.06, which report is incorporated by reference in partial response to this item, and which contained an estimate of the impairment charges. In Part I, Item 2. of this report, “Management’s Discussion and Analysis of Financial Condition and Results of Operations — Quarter Ended April 3, 2009 compared with Quarter Ended March 28, 2008”, we have disclosed the amounts of the impairment charges taken in the quarter ended April 3,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17"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13a-14(a)/15d-14(a)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Rule 13a-14(a)/15d-14(a) Certification of Chief Financial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 Section 1350 Certification of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 Section 1350 Certification of Chief Financial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720" w:type="dxa"/>
            <w:vAlign w:val="bottom"/>
            <w:gridSpan w:val="2"/>
          </w:tcPr>
          <w:p>
            <w:pPr>
              <w:ind w:left="2240"/>
              <w:spacing w:after="0"/>
              <w:rPr>
                <w:sz w:val="20"/>
                <w:szCs w:val="20"/>
                <w:color w:val="auto"/>
              </w:rPr>
            </w:pPr>
            <w:r>
              <w:rPr>
                <w:rFonts w:ascii="Arial" w:cs="Arial" w:eastAsia="Arial" w:hAnsi="Arial"/>
                <w:sz w:val="18"/>
                <w:szCs w:val="18"/>
                <w:color w:val="auto"/>
              </w:rPr>
              <w:t>HARRIS STRATEX NETWORKS, INC.</w:t>
            </w:r>
          </w:p>
        </w:tc>
        <w:tc>
          <w:tcPr>
            <w:tcW w:w="1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7720" w:type="dxa"/>
            <w:vAlign w:val="bottom"/>
            <w:gridSpan w:val="2"/>
          </w:tcPr>
          <w:p>
            <w:pPr>
              <w:ind w:left="2240"/>
              <w:spacing w:after="0"/>
              <w:rPr>
                <w:sz w:val="20"/>
                <w:szCs w:val="20"/>
                <w:color w:val="auto"/>
              </w:rPr>
            </w:pPr>
            <w:r>
              <w:rPr>
                <w:rFonts w:ascii="Arial" w:cs="Arial" w:eastAsia="Arial" w:hAnsi="Arial"/>
                <w:sz w:val="18"/>
                <w:szCs w:val="18"/>
                <w:color w:val="auto"/>
              </w:rPr>
              <w:t>(Registrant)</w:t>
            </w:r>
          </w:p>
        </w:tc>
        <w:tc>
          <w:tcPr>
            <w:tcW w:w="12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May 12, 2009</w:t>
            </w:r>
          </w:p>
        </w:tc>
        <w:tc>
          <w:tcPr>
            <w:tcW w:w="7720" w:type="dxa"/>
            <w:vAlign w:val="bottom"/>
            <w:gridSpan w:val="2"/>
          </w:tcPr>
          <w:p>
            <w:pPr>
              <w:ind w:left="2240"/>
              <w:spacing w:after="0"/>
              <w:rPr>
                <w:sz w:val="20"/>
                <w:szCs w:val="20"/>
                <w:color w:val="auto"/>
              </w:rPr>
            </w:pPr>
            <w:r>
              <w:rPr>
                <w:rFonts w:ascii="Arial" w:cs="Arial" w:eastAsia="Arial" w:hAnsi="Arial"/>
                <w:sz w:val="18"/>
                <w:szCs w:val="18"/>
                <w:color w:val="auto"/>
              </w:rPr>
              <w:t>By: /s/ J. Russell Mincey</w:t>
            </w:r>
          </w:p>
        </w:tc>
        <w:tc>
          <w:tcPr>
            <w:tcW w:w="12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 Russell Mincey</w:t>
            </w:r>
          </w:p>
        </w:tc>
        <w:tc>
          <w:tcPr>
            <w:tcW w:w="12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4"/>
              </w:rPr>
              <w:t>Interim Principal Accounting Officer and Global Corporate Controller</w:t>
            </w:r>
          </w:p>
        </w:tc>
        <w:tc>
          <w:tcPr>
            <w:tcW w:w="12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 and duly authorized officer)</w:t>
            </w:r>
          </w:p>
        </w:tc>
        <w:tc>
          <w:tcPr>
            <w:tcW w:w="120" w:type="dxa"/>
            <w:vAlign w:val="bottom"/>
          </w:tcPr>
          <w:p>
            <w:pPr>
              <w:spacing w:after="0"/>
              <w:rPr>
                <w:sz w:val="20"/>
                <w:szCs w:val="20"/>
                <w:color w:val="auto"/>
              </w:rPr>
            </w:pPr>
          </w:p>
        </w:tc>
      </w:tr>
      <w:tr>
        <w:trPr>
          <w:trHeight w:val="405"/>
        </w:trPr>
        <w:tc>
          <w:tcPr>
            <w:tcW w:w="3580" w:type="dxa"/>
            <w:vAlign w:val="bottom"/>
          </w:tcPr>
          <w:p>
            <w:pPr>
              <w:spacing w:after="0"/>
              <w:rPr>
                <w:sz w:val="24"/>
                <w:szCs w:val="24"/>
                <w:color w:val="auto"/>
              </w:rPr>
            </w:pP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46</w:t>
            </w: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jc w:val="right"/>
              <w:ind w:right="491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500" w:type="dxa"/>
            <w:vAlign w:val="bottom"/>
            <w:vMerge w:val="restart"/>
          </w:tcPr>
          <w:p>
            <w:pPr>
              <w:jc w:val="right"/>
              <w:ind w:right="4294"/>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Letter Regarding Unaudited Interim Financial Information.</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8500" w:type="dxa"/>
            <w:vAlign w:val="bottom"/>
          </w:tcPr>
          <w:p>
            <w:pPr>
              <w:jc w:val="right"/>
              <w:ind w:right="5474"/>
              <w:spacing w:after="0"/>
              <w:rPr>
                <w:sz w:val="20"/>
                <w:szCs w:val="20"/>
                <w:color w:val="auto"/>
              </w:rPr>
            </w:pPr>
            <w:r>
              <w:rPr>
                <w:rFonts w:ascii="Arial" w:cs="Arial" w:eastAsia="Arial" w:hAnsi="Arial"/>
                <w:sz w:val="18"/>
                <w:szCs w:val="18"/>
                <w:color w:val="auto"/>
                <w:w w:val="94"/>
              </w:rPr>
              <w:t>Certification of Chief Executive Officer.</w:t>
            </w: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89"/>
              </w:rPr>
              <w:t>Section 1350</w:t>
            </w:r>
          </w:p>
        </w:tc>
        <w:tc>
          <w:tcPr>
            <w:tcW w:w="8500" w:type="dxa"/>
            <w:vAlign w:val="bottom"/>
          </w:tcPr>
          <w:p>
            <w:pPr>
              <w:jc w:val="right"/>
              <w:ind w:right="5534"/>
              <w:spacing w:after="0"/>
              <w:rPr>
                <w:sz w:val="20"/>
                <w:szCs w:val="20"/>
                <w:color w:val="auto"/>
              </w:rPr>
            </w:pPr>
            <w:r>
              <w:rPr>
                <w:rFonts w:ascii="Arial" w:cs="Arial" w:eastAsia="Arial" w:hAnsi="Arial"/>
                <w:sz w:val="18"/>
                <w:szCs w:val="18"/>
                <w:color w:val="auto"/>
                <w:w w:val="94"/>
              </w:rPr>
              <w:t>Certification of Chief Financial Officer.</w:t>
            </w: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500" w:type="dxa"/>
            <w:vAlign w:val="bottom"/>
          </w:tcPr>
          <w:p>
            <w:pPr>
              <w:jc w:val="right"/>
              <w:ind w:right="55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Harris Stratex Networks, Inc.</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aware of the incorporation by reference in the Registration Statement Form S-8 (No. 333-140442) of Harris Stratex Networks, Inc. dated February 5, 2007 and Registration Statement Form S-3 (No. 333-140193) dated January 12, 2009 of Harris Stratex Networks, Inc. for the registration of 520,445 shares of its Class A Common Stock of our reports dated October 31, 2008, February 6, 2009, and May 8, 2009 relating to the unaudited condensed consolidated interim financial statements of Harris Stratex Networks, Inc. that are included in its Forms 10-Q for the quarters ended September 26, 2008, January 2, 2009, and April 3, 2009.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2009</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Harald J. Braun, President and Chief Executive Officer of Harris Stratex Networks, Inc., certify that:</w:t>
      </w:r>
    </w:p>
    <w:p>
      <w:pPr>
        <w:spacing w:after="0" w:line="11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3, 2009, of Harris Stratex Networks,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Dated: May 12, 2009</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Cronin III, Senior Vice President and Chief Financial Officer of Harris Stratex Networks, Inc., certify that:</w:t>
      </w:r>
    </w:p>
    <w:p>
      <w:pPr>
        <w:spacing w:after="0" w:line="11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3, 2009, of Harris Stratex Networks,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436"/>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Dated: May 12, 2009</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Cronin III</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Thomas L. Cronin III</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ectPr>
          <w:pgSz w:w="11900" w:h="16838" w:orient="portrait"/>
          <w:cols w:equalWidth="0" w:num="1">
            <w:col w:w="11420"/>
          </w:cols>
          <w:pgMar w:left="240" w:top="55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In connection with the filing of the Quarterly Report on Form 10-Q of Harris Stratex Networks, Inc. (“Harris Stratex”) for the fiscal quarter ended April 3, 2009, as filed with the Securities and Exchange Commission on the date hereof (the “Report”), the undersigned, Harald J. Braun, President and Chief Executive Officer of Harris Stratex, hereby certifies, pursuant to Section 906 of the Sarbanes-Oxley Act of 2002, 18 U.S.C. §1350, that:</w:t>
      </w:r>
    </w:p>
    <w:p>
      <w:pPr>
        <w:spacing w:after="0" w:line="5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340" w:right="2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Dated: May 12, 2009</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553"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color w:val="auto"/>
        </w:rPr>
        <w:t>In connection with the filing of the Quarterly Report on Form 10-Q of Harris Stratex Networks, Inc. (“Harris Stratex”) for the fiscal quarter ended April 3, 2009, as filed with the Securities and Exchange Commission on the date hereof (the “Report”), the undersigned, Thomas L. Cronan III, Senior Vice President and Chief Financial Officer of Harris Stratex, hereby certifies, pursuant to Section 906 of the Sarbanes-Oxley Act of 2002, 18 U.S.C. §1350, that:</w:t>
      </w:r>
    </w:p>
    <w:p>
      <w:pPr>
        <w:spacing w:after="0" w:line="3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340" w:right="2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Dated: May 12, 2009</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emdash "/>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Roman"/>
      <w:start w:val="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5"/>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2019-12-11T01:49:10Z</dcterms:created>
  <dcterms:modified xsi:type="dcterms:W3CDTF">2019-12-11T01:49:10Z</dcterms:modified>
</cp:coreProperties>
</file>