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191770</wp:posOffset>
            </wp:positionH>
            <wp:positionV relativeFrom="page">
              <wp:posOffset>688975</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603250</wp:posOffset>
            </wp:positionV>
            <wp:extent cx="7186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356235</wp:posOffset>
            </wp:positionV>
            <wp:extent cx="1286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36830</wp:posOffset>
            </wp:positionV>
            <wp:extent cx="1286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41"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81" w:lineRule="exact"/>
        <w:rPr>
          <w:sz w:val="24"/>
          <w:szCs w:val="24"/>
          <w:color w:val="auto"/>
        </w:rPr>
      </w:pPr>
    </w:p>
    <w:p>
      <w:pPr>
        <w:ind w:left="720" w:right="18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30, 2012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Large accelerated filer</w:t>
            </w:r>
          </w:p>
        </w:tc>
        <w:tc>
          <w:tcPr>
            <w:tcW w:w="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256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378"/>
        </w:trPr>
        <w:tc>
          <w:tcPr>
            <w:tcW w:w="2040" w:type="dxa"/>
            <w:vAlign w:val="bottom"/>
            <w:gridSpan w:val="2"/>
          </w:tcPr>
          <w:p>
            <w:pPr>
              <w:ind w:left="40"/>
              <w:spacing w:after="0"/>
              <w:rPr>
                <w:sz w:val="20"/>
                <w:szCs w:val="20"/>
                <w:color w:val="auto"/>
              </w:rPr>
            </w:pPr>
            <w:r>
              <w:rPr>
                <w:rFonts w:ascii="Arial" w:cs="Arial" w:eastAsia="Arial" w:hAnsi="Arial"/>
                <w:sz w:val="16"/>
                <w:szCs w:val="16"/>
                <w:color w:val="auto"/>
              </w:rPr>
              <w:t>Non-accelerated filer</w:t>
            </w:r>
          </w:p>
        </w:tc>
        <w:tc>
          <w:tcPr>
            <w:tcW w:w="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100"/>
              <w:spacing w:after="0"/>
              <w:rPr>
                <w:sz w:val="20"/>
                <w:szCs w:val="20"/>
                <w:color w:val="auto"/>
              </w:rPr>
            </w:pPr>
            <w:r>
              <w:rPr>
                <w:rFonts w:ascii="Arial" w:cs="Arial" w:eastAsia="Arial" w:hAnsi="Arial"/>
                <w:sz w:val="16"/>
                <w:szCs w:val="16"/>
                <w:color w:val="auto"/>
              </w:rPr>
              <w:t>(Do not check if a smaller reporting company)</w:t>
            </w:r>
          </w:p>
        </w:tc>
        <w:tc>
          <w:tcPr>
            <w:tcW w:w="256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392"/>
        </w:trPr>
        <w:tc>
          <w:tcPr>
            <w:tcW w:w="7480" w:type="dxa"/>
            <w:vAlign w:val="bottom"/>
            <w:gridSpan w:val="4"/>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 b-2 of the Exchange Act).</w:t>
            </w:r>
          </w:p>
        </w:tc>
        <w:tc>
          <w:tcPr>
            <w:tcW w:w="25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tc>
        <w:tc>
          <w:tcPr>
            <w:tcW w:w="1200" w:type="dxa"/>
            <w:vAlign w:val="bottom"/>
          </w:tcPr>
          <w:p>
            <w:pPr>
              <w:spacing w:after="0"/>
              <w:rPr>
                <w:sz w:val="24"/>
                <w:szCs w:val="24"/>
                <w:color w:val="auto"/>
              </w:rPr>
            </w:pPr>
          </w:p>
        </w:tc>
      </w:tr>
      <w:tr>
        <w:trPr>
          <w:trHeight w:val="333"/>
        </w:trPr>
        <w:tc>
          <w:tcPr>
            <w:tcW w:w="7480" w:type="dxa"/>
            <w:vAlign w:val="bottom"/>
            <w:gridSpan w:val="4"/>
          </w:tcPr>
          <w:p>
            <w:pPr>
              <w:spacing w:after="0"/>
              <w:rPr>
                <w:sz w:val="20"/>
                <w:szCs w:val="20"/>
                <w:color w:val="auto"/>
              </w:rPr>
            </w:pPr>
            <w:r>
              <w:rPr>
                <w:rFonts w:ascii="Arial" w:cs="Arial" w:eastAsia="Arial" w:hAnsi="Arial"/>
                <w:sz w:val="16"/>
                <w:szCs w:val="16"/>
                <w:color w:val="auto"/>
                <w:w w:val="93"/>
              </w:rPr>
              <w:t>The number of shares outstanding of the registrant’s Common Stock as of April 30, 2012 was 61,271,511 shares.</w:t>
            </w: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0"/>
        </w:trPr>
        <w:tc>
          <w:tcPr>
            <w:tcW w:w="4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15"/>
        </w:trPr>
        <w:tc>
          <w:tcPr>
            <w:tcW w:w="420" w:type="dxa"/>
            <w:vAlign w:val="bottom"/>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129" w:right="25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rPr>
              <w:t>AVIAT NETWORKS, INC.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w w:val="99"/>
              </w:rPr>
              <w:t>FORM 10-Q</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w w:val="93"/>
              </w:rPr>
              <w:t>For the Quarter Ended March 30, 2012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80" w:type="dxa"/>
            <w:vAlign w:val="bottom"/>
            <w:gridSpan w:val="5"/>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4"/>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8"/>
          </w:tcPr>
          <w:p>
            <w:pPr>
              <w:spacing w:after="0" w:line="189"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852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340" w:type="dxa"/>
            <w:vAlign w:val="bottom"/>
          </w:tcPr>
          <w:p>
            <w:pPr>
              <w:spacing w:after="0"/>
              <w:rPr>
                <w:sz w:val="22"/>
                <w:szCs w:val="22"/>
                <w:color w:val="auto"/>
              </w:rPr>
            </w:pPr>
          </w:p>
        </w:tc>
        <w:tc>
          <w:tcPr>
            <w:tcW w:w="10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Quarter and Three Quarters ended</w:t>
              </w:r>
            </w:hyperlink>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6680" w:type="dxa"/>
            <w:vAlign w:val="bottom"/>
            <w:tcBorders>
              <w:top w:val="single" w:sz="8" w:color="0000FF"/>
            </w:tcBorders>
            <w:gridSpan w:val="13"/>
          </w:tcPr>
          <w:p>
            <w:pPr>
              <w:ind w:left="2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March 30, 2012 and April 1, 2011</w:t>
              </w:r>
            </w:hyperlink>
          </w:p>
        </w:tc>
        <w:tc>
          <w:tcPr>
            <w:tcW w:w="3760" w:type="dxa"/>
            <w:vAlign w:val="bottom"/>
            <w:gridSpan w:val="3"/>
          </w:tcPr>
          <w:p>
            <w:pPr>
              <w:spacing w:after="0"/>
              <w:rPr>
                <w:sz w:val="17"/>
                <w:szCs w:val="17"/>
                <w:color w:val="auto"/>
              </w:rPr>
            </w:pPr>
          </w:p>
        </w:tc>
        <w:tc>
          <w:tcPr>
            <w:tcW w:w="5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30, 2012 and July 1, 2011</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Cash Flows for the Three Quarters ended March 30, 2012 and</w:t>
              </w:r>
            </w:hyperlink>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1160" w:type="dxa"/>
            <w:vAlign w:val="bottom"/>
            <w:gridSpan w:val="3"/>
          </w:tcPr>
          <w:p>
            <w:pPr>
              <w:ind w:left="220"/>
              <w:spacing w:after="0" w:line="19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April 1, 2011</w:t>
              </w:r>
            </w:hyperlink>
          </w:p>
        </w:tc>
        <w:tc>
          <w:tcPr>
            <w:tcW w:w="9280" w:type="dxa"/>
            <w:vAlign w:val="bottom"/>
            <w:gridSpan w:val="13"/>
          </w:tcPr>
          <w:p>
            <w:pPr>
              <w:spacing w:after="0"/>
              <w:rPr>
                <w:sz w:val="17"/>
                <w:szCs w:val="17"/>
                <w:color w:val="auto"/>
              </w:rPr>
            </w:pPr>
          </w:p>
        </w:tc>
        <w:tc>
          <w:tcPr>
            <w:tcW w:w="580" w:type="dxa"/>
            <w:vAlign w:val="bottom"/>
            <w:gridSpan w:val="4"/>
          </w:tcPr>
          <w:p>
            <w:pPr>
              <w:jc w:val="right"/>
              <w:ind w:righ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60" w:type="dxa"/>
            <w:vAlign w:val="bottom"/>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Notes to Condensed Consolidated Financial Statements (Unaudited)</w:t>
              </w:r>
            </w:hyperlink>
          </w:p>
        </w:tc>
        <w:tc>
          <w:tcPr>
            <w:tcW w:w="5580" w:type="dxa"/>
            <w:vAlign w:val="bottom"/>
            <w:gridSpan w:val="5"/>
          </w:tcPr>
          <w:p>
            <w:pPr>
              <w:spacing w:after="0"/>
              <w:rPr>
                <w:sz w:val="21"/>
                <w:szCs w:val="21"/>
                <w:color w:val="auto"/>
              </w:rPr>
            </w:pPr>
          </w:p>
        </w:tc>
        <w:tc>
          <w:tcPr>
            <w:tcW w:w="5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44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3. Quantitative and Qualitative Disclosures about Market Risk</w:t>
              </w:r>
            </w:hyperlink>
          </w:p>
        </w:tc>
        <w:tc>
          <w:tcPr>
            <w:tcW w:w="34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gridSpan w:val="8"/>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Item 4. Controls and Procedures</w:t>
              </w:r>
            </w:hyperlink>
          </w:p>
        </w:tc>
        <w:tc>
          <w:tcPr>
            <w:tcW w:w="2520" w:type="dxa"/>
            <w:vAlign w:val="bottom"/>
            <w:gridSpan w:val="3"/>
          </w:tcPr>
          <w:p>
            <w:pPr>
              <w:spacing w:after="0"/>
              <w:rPr>
                <w:sz w:val="21"/>
                <w:szCs w:val="21"/>
                <w:color w:val="auto"/>
              </w:rPr>
            </w:pPr>
          </w:p>
        </w:tc>
        <w:tc>
          <w:tcPr>
            <w:tcW w:w="55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1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6"/>
          </w:tcPr>
          <w:p>
            <w:pPr>
              <w:spacing w:after="0"/>
              <w:rPr>
                <w:rFonts w:ascii="Arial" w:cs="Arial" w:eastAsia="Arial" w:hAnsi="Arial"/>
                <w:sz w:val="18"/>
                <w:szCs w:val="18"/>
                <w:b w:val="1"/>
                <w:bCs w:val="1"/>
                <w:color w:val="0000FF"/>
                <w:w w:val="96"/>
              </w:rPr>
            </w:pPr>
            <w:hyperlink w:anchor="page28">
              <w:r>
                <w:rPr>
                  <w:rFonts w:ascii="Arial" w:cs="Arial" w:eastAsia="Arial" w:hAnsi="Arial"/>
                  <w:sz w:val="18"/>
                  <w:szCs w:val="18"/>
                  <w:b w:val="1"/>
                  <w:bCs w:val="1"/>
                  <w:color w:val="0000FF"/>
                  <w:w w:val="96"/>
                </w:rPr>
                <w:t>Part II. Other Information</w:t>
              </w:r>
            </w:hyperlink>
          </w:p>
        </w:tc>
        <w:tc>
          <w:tcPr>
            <w:tcW w:w="8720" w:type="dxa"/>
            <w:vAlign w:val="bottom"/>
            <w:gridSpan w:val="11"/>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900" w:type="dxa"/>
            <w:vAlign w:val="bottom"/>
            <w:gridSpan w:val="6"/>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Item 1. Legal Proceedings</w:t>
              </w:r>
            </w:hyperlink>
          </w:p>
        </w:tc>
        <w:tc>
          <w:tcPr>
            <w:tcW w:w="854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1A. Risk Factors</w:t>
              </w:r>
            </w:hyperlink>
          </w:p>
        </w:tc>
        <w:tc>
          <w:tcPr>
            <w:tcW w:w="300" w:type="dxa"/>
            <w:vAlign w:val="bottom"/>
            <w:gridSpan w:val="2"/>
          </w:tcPr>
          <w:p>
            <w:pPr>
              <w:spacing w:after="0"/>
              <w:rPr>
                <w:sz w:val="21"/>
                <w:szCs w:val="21"/>
                <w:color w:val="auto"/>
              </w:rPr>
            </w:pPr>
          </w:p>
        </w:tc>
        <w:tc>
          <w:tcPr>
            <w:tcW w:w="854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 Exhibits</w:t>
              </w:r>
            </w:hyperlink>
          </w:p>
        </w:tc>
        <w:tc>
          <w:tcPr>
            <w:tcW w:w="8840" w:type="dxa"/>
            <w:vAlign w:val="bottom"/>
            <w:gridSpan w:val="12"/>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780" w:type="dxa"/>
            <w:vAlign w:val="bottom"/>
            <w:gridSpan w:val="1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Signature</w:t>
              </w:r>
            </w:hyperlink>
          </w:p>
        </w:tc>
        <w:tc>
          <w:tcPr>
            <w:tcW w:w="580" w:type="dxa"/>
            <w:vAlign w:val="bottom"/>
            <w:gridSpan w:val="4"/>
          </w:tcPr>
          <w:p>
            <w:pPr>
              <w:jc w:val="right"/>
              <w:ind w:right="40"/>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b w:val="1"/>
                <w:bCs w:val="1"/>
                <w:color w:val="0000FF"/>
                <w:w w:val="92"/>
              </w:rPr>
            </w:pPr>
            <w:hyperlink w:anchor="page30">
              <w:r>
                <w:rPr>
                  <w:rFonts w:ascii="Arial" w:cs="Arial" w:eastAsia="Arial" w:hAnsi="Arial"/>
                  <w:sz w:val="18"/>
                  <w:szCs w:val="18"/>
                  <w:b w:val="1"/>
                  <w:bCs w:val="1"/>
                  <w:color w:val="0000FF"/>
                  <w:w w:val="92"/>
                </w:rPr>
                <w:t>Exhibit Index</w:t>
              </w:r>
            </w:hyperlink>
          </w:p>
        </w:tc>
        <w:tc>
          <w:tcPr>
            <w:tcW w:w="97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20"/>
        </w:trPr>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121" w:right="25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2012</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b w:val="1"/>
                <w:bCs w:val="1"/>
                <w:color w:val="auto"/>
              </w:rPr>
              <w:t>April 1, 2011</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30, 2012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291"/>
              <w:spacing w:after="0"/>
              <w:rPr>
                <w:sz w:val="20"/>
                <w:szCs w:val="20"/>
                <w:color w:val="auto"/>
              </w:rPr>
            </w:pPr>
            <w:r>
              <w:rPr>
                <w:rFonts w:ascii="Arial" w:cs="Arial" w:eastAsia="Arial" w:hAnsi="Arial"/>
                <w:sz w:val="14"/>
                <w:szCs w:val="14"/>
                <w:b w:val="1"/>
                <w:bCs w:val="1"/>
                <w:color w:val="auto"/>
              </w:rPr>
              <w:t>April 1, 2011</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248.7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169.9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Amortization of purchased technology</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229.1</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Amortization of identifiable intangible assets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(10.1) —</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(11.3) —</w:t>
            </w: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 —</w:t>
            </w:r>
          </w:p>
        </w:tc>
        <w:tc>
          <w:tcPr>
            <w:tcW w:w="1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(25.5) —</w:t>
            </w:r>
          </w:p>
        </w:tc>
        <w:tc>
          <w:tcPr>
            <w:tcW w:w="1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from</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Basic and diluted loss per common share from</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Basic and diluted weighted average shares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6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amounts)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2012</w:t>
            </w:r>
          </w:p>
        </w:tc>
        <w:tc>
          <w:tcPr>
            <w:tcW w:w="240" w:type="dxa"/>
            <w:vAlign w:val="bottom"/>
          </w:tcPr>
          <w:p>
            <w:pPr>
              <w:spacing w:after="0"/>
              <w:rPr>
                <w:sz w:val="16"/>
                <w:szCs w:val="16"/>
                <w:color w:val="auto"/>
              </w:rPr>
            </w:pPr>
          </w:p>
        </w:tc>
        <w:tc>
          <w:tcPr>
            <w:tcW w:w="1240" w:type="dxa"/>
            <w:vAlign w:val="bottom"/>
          </w:tcPr>
          <w:p>
            <w:pPr>
              <w:jc w:val="right"/>
              <w:ind w:right="290"/>
              <w:spacing w:after="0"/>
              <w:rPr>
                <w:sz w:val="20"/>
                <w:szCs w:val="20"/>
                <w:color w:val="auto"/>
              </w:rPr>
            </w:pPr>
            <w:r>
              <w:rPr>
                <w:rFonts w:ascii="Arial" w:cs="Arial" w:eastAsia="Arial" w:hAnsi="Arial"/>
                <w:sz w:val="14"/>
                <w:szCs w:val="14"/>
                <w:b w:val="1"/>
                <w:bCs w:val="1"/>
                <w:color w:val="auto"/>
              </w:rPr>
              <w:t>July 1, 2011</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r>
      <w:tr>
        <w:trPr>
          <w:trHeight w:val="237"/>
        </w:trPr>
        <w:tc>
          <w:tcPr>
            <w:tcW w:w="82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350.3</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Long-Term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Identifiable intangible assets, net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383.9</w:t>
            </w:r>
          </w:p>
        </w:tc>
      </w:tr>
      <w:tr>
        <w:trPr>
          <w:trHeight w:val="67"/>
        </w:trPr>
        <w:tc>
          <w:tcPr>
            <w:tcW w:w="8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preference shares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50.3</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82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380"/>
              <w:spacing w:after="0"/>
              <w:rPr>
                <w:sz w:val="20"/>
                <w:szCs w:val="20"/>
                <w:color w:val="auto"/>
              </w:rPr>
            </w:pPr>
            <w:r>
              <w:rPr>
                <w:rFonts w:ascii="Arial" w:cs="Arial" w:eastAsia="Arial" w:hAnsi="Arial"/>
                <w:sz w:val="18"/>
                <w:szCs w:val="18"/>
                <w:color w:val="auto"/>
              </w:rPr>
              <w:t>Common stock, 61,271,511 and 60,611,561 shares issued and outstanding at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20" w:type="dxa"/>
            <w:vAlign w:val="bottom"/>
          </w:tcPr>
          <w:p>
            <w:pPr>
              <w:ind w:left="620"/>
              <w:spacing w:after="0"/>
              <w:rPr>
                <w:sz w:val="20"/>
                <w:szCs w:val="20"/>
                <w:color w:val="auto"/>
              </w:rPr>
            </w:pPr>
            <w:r>
              <w:rPr>
                <w:rFonts w:ascii="Arial" w:cs="Arial" w:eastAsia="Arial" w:hAnsi="Arial"/>
                <w:sz w:val="18"/>
                <w:szCs w:val="18"/>
                <w:color w:val="auto"/>
              </w:rPr>
              <w:t>March 30, 2012 and July 1, 2011, respectively</w:t>
            </w:r>
          </w:p>
        </w:tc>
        <w:tc>
          <w:tcPr>
            <w:tcW w:w="2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(611.8)</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22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177.7</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5" w:right="259" w:bottom="107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07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right"/>
        <w:ind w:right="1000"/>
        <w:spacing w:after="0"/>
        <w:rPr>
          <w:sz w:val="20"/>
          <w:szCs w:val="20"/>
          <w:color w:val="auto"/>
        </w:rPr>
      </w:pPr>
      <w:r>
        <w:rPr>
          <w:rFonts w:ascii="Arial" w:cs="Arial" w:eastAsia="Arial" w:hAnsi="Arial"/>
          <w:sz w:val="14"/>
          <w:szCs w:val="14"/>
          <w:b w:val="1"/>
          <w:bCs w:val="1"/>
          <w:color w:val="auto"/>
        </w:rPr>
        <w:t>Three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60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Amortization of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Goodwill impairment charges</w:t>
      </w:r>
    </w:p>
    <w:p>
      <w:pPr>
        <w:spacing w:after="0" w:line="86" w:lineRule="exact"/>
        <w:rPr>
          <w:sz w:val="20"/>
          <w:szCs w:val="20"/>
          <w:color w:val="auto"/>
        </w:rPr>
      </w:pPr>
    </w:p>
    <w:p>
      <w:pPr>
        <w:ind w:left="920" w:right="2140" w:hanging="201"/>
        <w:spacing w:after="0" w:line="293" w:lineRule="auto"/>
        <w:rPr>
          <w:sz w:val="20"/>
          <w:szCs w:val="20"/>
          <w:color w:val="auto"/>
        </w:rPr>
      </w:pPr>
      <w:r>
        <w:rPr>
          <w:rFonts w:ascii="Arial" w:cs="Arial" w:eastAsia="Arial" w:hAnsi="Arial"/>
          <w:sz w:val="16"/>
          <w:szCs w:val="16"/>
          <w:color w:val="auto"/>
        </w:rPr>
        <w:t>Depreciation and amortization of property, plant and equipment and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auto"/>
        </w:rPr>
        <w:t>Bad debt expenses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Charges for inventory write-downs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on disposition of WiMAX business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on sale of NetBoss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Unbilled costs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Customer service inventories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Advance payments and unearned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payable or receivable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Restructuring liabilities and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operating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sale of NetBoss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disbursed related to sale of WiMAX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Additions of 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Additions of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short-term debt arrangement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short-term debt arrangement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stock-based compensation awards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Redemption of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 2012</w:t>
            </w:r>
          </w:p>
        </w:tc>
        <w:tc>
          <w:tcPr>
            <w:tcW w:w="280" w:type="dxa"/>
            <w:vAlign w:val="bottom"/>
          </w:tcPr>
          <w:p>
            <w:pPr>
              <w:spacing w:after="0"/>
              <w:rPr>
                <w:sz w:val="16"/>
                <w:szCs w:val="16"/>
                <w:color w:val="auto"/>
              </w:rPr>
            </w:pPr>
          </w:p>
        </w:tc>
        <w:tc>
          <w:tcPr>
            <w:tcW w:w="142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1, 2011</w:t>
            </w:r>
          </w:p>
        </w:tc>
      </w:tr>
      <w:tr>
        <w:trPr>
          <w:trHeight w:val="507"/>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(70.7)</w:t>
            </w:r>
          </w:p>
        </w:tc>
      </w:tr>
      <w:tr>
        <w:trPr>
          <w:trHeight w:val="540"/>
        </w:trPr>
        <w:tc>
          <w:tcPr>
            <w:tcW w:w="2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459"/>
        </w:trPr>
        <w:tc>
          <w:tcPr>
            <w:tcW w:w="2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6.8</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11.2</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540"/>
        </w:trPr>
        <w:tc>
          <w:tcPr>
            <w:tcW w:w="2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13.0</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12.2</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540"/>
        </w:trPr>
        <w:tc>
          <w:tcPr>
            <w:tcW w:w="2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540"/>
        </w:trPr>
        <w:tc>
          <w:tcPr>
            <w:tcW w:w="2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70"/>
        </w:trPr>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70"/>
        </w:trPr>
        <w:tc>
          <w:tcPr>
            <w:tcW w:w="2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141.7</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95.7</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420"/>
          </w:cols>
          <w:pgMar w:left="240" w:top="125" w:right="259" w:bottom="1440" w:gutter="0" w:footer="0" w:header="0"/>
          <w:type w:val="continuous"/>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00"/>
          </w:cols>
          <w:pgMar w:left="240" w:top="125" w:right="259" w:bottom="144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w:t>
      </w:r>
    </w:p>
    <w:p>
      <w:pPr>
        <w:spacing w:after="0" w:line="9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accompanying unaudited condensed consolidated financial statements of Aviat Networks, Inc. and its subsidiaries (“the Company” or “we”) have been prepared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three quarters ended March 30, 2012 (the “third quarter and first three quarters of fiscal 2012”) are not necessarily indicative of the results that may be expected for the full fiscal year or any subsequent period.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2011 (“Fiscal 2011 Form 10-K”).</w:t>
      </w:r>
    </w:p>
    <w:p>
      <w:pPr>
        <w:spacing w:after="0" w:line="11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three quarters of fiscal 2012 and 2011 were all 13-week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In the fourth quarter of fiscal 2011, we reclassified customer service parts, previously reported as a component of property, plant and equipment, as customer service inventories in our condensed consolidated balance sheets. Accordingly, expenses related to customer service inventories of $2.2 million for the first three quarters of fiscal 2011 have been reclassified in the condensed consolidated statements of cash flows from depreciation and amortization to inventory write-downs within the cash flows from operating activities section. In addition, the changes in customer service inventories of $2.4 million in the first three quarters of fiscal 2011 have been reclassified from changes in inventories in the condensed consolidated statements of cash flows.</w:t>
      </w:r>
    </w:p>
    <w:p>
      <w:pPr>
        <w:spacing w:after="0" w:line="10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Beginning in the third quarter of fiscal 2011, the results of the WiMAX business are presented as discontinued operations in our condensed consolidated financial statements. Fiscal 2011 year-to-date results have been reclassified to conform to current period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fair value of goodwill and intangible assets, valuation allowances for deferred tax assets, uncertainties in income taxes, restructuring obligations, product warranty obligations, share-based awards, contingencies and useful lives of intangible assets, property, plant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June 2011, the Financial Accounting Standards Board issued an accounting standards update on the presentation of comprehensive income, which eliminates the current option to report other comprehensive income and its components in the statement of stockholders’ equity. The new guidance requires an entity to present the total of comprehensive income, the components of net income, and the components of other comprehensive income either in a single continuous statement of comprehensive income or in two separate but consecutive statements. This new guidance is to be applied retrospectively and is effective for us beginning in our first quarter of fiscal 2013. The adoption of this new guidance will not impact our consolidated financial position or results of operations, as the guidance relates only to financial statement presentation.</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Divestiture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March 2011, our board of directors approved a plan for the sale of our WiMAX business. On September 2, 2011, we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six months from the date of closing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EION is also entitled to receive cash payments up to $2.0 million upon collections of certain WiMAX accounts receivable as of the date of close.</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From the third quarter of fiscal 2011, we began accounting for the WiMAX business as a discontinued operation. At July 1, 2011, the assets of the WiMAX business, including inventories of $7.0 million and equipment of $1.5 million, were adjusted to zero value which represented their estimated fair value less cost of disposition. At March 30, 2012 and July 1, 2011, our accrued liabilities related to the disposition of WiMAX business were $1.0 million and $0.3 million,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2012</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 2011</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2012</w:t>
            </w:r>
          </w:p>
        </w:tc>
        <w:tc>
          <w:tcPr>
            <w:tcW w:w="220" w:type="dxa"/>
            <w:vAlign w:val="bottom"/>
          </w:tcPr>
          <w:p>
            <w:pPr>
              <w:spacing w:after="0"/>
              <w:rPr>
                <w:sz w:val="22"/>
                <w:szCs w:val="22"/>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April 1, 2011</w:t>
            </w:r>
          </w:p>
        </w:tc>
      </w:tr>
      <w:tr>
        <w:trPr>
          <w:trHeight w:val="27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Loss from operations of WiMAX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loss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4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Goodwill and Long-Lived Assets</w:t>
      </w: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July 1, 2011, we had goodwill of $5.6 million related to our International reporting unit, which resulted from the acquisition of Telsima Corporation in fiscal 2009. In the second quarter of fiscal 2012, we concluded that a potential impairment of our goodwill existed due to a significant decline in our market capitalization; therefore we performed a goodwill impairment analysis during the quarter. Goodwill is tested for impairment using a two-step process: first, we determine if the carrying amount of any of our reporting units exceeds its fair value, which would indicate a potential impairment associated with that reporting unit. If we determine that a potential impairment exists, we then compare the implied fair value of the reporting unit with its carrying value to determine if there is an impairment loss.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part of step one, we determined the fair value of each of our reporting units utilizing both a discounted cash flow analysis and a market approach considering guideline company market multiples. Discount rates ranging from 23% to 26% were applied to the cash flows used in the discounted cash flow analysis. We also considered our market capitalization on the date of the analysis. Since the carrying value of the International reporting unit exceeded its fair value, we proceeded to step two of the goodwill impairment test. Step two involved assigning the estimated fair value from step one to the Company's identifiable assets, with any residual fair value assigned to goodwill. Based on the results of step two, we recorded a $5.6 million goodwill impairment charge in the second quarter of fiscal 2012.</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Before performing step one of the goodwill impairment test, we first evaluated our long-lived assets for impairment as the significant decline in our market capitalization indicated that the carrying value of the assets may not be recoverable. Our long-lived assets included identifiable intangible assets of $2.3 million and property, plant and equipment of $22.0 million. We determined the recoverability of the asset's carrying value by estimating the expected undiscounted future cash flows that are directly associated with and that are expected to arise as a direct result of the use of the assets. The results of our impairment test indicated no impairment related to the long-lived assets, as the estimated undiscounted cash flows exceeded their carrying value.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Accumulated Other Comprehensive Loss and Total Comprehensive Loss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Accumulated other comprehensive loss (“AOCL”) as of March 30, 2012 and July 1, 2011, and the changes in the components of AOCL,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0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3"/>
              </w:rPr>
              <w:t>Foreign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7"/>
              </w:rPr>
              <w:t>Currency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Translation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1100" w:type="dxa"/>
            <w:vAlign w:val="bottom"/>
            <w:tcBorders>
              <w:top w:val="single" w:sz="8" w:color="auto"/>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hedging activities</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March 30, 2012</w:t>
            </w:r>
          </w:p>
        </w:tc>
        <w:tc>
          <w:tcPr>
            <w:tcW w:w="1100" w:type="dxa"/>
            <w:vAlign w:val="bottom"/>
            <w:tcBorders>
              <w:top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comprehensive loss for the third quarter and first three quarters of fiscal 2012 and fiscal 2011 was comprised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2012</w:t>
            </w: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2011</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2012</w:t>
            </w:r>
          </w:p>
        </w:tc>
        <w:tc>
          <w:tcPr>
            <w:tcW w:w="200" w:type="dxa"/>
            <w:vAlign w:val="bottom"/>
          </w:tcPr>
          <w:p>
            <w:pPr>
              <w:spacing w:after="0"/>
              <w:rPr>
                <w:sz w:val="22"/>
                <w:szCs w:val="22"/>
                <w:color w:val="auto"/>
              </w:rPr>
            </w:pPr>
          </w:p>
        </w:tc>
        <w:tc>
          <w:tcPr>
            <w:tcW w:w="1160" w:type="dxa"/>
            <w:vAlign w:val="bottom"/>
          </w:tcPr>
          <w:p>
            <w:pPr>
              <w:jc w:val="right"/>
              <w:ind w:right="194"/>
              <w:spacing w:after="0"/>
              <w:rPr>
                <w:sz w:val="20"/>
                <w:szCs w:val="20"/>
                <w:color w:val="auto"/>
              </w:rPr>
            </w:pPr>
            <w:r>
              <w:rPr>
                <w:rFonts w:ascii="Arial" w:cs="Arial" w:eastAsia="Arial" w:hAnsi="Arial"/>
                <w:sz w:val="14"/>
                <w:szCs w:val="14"/>
                <w:b w:val="1"/>
                <w:bCs w:val="1"/>
                <w:color w:val="auto"/>
              </w:rPr>
              <w:t>April 1, 2011</w:t>
            </w:r>
          </w:p>
        </w:tc>
      </w:tr>
      <w:tr>
        <w:trPr>
          <w:trHeight w:val="250"/>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Net unrealized loss on hedging activities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Net Income (Loss) per Share of Common Stock</w:t>
      </w:r>
    </w:p>
    <w:p>
      <w:pPr>
        <w:spacing w:after="0" w:line="94"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Accounting Standard Codification ("ASC") subtopic 260-10, undistributed losses were not allocated to unvested restricted shares due to the fact that the unvested restricted shares are not contractually obligated to share in the losses of the company.</w:t>
      </w:r>
    </w:p>
    <w:p>
      <w:pPr>
        <w:spacing w:after="0" w:line="1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we incurred net loss for all periods in fiscal 2012 and fiscal 2011, potential dilutive securities from stock options, restricted shares and stock units have been excluded from the diluted net loss per share computations as their effect was anti-dilutive. Because the stock options’ exercise prices were greater than the average market price of our shares, the number of options excluded from the diluted loss per share calculations determined by applying the treasury stock method were not significant during all periods in fiscal 2012 and fiscal 2011.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6100" w:type="dxa"/>
            <w:vAlign w:val="bottom"/>
          </w:tcPr>
          <w:p>
            <w:pPr>
              <w:ind w:left="200"/>
              <w:spacing w:after="0"/>
              <w:rPr>
                <w:sz w:val="20"/>
                <w:szCs w:val="20"/>
                <w:color w:val="auto"/>
              </w:rPr>
            </w:pPr>
            <w:r>
              <w:rPr>
                <w:rFonts w:ascii="Arial" w:cs="Arial" w:eastAsia="Arial" w:hAnsi="Arial"/>
                <w:sz w:val="18"/>
                <w:szCs w:val="18"/>
                <w:b w:val="1"/>
                <w:bCs w:val="1"/>
                <w:color w:val="auto"/>
              </w:rPr>
              <w:t>Balance Sheet Components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Our receivables are summarized below:</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15"/>
        </w:trPr>
        <w:tc>
          <w:tcPr>
            <w:tcW w:w="1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2012</w:t>
            </w:r>
          </w:p>
        </w:tc>
        <w:tc>
          <w:tcPr>
            <w:tcW w:w="300" w:type="dxa"/>
            <w:vAlign w:val="bottom"/>
          </w:tcPr>
          <w:p>
            <w:pPr>
              <w:spacing w:after="0"/>
              <w:rPr>
                <w:sz w:val="24"/>
                <w:szCs w:val="24"/>
                <w:color w:val="auto"/>
              </w:rPr>
            </w:pPr>
          </w:p>
        </w:tc>
        <w:tc>
          <w:tcPr>
            <w:tcW w:w="1380" w:type="dxa"/>
            <w:vAlign w:val="bottom"/>
          </w:tcPr>
          <w:p>
            <w:pPr>
              <w:jc w:val="right"/>
              <w:ind w:right="393"/>
              <w:spacing w:after="0"/>
              <w:rPr>
                <w:sz w:val="20"/>
                <w:szCs w:val="20"/>
                <w:color w:val="auto"/>
              </w:rPr>
            </w:pPr>
            <w:r>
              <w:rPr>
                <w:rFonts w:ascii="Arial" w:cs="Arial" w:eastAsia="Arial" w:hAnsi="Arial"/>
                <w:sz w:val="14"/>
                <w:szCs w:val="14"/>
                <w:b w:val="1"/>
                <w:bCs w:val="1"/>
                <w:color w:val="auto"/>
              </w:rPr>
              <w:t>July 1, 2011</w:t>
            </w:r>
          </w:p>
        </w:tc>
      </w:tr>
      <w:tr>
        <w:trPr>
          <w:trHeight w:val="250"/>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Notes receivable due within one year</w:t>
            </w: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1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Less allowances for collection losses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1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110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regularly require letters of credit from some customers who request extended payment terms of up to one year or more, which we generally discount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Three Quarters Ended</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30, 2012</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2011</w:t>
            </w: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30, 2012</w:t>
            </w:r>
          </w:p>
        </w:tc>
        <w:tc>
          <w:tcPr>
            <w:tcW w:w="11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April 1, 2011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letters of credit being discounted</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50.7</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Our inventories are summarized below:</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March 30, 2012</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July 1, 2011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cost of sales included within finished products</w:t>
            </w: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7"/>
                <w:szCs w:val="17"/>
                <w:color w:val="auto"/>
              </w:rPr>
            </w:pPr>
          </w:p>
        </w:tc>
        <w:tc>
          <w:tcPr>
            <w:tcW w:w="4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recorded charges to adjust our inventories and customer service inventories to the lower of cost or market totaling $0.4 million and $5.7 million, respectively, for the third quarter of fiscal 2012 and fiscal 2011, and $3.0 million and $13.8 million, respectively, for the first three quarters of fiscal 2012 and fiscal 2011. These charges were primarily due to excess and obsolete inventory resulting from product transitioning and discontinuance.</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and the activity transfer was completed by the end of fiscal 2011. Accordingly, the costs associated with our internal operations organization are expensed as incurred. Gross margin in the first three quarters of fiscal 2011 was negatively impacted by the immediate expensing of $6.0 million of such costs that was previously capitalized.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 2012</w:t>
            </w:r>
          </w:p>
        </w:tc>
        <w:tc>
          <w:tcPr>
            <w:tcW w:w="280" w:type="dxa"/>
            <w:vAlign w:val="bottom"/>
          </w:tcPr>
          <w:p>
            <w:pPr>
              <w:spacing w:after="0"/>
              <w:rPr>
                <w:sz w:val="16"/>
                <w:szCs w:val="16"/>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July 1, 2011</w:t>
            </w:r>
          </w:p>
        </w:tc>
      </w:tr>
      <w:tr>
        <w:trPr>
          <w:trHeight w:val="250"/>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7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developed for internal use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$1.4 million and $2.8 million, respectively, during the third quarter of fiscal 2012 and fiscal 2011, and was $3.5 million and $6.8 million, respectively, during the first three quarters of fiscal 2012 and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three quarters of fiscal 2012 and fiscal 2011 were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Three Quarters Ended</w:t>
            </w:r>
          </w:p>
        </w:tc>
      </w:tr>
      <w:tr>
        <w:trPr>
          <w:trHeight w:val="263"/>
        </w:trPr>
        <w:tc>
          <w:tcPr>
            <w:tcW w:w="65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2012</w:t>
            </w:r>
          </w:p>
        </w:tc>
        <w:tc>
          <w:tcPr>
            <w:tcW w:w="300" w:type="dxa"/>
            <w:vAlign w:val="bottom"/>
          </w:tcPr>
          <w:p>
            <w:pPr>
              <w:spacing w:after="0"/>
              <w:rPr>
                <w:sz w:val="22"/>
                <w:szCs w:val="22"/>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1, 2011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Settlements made during the period</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Fair Value Measurements of Assets and Liabilities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5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March 30, 2012 and July 1, 2011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2012</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July 1, 2011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3"/>
                <w:szCs w:val="13"/>
                <w:color w:val="auto"/>
              </w:rPr>
            </w:pPr>
          </w:p>
        </w:tc>
        <w:tc>
          <w:tcPr>
            <w:tcW w:w="114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6"/>
                <w:szCs w:val="16"/>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6"/>
                <w:szCs w:val="16"/>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prime money market funds purchased from two major financial institutions. As of March 30, 2012 and July 1, 2011, these money market shares were valued at $1.00 net asset value per share by these financial institutions.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are classified within Level 2. Foreign currency forward contracts are valued using an income approach for the remaining term of the contract based on forward market rates less the contract rate multiplied by the notional amount. The amortized cost of short-term debt approximates fair value due to the variable interest rate under the arrangement applicable to such debt.</w:t>
      </w:r>
    </w:p>
    <w:p>
      <w:pPr>
        <w:spacing w:after="0" w:line="18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quarters of fiscal 2012 and fiscal 2011, we had no transfers between levels of the fair value hierarchy of our assets or liabilities measured at fair value.</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Redeemable Preference Shares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stockholder, Harris Corporation,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w:t>
      </w:r>
    </w:p>
    <w:p>
      <w:pPr>
        <w:sectPr>
          <w:pgSz w:w="11900" w:h="16838" w:orient="portrait"/>
          <w:cols w:equalWidth="0" w:num="1">
            <w:col w:w="11400"/>
          </w:cols>
          <w:pgMar w:left="240" w:top="125"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3,250 redeemable preference shares at face value to Harris.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redeemable preference shares represented less than a 1% interest in our Singapore subsidiary. The redeemable preference shares had an automatic redemption date of January 2017, which is 10 years from the date of issue. Preference dividends were cumulative and payable quarterly in cash at the rate of 12% per annum. Preference dividends totaling $0.1 million and $0.6 million, respectively, for the third quarter and first three quarters of fiscal 2012, and $0.2 million and $0.7 million, respectively, for the third quarter and first three quarters of fiscal 2011, were recorded as interest expense in the accompanying condensed consolidated statements of operations.</w:t>
      </w:r>
    </w:p>
    <w:p>
      <w:pPr>
        <w:spacing w:after="0" w:line="13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In an agreement dated June 30, 2011 by and among Harris, the Company and our Singapore subsidiary, we agreed to redeem the shares on the fifth anniversary of the date of issuance, which was January 30, 2012, at the stated redemption amount of 105% of their face value. In consideration for the early redemption, Harris agreed to waive the 5% premium for the amount that would otherwise be payable to them and to reimburse us for the 5% premium that is payable to the remaining stockholder. Accordingly, the $8.25 million redemption price for these shares was classified as a current liability as of July 1, 2011. On January 30, 2012, the preference shares were redeemed in accordance with the provisions of the redemption agreement and we funded the redemption with proceeds of $8.25 million from a two-year term loan under our credit facility with Silicon Valley Bank as mentioned in Note 9 below.</w:t>
      </w:r>
    </w:p>
    <w:p>
      <w:pPr>
        <w:spacing w:after="0" w:line="3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Credit Facility and Debt</w:t>
      </w:r>
    </w:p>
    <w:p>
      <w:pPr>
        <w:spacing w:after="0" w:line="94"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Our outstanding short-term debt was $6.0 million as of March 30, 2012 and July 1, 2011. On January 30, 2012, we drew down an $8.25 million long-term loan under our credit facility with Silicon Valley Bank ("SVB"). The long-term loan was for two years maturing on January 31, 2014 and provided for 24 equal monthly principal payments. As of March 30, 2012, $7.9 million in principal was outstanding, of which $4.1 million was classified as current and $3.8 million as a long-term liability.</w:t>
      </w:r>
    </w:p>
    <w:p>
      <w:pPr>
        <w:spacing w:after="0" w:line="13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quarter ended October 1, 2010, we terminated our previous credit facility with two commercial banks and entered into a new $40.0 million credit facility with SVB for an initial term of one year expiring on September 30, 2011. Prior to September 30, 2011, the availability of the facility was extended and on November 2, 2011 the facility was amended to expire on February 28, 2014 and provide for a two-year term loan for up to $8.25 million that we used to fund the redemption of the preference shares issued by our Singapore subsidiary on January 30, 2012 .</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current credit facility provides for a committed amount of $40.0 million. The facility provides for (1) demand borrowings (with no stated maturity date); (2) fixed term Eurodollar loans for up to six months, (3) the two-year term loan in the initial amount of $8.25 million drawn down on January 30, 2012, and (4) the issuance of standby or commercial letters of credit. As of March 30, 2012, available credit under this credit facility was $19.0 million reflecting borrowings of $13.9 million and outstanding letters of credit of $7.1 million.</w:t>
      </w:r>
    </w:p>
    <w:p>
      <w:pPr>
        <w:spacing w:after="0" w:line="13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Demand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As of March 30, 2012. the weighted average interest rate on our short-term borrowings was 3.25%. The two-year term loan is at a fixed interest rate of 5% per annum and provides for equal monthly payments of principal. The facility contains a minimum liquidity ratio covenant and a minimum profitability covenant. As of March 30, 2012, we were in compliance with these financial covenants. Certain of our assets, including accounts receivable, inventory, and equipment, are pledged as collateral for the credit facility. Pursuant to the loan and security agreement, if a material adverse event occurs, as determined by SVB in its judgment, all obligations in connection with the agreement would be immediately due and payable.</w:t>
      </w:r>
    </w:p>
    <w:p>
      <w:pPr>
        <w:spacing w:after="0" w:line="112"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also have an uncommitted short-term line of credit of $0.4 million from a bank in New Zealand to support the operations of our subsidiary located there. This line of credit provides for short-term advances at various interest rates and the issuance of standby letters of credit and company credit cards. This facility may be terminated upon notice, is reviewed annually for renewal or modification, and is supported by a corporate guarantee.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Plan</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The following table summarizes our costs incurred during the third quarter and first three quarters of fiscal 2012 and fiscal 2011, estimated additional costs to be incurred and estimated total costs expected to be incurred as of March 30, 2012 under the Fiscal 2011 Plan: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Costs Incurred During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Costs Incurred During</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right"/>
              <w:ind w:right="193"/>
              <w:spacing w:after="0" w:line="149" w:lineRule="exact"/>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Three Quarters Ended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Costs Incurred</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50"/>
        </w:trPr>
        <w:tc>
          <w:tcPr>
            <w:tcW w:w="26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4"/>
                <w:szCs w:val="4"/>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60" w:type="dxa"/>
            <w:vAlign w:val="bottom"/>
          </w:tcPr>
          <w:p>
            <w:pPr>
              <w:spacing w:after="0"/>
              <w:rPr>
                <w:sz w:val="4"/>
                <w:szCs w:val="4"/>
                <w:color w:val="auto"/>
              </w:rPr>
            </w:pPr>
          </w:p>
        </w:tc>
        <w:tc>
          <w:tcPr>
            <w:tcW w:w="1200" w:type="dxa"/>
            <w:vAlign w:val="bottom"/>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2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30, 2012</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April 1, 2011</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30, 2012</w:t>
            </w: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30, 2012</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2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0.9</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7"/>
        </w:trPr>
        <w:tc>
          <w:tcPr>
            <w:tcW w:w="26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6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7"/>
        </w:trPr>
        <w:tc>
          <w:tcPr>
            <w:tcW w:w="26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Totals for Fiscal 2011 Plan</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the first three quarters of fiscal 2012, we continued executing restructuring activities to reduce our operating costs worldwide under the Fiscal 2011 Plan. The $1.3 million facilities charges primarily related to the sublease and relocation of our Morrisville, North Carolina office and Montreal office during the period.</w:t>
      </w:r>
    </w:p>
    <w:p>
      <w:pPr>
        <w:spacing w:after="0" w:line="12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first three quarters of fiscal 2011, our severance and benefits charges under the Fiscal 2011 Plan for North America segment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segment related primarily to reductions in personnel located in our field offices during the first three quarters of fiscal 2011.</w:t>
      </w:r>
    </w:p>
    <w:p>
      <w:pPr>
        <w:spacing w:after="0" w:line="11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As of March 30, 2012, we have substantially completed our initiatives under the Fiscal 2011 Plan and expect to wind down certain remaining restructuring activities in fiscal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 Plan</w:t>
      </w:r>
    </w:p>
    <w:p>
      <w:pPr>
        <w:spacing w:after="0" w:line="90"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During the first quarter of fiscal 2009, we announced a restructuring plan (the “Fiscal 2009 Plan”) to reduce our worldwide workforce in the U.S., France, Canada and other locations throughout the world. The Fiscal 2009 Plan also included the restructure and transition of our North America manufacturing operations and global supply chain operations. The Fiscal 2009 Plan has been completed as of the end of fiscal 2011. We did not incur restructuring costs related to the Fiscal 2009 Plan in fiscal 2012 and do not expect to incur future restructuring costs related to the Fiscal 2009 Plan.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costs incurred during the third quarter and first three quarters of fiscal 2011 and total costs incurred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2009 Plan:</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Costs Incurred During</w:t>
            </w:r>
          </w:p>
        </w:tc>
        <w:tc>
          <w:tcPr>
            <w:tcW w:w="300" w:type="dxa"/>
            <w:vAlign w:val="bottom"/>
          </w:tcPr>
          <w:p>
            <w:pPr>
              <w:spacing w:after="0"/>
              <w:rPr>
                <w:sz w:val="12"/>
                <w:szCs w:val="12"/>
                <w:color w:val="auto"/>
              </w:rPr>
            </w:pPr>
          </w:p>
        </w:tc>
        <w:tc>
          <w:tcPr>
            <w:tcW w:w="16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Restructuring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Three Quarters Ended</w:t>
            </w:r>
          </w:p>
        </w:tc>
        <w:tc>
          <w:tcPr>
            <w:tcW w:w="300" w:type="dxa"/>
            <w:vAlign w:val="bottom"/>
          </w:tcPr>
          <w:p>
            <w:pPr>
              <w:spacing w:after="0"/>
              <w:rPr>
                <w:sz w:val="12"/>
                <w:szCs w:val="12"/>
                <w:color w:val="auto"/>
              </w:rPr>
            </w:pPr>
          </w:p>
        </w:tc>
        <w:tc>
          <w:tcPr>
            <w:tcW w:w="16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4"/>
              </w:rPr>
              <w:t>(Completed in</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1, 2011</w:t>
            </w:r>
          </w:p>
        </w:tc>
        <w:tc>
          <w:tcPr>
            <w:tcW w:w="16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1, 2011</w:t>
            </w: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Q4 Fiscal 2011)</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Severance and benefits</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Facilities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Totals for Fiscal 2009 Plan</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first three quarters of fiscal 2011, our restructuring charges related to the Fiscal 2009 Plan primarily consisted of the severance and benefits charges for reductions in force in our San Antonio manufacturing facilities and other locations throughout the world.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Liabilities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activities during the first three quarters of fiscal 2012 and restructuring liability as of March 30,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tcPr>
          <w:p>
            <w:pPr>
              <w:jc w:val="center"/>
              <w:ind w:left="341"/>
              <w:spacing w:after="0"/>
              <w:rPr>
                <w:sz w:val="20"/>
                <w:szCs w:val="20"/>
                <w:color w:val="auto"/>
              </w:rPr>
            </w:pPr>
            <w:r>
              <w:rPr>
                <w:rFonts w:ascii="Arial" w:cs="Arial" w:eastAsia="Arial" w:hAnsi="Arial"/>
                <w:sz w:val="14"/>
                <w:szCs w:val="14"/>
                <w:b w:val="1"/>
                <w:bCs w:val="1"/>
                <w:color w:val="auto"/>
                <w:w w:val="88"/>
              </w:rPr>
              <w:t>Severance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Facilities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080" w:type="dxa"/>
            <w:vAlign w:val="bottom"/>
          </w:tcPr>
          <w:p>
            <w:pPr>
              <w:jc w:val="center"/>
              <w:ind w:left="341"/>
              <w:spacing w:after="0"/>
              <w:rPr>
                <w:sz w:val="20"/>
                <w:szCs w:val="20"/>
                <w:color w:val="auto"/>
              </w:rPr>
            </w:pPr>
            <w:r>
              <w:rPr>
                <w:rFonts w:ascii="Arial" w:cs="Arial" w:eastAsia="Arial" w:hAnsi="Arial"/>
                <w:sz w:val="14"/>
                <w:szCs w:val="14"/>
                <w:b w:val="1"/>
                <w:bCs w:val="1"/>
                <w:color w:val="auto"/>
                <w:w w:val="90"/>
              </w:rPr>
              <w:t>Benefits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as of July 1, 2011</w:t>
            </w:r>
          </w:p>
        </w:tc>
        <w:tc>
          <w:tcPr>
            <w:tcW w:w="1080" w:type="dxa"/>
            <w:vAlign w:val="bottom"/>
            <w:tcBorders>
              <w:top w:val="single" w:sz="8" w:color="auto"/>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liability as of March 30, 2012</w:t>
            </w: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restructuring liability</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restructuring liability</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Share-Based Compensation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compensation expense for share-based awards was included in our condensed consolidated statements of operations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9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March 30, 2012</w:t>
            </w:r>
          </w:p>
        </w:tc>
        <w:tc>
          <w:tcPr>
            <w:tcW w:w="1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2011</w:t>
            </w:r>
          </w:p>
        </w:tc>
        <w:tc>
          <w:tcPr>
            <w:tcW w:w="14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March 30, 2012</w:t>
            </w:r>
          </w:p>
        </w:tc>
        <w:tc>
          <w:tcPr>
            <w:tcW w:w="160" w:type="dxa"/>
            <w:vAlign w:val="bottom"/>
          </w:tcPr>
          <w:p>
            <w:pPr>
              <w:spacing w:after="0"/>
              <w:rPr>
                <w:sz w:val="22"/>
                <w:szCs w:val="22"/>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April 1, 2011</w:t>
            </w:r>
          </w:p>
        </w:tc>
      </w:tr>
      <w:tr>
        <w:trPr>
          <w:trHeight w:val="189"/>
        </w:trPr>
        <w:tc>
          <w:tcPr>
            <w:tcW w:w="59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40" w:type="dxa"/>
            <w:vAlign w:val="bottom"/>
          </w:tcPr>
          <w:p>
            <w:pPr>
              <w:spacing w:after="0"/>
              <w:rPr>
                <w:sz w:val="20"/>
                <w:szCs w:val="20"/>
                <w:color w:val="auto"/>
              </w:rPr>
            </w:pPr>
          </w:p>
        </w:tc>
        <w:tc>
          <w:tcPr>
            <w:tcW w:w="58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 net of zero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56"/>
        </w:trPr>
        <w:tc>
          <w:tcPr>
            <w:tcW w:w="59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43"/>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 net of zero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November 2011, our shareholders approved an increase in the number of shares of common stock authorized for</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issuance under the Company's 2007 Stock Equity Plan from 10,400,000 to 16,400,000 shares. In February 2012, our board of directors approved the 2012 Global Equity Program ("GEP") under the 2007 Stock Equity Plan to grant share-based awards to employees who are not eligible for the Long-Term Incentive Program. In the third quarter of fiscal 2012, we granted options to purchase 800,500 shares of our common stock and 167,750 shares of performance units under the GEP. Stock options under the GEP vest one-fourth annually over a four-year period from the date of grant. Vesting of performance units under the GEP is subject to performance criteria related to the Company's fiscal 2012 revenue and operating results.</w:t>
      </w:r>
    </w:p>
    <w:p>
      <w:pPr>
        <w:spacing w:after="0" w:line="11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first three quarters of fiscal 2012, we granted options to purchase 2,937,210 shares of our common stock and awarded 1,029,686 shares of restricted stock and units and 828,826 shares of performance award and units to employees under our 2007 Stock Equity Plan. During the first three quarters of fiscal 2012, 100,763 shares of performance share awards and 21,722 shares of performance share units were vested upon achievement of a new product development milestone during the first quarter of fiscal 2012.</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fair value of each share subject to an option grant was estimated on the date of grant using the Black-Scholes-Merton option-pricing model based on the following weighted average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42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April 1, 2011</w:t>
            </w:r>
          </w:p>
        </w:tc>
        <w:tc>
          <w:tcPr>
            <w:tcW w:w="2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1, 2011</w:t>
            </w: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4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7"/>
        </w:trPr>
        <w:tc>
          <w:tcPr>
            <w:tcW w:w="3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940" w:type="dxa"/>
            <w:vAlign w:val="bottom"/>
          </w:tcPr>
          <w:p>
            <w:pPr>
              <w:jc w:val="right"/>
              <w:ind w:right="115"/>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4.35</w:t>
            </w:r>
          </w:p>
        </w:tc>
      </w:tr>
      <w:tr>
        <w:trPr>
          <w:trHeight w:val="27"/>
        </w:trPr>
        <w:tc>
          <w:tcPr>
            <w:tcW w:w="3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per share on date of grant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37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As of March 30, 2012, there was $8.0 million of total unrecognized compensation expense related to nonvested stock options and restricted stock awards and units granted under our 2007 Stock Equity Plan. This expense is expected to be recognized over a weighted-average period of 1.95 years.</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Major Customer and Business Segments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third quarter and first three quarters of fiscal 2012, one International segment customer, Mobile Telephone Networks group (“MTN Group”) in Africa, accounted for 18.1% and 15.0%, respectively, of our total revenue. MTN Group is an affiliated group of separate regional carriers and operators located in Africa. During the third quarter of fiscal 2011, MTN Group accounted for 11.3% of our total revenue. During the first three quarters of fiscal 2011, none of our customers accounted for 10% or more of revenue.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and operating income (loss) by segment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264"/>
        </w:trPr>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2012</w:t>
            </w: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2011</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2012</w:t>
            </w:r>
          </w:p>
        </w:tc>
        <w:tc>
          <w:tcPr>
            <w:tcW w:w="220" w:type="dxa"/>
            <w:vAlign w:val="bottom"/>
          </w:tcPr>
          <w:p>
            <w:pPr>
              <w:spacing w:after="0"/>
              <w:rPr>
                <w:sz w:val="22"/>
                <w:szCs w:val="22"/>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b w:val="1"/>
                <w:bCs w:val="1"/>
                <w:color w:val="auto"/>
              </w:rPr>
              <w:t>April 1, 2011</w:t>
            </w:r>
          </w:p>
        </w:tc>
        <w:tc>
          <w:tcPr>
            <w:tcW w:w="0" w:type="dxa"/>
            <w:vAlign w:val="bottom"/>
          </w:tcPr>
          <w:p>
            <w:pPr>
              <w:spacing w:after="0"/>
              <w:rPr>
                <w:sz w:val="1"/>
                <w:szCs w:val="1"/>
                <w:color w:val="auto"/>
              </w:rPr>
            </w:pPr>
          </w:p>
        </w:tc>
      </w:tr>
      <w:tr>
        <w:trPr>
          <w:trHeight w:val="250"/>
        </w:trPr>
        <w:tc>
          <w:tcPr>
            <w:tcW w:w="1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International</w:t>
            </w:r>
          </w:p>
        </w:tc>
        <w:tc>
          <w:tcPr>
            <w:tcW w:w="3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7"/>
        </w:trPr>
        <w:tc>
          <w:tcPr>
            <w:tcW w:w="13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67"/>
        </w:trPr>
        <w:tc>
          <w:tcPr>
            <w:tcW w:w="130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93"/>
              </w:rPr>
              <w:t>Operating Loss</w:t>
            </w:r>
          </w:p>
        </w:tc>
        <w:tc>
          <w:tcPr>
            <w:tcW w:w="3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International</w:t>
            </w:r>
          </w:p>
        </w:tc>
        <w:tc>
          <w:tcPr>
            <w:tcW w:w="3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Total operating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Note 13.</w:t>
            </w:r>
          </w:p>
        </w:tc>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36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300" w:type="dxa"/>
            <w:vAlign w:val="bottom"/>
            <w:vMerge w:val="continue"/>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determination of our provision for income taxes for the third quarter and first three quarters of fiscal 2012 and fiscal 2011 was primarily based on our estimated annual effective tax rate adjusted for losses in separate jurisdictions for which no tax benefit can be recognized.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w:t>
      </w:r>
    </w:p>
    <w:p>
      <w:pPr>
        <w:sectPr>
          <w:pgSz w:w="11900" w:h="16838" w:orient="portrait"/>
          <w:cols w:equalWidth="0" w:num="1">
            <w:col w:w="11360"/>
          </w:cols>
          <w:pgMar w:left="240" w:top="125"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125" w:right="2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income taxes at different statutory rates and certain jurisdictions where we cannot recognize tax benefits on current losses. We accrued tax expenses for foreign jurisdictions that are anticipated to be profitable for fiscal 2012.</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no additional amount for such interest during the third quarter and first three quarters of fiscal 2012 and fiscal 2011. No penalties have been accrued on any of the unrecognized tax benefits.</w:t>
      </w:r>
    </w:p>
    <w:p>
      <w:pPr>
        <w:spacing w:after="0" w:line="12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 due to the full valuation allowance in various jurisdictions.</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Poland, Nigeria, France, U.K. and Australia. The earliest years still open and subject to potential audits for these jurisdictions are as follows: US — 2003; Singapore — 2005; Poland — 2006; Nigeria — 2004; France — 2008; U.K. — 2010; and Australia — 2007. For other foreign jurisdictions, the earliest years still open and subject to potential audits vary from year 2006 to year 2011. In the current quarter, the Inland Revenue Authority of Singapore started a compliance review of our Singapore subsidiary for fiscal years of 2007 through 2009.</w:t>
      </w:r>
    </w:p>
    <w:p>
      <w:pPr>
        <w:spacing w:after="0" w:line="3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Operating Lease Commitments</w:t>
      </w:r>
    </w:p>
    <w:p>
      <w:pPr>
        <w:spacing w:after="0" w:line="94"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March 30, 2012, future minimum lease payments for our headquarters total $20.5 million through April 2020.</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March 30, 2012, our future minimum commitments, net of $1.7 million non-cancelable subleases, for all non-cancelable operating leases with an initial lease term in excess of one year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197"/>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20" w:type="dxa"/>
            <w:vAlign w:val="bottom"/>
          </w:tcPr>
          <w:p>
            <w:pPr>
              <w:spacing w:after="0"/>
              <w:rPr>
                <w:sz w:val="17"/>
                <w:szCs w:val="17"/>
                <w:color w:val="auto"/>
              </w:rPr>
            </w:pPr>
          </w:p>
        </w:tc>
        <w:tc>
          <w:tcPr>
            <w:tcW w:w="1220" w:type="dxa"/>
            <w:vAlign w:val="bottom"/>
          </w:tcPr>
          <w:p>
            <w:pPr>
              <w:jc w:val="right"/>
              <w:ind w:right="2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$2.3 million and $3.0 million in the third quarter of fiscal 2012 and 2011, respectively, and $7.0 million and $8.9 million in the first three quarters of fiscal 2012 and 2011, respectively.</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product costs, operating expenses and intercompany transactions. As of March 30, 2012, hedged transactions included our customer and intercompany backlog and outstanding purchase commitments denominated primarily in the Australian dollar, Euro and Polish zloty. These derivatives are designated as cash flow hedges and typically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have maturities from one to three months with a maximum of six months, which in general closely match the underlying forecasted transaction in duration.</w:t>
      </w:r>
    </w:p>
    <w:p>
      <w:pPr>
        <w:spacing w:after="0" w:line="1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As of March 30, 2012, it is expected that $0.2 million of derivative net gain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13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March 30, 2012 and July 1, 2011:</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30, 2012</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9"/>
              </w:rPr>
              <w:t>July 1, 2011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0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92"/>
              </w:rPr>
              <w:t>Local</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62"/>
              <w:spacing w:after="0" w:line="153" w:lineRule="exact"/>
              <w:rPr>
                <w:sz w:val="20"/>
                <w:szCs w:val="20"/>
                <w:color w:val="auto"/>
              </w:rPr>
            </w:pPr>
            <w:r>
              <w:rPr>
                <w:rFonts w:ascii="Arial" w:cs="Arial" w:eastAsia="Arial" w:hAnsi="Arial"/>
                <w:sz w:val="14"/>
                <w:szCs w:val="14"/>
                <w:b w:val="1"/>
                <w:bCs w:val="1"/>
                <w:color w:val="auto"/>
                <w:w w:val="92"/>
              </w:rPr>
              <w:t>Notional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Local</w:t>
            </w:r>
          </w:p>
        </w:tc>
        <w:tc>
          <w:tcPr>
            <w:tcW w:w="400" w:type="dxa"/>
            <w:vAlign w:val="bottom"/>
          </w:tcPr>
          <w:p>
            <w:pPr>
              <w:spacing w:after="0"/>
              <w:rPr>
                <w:sz w:val="13"/>
                <w:szCs w:val="13"/>
                <w:color w:val="auto"/>
              </w:rPr>
            </w:pPr>
          </w:p>
        </w:tc>
        <w:tc>
          <w:tcPr>
            <w:tcW w:w="1080" w:type="dxa"/>
            <w:vAlign w:val="bottom"/>
          </w:tcPr>
          <w:p>
            <w:pPr>
              <w:jc w:val="center"/>
              <w:ind w:right="314"/>
              <w:spacing w:after="0" w:line="153" w:lineRule="exact"/>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7"/>
              </w:rPr>
              <w:t>Contract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4"/>
              </w:rPr>
              <w:t>Currency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Currency</w:t>
            </w:r>
          </w:p>
        </w:tc>
        <w:tc>
          <w:tcPr>
            <w:tcW w:w="400" w:type="dxa"/>
            <w:vAlign w:val="bottom"/>
          </w:tcPr>
          <w:p>
            <w:pPr>
              <w:spacing w:after="0"/>
              <w:rPr>
                <w:sz w:val="12"/>
                <w:szCs w:val="12"/>
                <w:color w:val="auto"/>
              </w:rPr>
            </w:pPr>
          </w:p>
        </w:tc>
        <w:tc>
          <w:tcPr>
            <w:tcW w:w="108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060" w:type="dxa"/>
            <w:vAlign w:val="bottom"/>
          </w:tcPr>
          <w:p>
            <w:pPr>
              <w:jc w:val="center"/>
              <w:ind w:left="364"/>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342"/>
              <w:spacing w:after="0"/>
              <w:rPr>
                <w:sz w:val="20"/>
                <w:szCs w:val="20"/>
                <w:color w:val="auto"/>
              </w:rPr>
            </w:pPr>
            <w:r>
              <w:rPr>
                <w:rFonts w:ascii="Arial" w:cs="Arial" w:eastAsia="Arial" w:hAnsi="Arial"/>
                <w:sz w:val="14"/>
                <w:szCs w:val="14"/>
                <w:b w:val="1"/>
                <w:bCs w:val="1"/>
                <w:color w:val="auto"/>
                <w:w w:val="97"/>
              </w:rPr>
              <w:t>(USD)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6"/>
                <w:szCs w:val="16"/>
                <w:color w:val="auto"/>
              </w:rPr>
            </w:pPr>
          </w:p>
        </w:tc>
        <w:tc>
          <w:tcPr>
            <w:tcW w:w="1080" w:type="dxa"/>
            <w:vAlign w:val="bottom"/>
          </w:tcPr>
          <w:p>
            <w:pPr>
              <w:jc w:val="center"/>
              <w:ind w:right="334"/>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Polish zloty</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w w:val="85"/>
              </w:rPr>
              <w:t>11.8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140" w:type="dxa"/>
            <w:vAlign w:val="bottom"/>
          </w:tcPr>
          <w:p>
            <w:pPr>
              <w:ind w:left="720"/>
              <w:spacing w:after="0"/>
              <w:rPr>
                <w:sz w:val="20"/>
                <w:szCs w:val="20"/>
                <w:color w:val="auto"/>
              </w:rPr>
            </w:pPr>
            <w:r>
              <w:rPr>
                <w:rFonts w:ascii="Arial" w:cs="Arial" w:eastAsia="Arial" w:hAnsi="Arial"/>
                <w:sz w:val="18"/>
                <w:szCs w:val="18"/>
                <w:color w:val="auto"/>
              </w:rPr>
              <w:t>Total cash flow hedges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11.6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10.3</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1500" w:type="dxa"/>
            <w:vAlign w:val="bottom"/>
            <w:gridSpan w:val="2"/>
          </w:tcPr>
          <w:p>
            <w:pPr>
              <w:jc w:val="right"/>
              <w:ind w:right="31"/>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Singapore dollar</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Thailand baht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5"/>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w w:val="85"/>
              </w:rPr>
              <w:t>22.6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514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31.5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the fair value of derivative instruments included within our condensed consolidated balance sheets as of March 30, 2012 and July 1,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3"/>
                <w:szCs w:val="13"/>
                <w:color w:val="auto"/>
              </w:rPr>
            </w:pPr>
          </w:p>
        </w:tc>
        <w:tc>
          <w:tcPr>
            <w:tcW w:w="1260" w:type="dxa"/>
            <w:vAlign w:val="bottom"/>
          </w:tcPr>
          <w:p>
            <w:pPr>
              <w:ind w:left="300"/>
              <w:spacing w:after="0" w:line="153" w:lineRule="exact"/>
              <w:rPr>
                <w:sz w:val="20"/>
                <w:szCs w:val="20"/>
                <w:color w:val="auto"/>
              </w:rPr>
            </w:pPr>
            <w:r>
              <w:rPr>
                <w:rFonts w:ascii="Arial" w:cs="Arial" w:eastAsia="Arial" w:hAnsi="Arial"/>
                <w:sz w:val="14"/>
                <w:szCs w:val="14"/>
                <w:b w:val="1"/>
                <w:bCs w:val="1"/>
                <w:color w:val="auto"/>
                <w:w w:val="98"/>
              </w:rPr>
              <w:t>Balance Sheet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30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assets</w:t>
            </w:r>
          </w:p>
        </w:tc>
        <w:tc>
          <w:tcPr>
            <w:tcW w:w="78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expenses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30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location and amount of the gains and losses on derivative instruments reported in our financial statements during the third quarter and first three quarters of fiscal 2012 and fiscal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680" w:type="dxa"/>
            <w:vAlign w:val="bottom"/>
            <w:gridSpan w:val="3"/>
          </w:tcPr>
          <w:p>
            <w:pPr>
              <w:ind w:left="40"/>
              <w:spacing w:after="0"/>
              <w:rPr>
                <w:sz w:val="20"/>
                <w:szCs w:val="20"/>
                <w:color w:val="auto"/>
              </w:rPr>
            </w:pPr>
            <w:r>
              <w:rPr>
                <w:rFonts w:ascii="Arial" w:cs="Arial" w:eastAsia="Arial" w:hAnsi="Arial"/>
                <w:sz w:val="14"/>
                <w:szCs w:val="14"/>
                <w:b w:val="1"/>
                <w:bCs w:val="1"/>
                <w:color w:val="auto"/>
              </w:rPr>
              <w:t>Locations of Gain (Losses) on Derivative Instruments</w:t>
            </w:r>
          </w:p>
        </w:tc>
        <w:tc>
          <w:tcPr>
            <w:tcW w:w="120" w:type="dxa"/>
            <w:vAlign w:val="bottom"/>
          </w:tcPr>
          <w:p>
            <w:pPr>
              <w:spacing w:after="0"/>
              <w:rPr>
                <w:sz w:val="22"/>
                <w:szCs w:val="22"/>
                <w:color w:val="auto"/>
              </w:rPr>
            </w:pPr>
          </w:p>
        </w:tc>
        <w:tc>
          <w:tcPr>
            <w:tcW w:w="124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March 30, 2012</w:t>
            </w:r>
          </w:p>
        </w:tc>
        <w:tc>
          <w:tcPr>
            <w:tcW w:w="26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22"/>
                <w:szCs w:val="22"/>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March 30, 2012</w:t>
            </w:r>
          </w:p>
        </w:tc>
        <w:tc>
          <w:tcPr>
            <w:tcW w:w="240" w:type="dxa"/>
            <w:vAlign w:val="bottom"/>
          </w:tcPr>
          <w:p>
            <w:pPr>
              <w:spacing w:after="0"/>
              <w:rPr>
                <w:sz w:val="22"/>
                <w:szCs w:val="22"/>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April 1, 2011</w:t>
            </w:r>
          </w:p>
        </w:tc>
      </w:tr>
      <w:tr>
        <w:trPr>
          <w:trHeight w:val="250"/>
        </w:trPr>
        <w:tc>
          <w:tcPr>
            <w:tcW w:w="5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6"/>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Designated as cash flow hedges (foreign exchange forward contracts):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gridSpan w:val="3"/>
          </w:tcPr>
          <w:p>
            <w:pPr>
              <w:ind w:left="38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Cost of 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680" w:type="dxa"/>
            <w:vAlign w:val="bottom"/>
            <w:gridSpan w:val="3"/>
          </w:tcPr>
          <w:p>
            <w:pPr>
              <w:ind w:left="40"/>
              <w:spacing w:after="0"/>
              <w:rPr>
                <w:sz w:val="20"/>
                <w:szCs w:val="20"/>
                <w:color w:val="auto"/>
              </w:rPr>
            </w:pPr>
            <w:r>
              <w:rPr>
                <w:rFonts w:ascii="Arial" w:cs="Arial" w:eastAsia="Arial" w:hAnsi="Arial"/>
                <w:sz w:val="18"/>
                <w:szCs w:val="18"/>
                <w:color w:val="auto"/>
              </w:rPr>
              <w:t>Loss associated with excluded time value recognized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80" w:type="dxa"/>
            <w:vAlign w:val="bottom"/>
            <w:gridSpan w:val="3"/>
          </w:tcPr>
          <w:p>
            <w:pPr>
              <w:ind w:left="260"/>
              <w:spacing w:after="0"/>
              <w:rPr>
                <w:sz w:val="20"/>
                <w:szCs w:val="20"/>
                <w:color w:val="auto"/>
              </w:rPr>
            </w:pPr>
            <w:r>
              <w:rPr>
                <w:rFonts w:ascii="Arial" w:cs="Arial" w:eastAsia="Arial" w:hAnsi="Arial"/>
                <w:sz w:val="18"/>
                <w:szCs w:val="18"/>
                <w:color w:val="auto"/>
              </w:rPr>
              <w:t>in cost of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6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r>
      <w:tr>
        <w:trPr>
          <w:trHeight w:val="243"/>
        </w:trPr>
        <w:tc>
          <w:tcPr>
            <w:tcW w:w="568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Not designated as cash flow hedges (foreign exchange forward contracts):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Certain of our former executive officers and directors were named in a complaint filed on July 18, 2011 in the United States District Court for the District of Delaware by plaintiff Howard Taylor. Plaintiff purports to bring this action derivatively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behalf of Aviat Networks, which is named as a nominal defendant. Plaintiff brings a claim for breach of fiduciary duty against the officer and director defendants based on the allegations of securities law violations alleged in the class action described above and also alleges that the defendants caused us to acquire MCD at an inflated price. Plaintiff seeks to recover unspecified damages and other relief on behalf of Aviat Networks, as well as payment of costs and attorneys fees. We filed a motion to dismiss on October 3, 2011 with oral arguments scheduled for May 29, 2012. We intend to defend our interests in the litigation vigorously. Currently we are not able to determine whether a loss is probable or to reasonably estimate the loss amount related to this matter.</w:t>
      </w:r>
    </w:p>
    <w:p>
      <w:pPr>
        <w:spacing w:after="0" w:line="158"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The parties entered into a settlement agreement on February 27, 2012 whereby we agreed to pay $0.2 million to the supplier.</w:t>
      </w:r>
    </w:p>
    <w:p>
      <w:pPr>
        <w:spacing w:after="0" w:line="18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8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to us on time;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2011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Operating Environment</w:t>
      </w:r>
    </w:p>
    <w:p>
      <w:pPr>
        <w:spacing w:after="0" w:line="94"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condensed consolidated financial statements and the accompanying notes.</w:t>
      </w:r>
    </w:p>
    <w:p>
      <w:pPr>
        <w:spacing w:after="0" w:line="127"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earnings per share, and return on average total capital are the key measures of financial performance for our business.</w:t>
      </w:r>
    </w:p>
    <w:p>
      <w:pPr>
        <w:spacing w:after="0" w:line="111" w:lineRule="exact"/>
        <w:rPr>
          <w:sz w:val="20"/>
          <w:szCs w:val="20"/>
          <w:color w:val="auto"/>
        </w:rPr>
      </w:pPr>
    </w:p>
    <w:p>
      <w:pPr>
        <w:ind w:right="440" w:firstLine="432"/>
        <w:spacing w:after="0" w:line="279" w:lineRule="auto"/>
        <w:rPr>
          <w:sz w:val="20"/>
          <w:szCs w:val="20"/>
          <w:color w:val="auto"/>
        </w:rPr>
      </w:pPr>
      <w:r>
        <w:rPr>
          <w:rFonts w:ascii="Arial" w:cs="Arial" w:eastAsia="Arial" w:hAnsi="Arial"/>
          <w:sz w:val="17"/>
          <w:szCs w:val="17"/>
          <w:color w:val="auto"/>
        </w:rPr>
        <w:t>Our strategic focus in fiscal 2012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run with the speed required by the markets in which we do business.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During the first three quarters of fiscal 2012, we secured orders and expanded our footprint with our customers in the mobile operator market using our current technology and service capabilities. We believe that there is steady growth in this market and that it will continue growing over the long term as mobile operators build network capacity to address increasing demands for bandwidth. In order to significantly expand our mobile operator customer base and displace competitors we plan to bring our next generation of products to market in next fiscal year. The signs of growth in non-mobile segments exist today, mostly in North America, but increasingly in other parts of the world. Typical applications of our products are in utility and public safety networks where the emphasis is on quality, service, reliability and network security.</w:t>
      </w:r>
    </w:p>
    <w:p>
      <w:pPr>
        <w:spacing w:after="0" w:line="1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During September 2011, one of our contract manufacturers in Thailand was affected by flooding in that country. Our logistics and supply chain staff worked closely with that supplier and jointly were successful in mitigating and minimizing the delivery impact to our customers during the second and third quarters of fiscal 2012. We </w:t>
      </w:r>
      <w:r>
        <w:rPr>
          <w:rFonts w:ascii="Arial" w:cs="Arial" w:eastAsia="Arial" w:hAnsi="Arial"/>
          <w:sz w:val="18"/>
          <w:szCs w:val="18"/>
          <w:color w:val="333333"/>
        </w:rPr>
        <w:t>are now satisfied that this contract manufacturer has recovered from this event and that future deliveries to Aviat will not be</w:t>
      </w:r>
      <w:r>
        <w:rPr>
          <w:rFonts w:ascii="Arial" w:cs="Arial" w:eastAsia="Arial" w:hAnsi="Arial"/>
          <w:sz w:val="18"/>
          <w:szCs w:val="18"/>
          <w:color w:val="auto"/>
        </w:rPr>
        <w:t xml:space="preserve"> </w:t>
      </w:r>
      <w:r>
        <w:rPr>
          <w:rFonts w:ascii="Arial" w:cs="Arial" w:eastAsia="Arial" w:hAnsi="Arial"/>
          <w:sz w:val="18"/>
          <w:szCs w:val="18"/>
          <w:color w:val="333333"/>
        </w:rPr>
        <w:t>affected as a result of the floods</w:t>
      </w:r>
      <w:r>
        <w:rPr>
          <w:rFonts w:ascii="Arial" w:cs="Arial" w:eastAsia="Arial" w:hAnsi="Arial"/>
          <w:sz w:val="18"/>
          <w:szCs w:val="18"/>
          <w:color w:val="000000"/>
        </w:rPr>
        <w:t>.</w:t>
      </w:r>
    </w:p>
    <w:p>
      <w:pPr>
        <w:spacing w:after="0" w:line="13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March 2011, our board of directors approved a plan to sell our WiMAX business and we completed the sale to EION on September 2, 2011. The sale of the WiMAX business was part of our strategic plan to streamline our business and focus our time and resources on growing our core microwave business to better position us for long-term success. We worked with EION to transition the business and expect to complete the transition by the end of fiscal 2012.</w:t>
      </w:r>
    </w:p>
    <w:p>
      <w:pPr>
        <w:spacing w:after="0" w:line="93"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began accounting for the WiMAX business as a discontinued operation in the third quarter of fiscal 2011. The discussions of our revenue, gross margin, operating expenses and income taxes have excluded the WiMAX business results, which are discussed separately.</w:t>
      </w:r>
    </w:p>
    <w:p>
      <w:pPr>
        <w:spacing w:after="0" w:line="9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the second quarter of fiscal 2012, we performed a goodwill impairment analysis due to a significant decline in our market capitalization, which is considered as a goodwill impairment indicator. The $5.6 million of goodwill resulted from our acquisition of Telsima Corporation in fiscal 2009. Based on the results of the impairment analysis, we recorded a $5.6 million goodwill impairment charge in the second quarter of fiscal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Beginning from the first quarter of fiscal 2012, in order to better align our internal reporting with the activities in our international business organizations, we changed our internal operational review of revenue by region by separating the Middle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East region from Europe and Russia and grouping it with Africa. Revenue by region for comparable prior year periods have been reclassified to reflect this change. Revenue by region for the third quarter and first three quarters of fiscal 2012 and fiscal 2011 and the related changes are shown in the table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6"/>
              </w:rPr>
              <w:t>Three Quarters Ended</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6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w:t>
            </w:r>
          </w:p>
        </w:tc>
        <w:tc>
          <w:tcPr>
            <w:tcW w:w="10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April 1, 2011</w:t>
            </w:r>
          </w:p>
        </w:tc>
        <w:tc>
          <w:tcPr>
            <w:tcW w:w="10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24"/>
                <w:szCs w:val="2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vMerge w:val="restart"/>
          </w:tcPr>
          <w:p>
            <w:pPr>
              <w:spacing w:after="0"/>
              <w:rPr>
                <w:sz w:val="24"/>
                <w:szCs w:val="24"/>
                <w:color w:val="auto"/>
              </w:rPr>
            </w:pPr>
          </w:p>
        </w:tc>
        <w:tc>
          <w:tcPr>
            <w:tcW w:w="10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April 1, 2011</w:t>
            </w:r>
          </w:p>
        </w:tc>
        <w:tc>
          <w:tcPr>
            <w:tcW w:w="120" w:type="dxa"/>
            <w:vAlign w:val="bottom"/>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24"/>
                <w:szCs w:val="2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Africa and Middle East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Europe and Russia</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Latin America and Asia Pacific</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Total International</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For the third quarter and first three quarters of fiscal 2012, MTN Group in Africa accounted for 18.1% and 15.0%, respectively, of our total revenue. For the third quarter of fiscal 2011, MTN Group accounted for 11.3% of our total revenue, and there were no customers accounting for 10% or more of our revenue for the first three quarters of fiscal 2011. We have entered into separate and distinct contracts with MTN Group as well as separate arrangements with MTN Group subsidiaries. None of such contracts on an individual basis are material to our operations. The loss of all MTN Group business could adversely affect our results of operations, cash flows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revenue in North America increased $0.1 million, or 0.2%, and $5.7 million, or 4.8%, respectively, during the third quarter and first three quarters of fiscal 2012 compared with the same periods of fiscal 2011. We have seen substantial changes in product mix of our sales in this region from year to year. The bulk of our product revenue in North America now comes from our Eclipse product platform, whereas in the first half of fiscal 2011, our legacy products made up a significant portion of the region's sales. The revenue growth and product mix changes reflect continued success in transitioning our customer base to the new product platform as well as an increase in our services business from major customers in fiscal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International revenue declined $4.0 million, or 5.5%, and $8.9 million, or 4.2%, respectively, during the third quarter and first three quarters of fiscal 2012 compared with the same periods of fiscal 2011. Our business in Asia and Latin America showed improvement for both quarter and year-to-date periods from increased orders from network operators. However, our sales in Europe and Russia were down from the year ago periods primarily due to the reduction of business with a major customer in Russia. Sales to customers in Africa and Middle East decreased slightly in the third quarter compared with the same quarter in prior fiscal year, but have increased for the year-to-date period due to strong performance in the first quarter of fiscal 2012, resulting primarily from the deliveries of large orders to major network operators, including MTN Group in Africa.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9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April 1, 2011</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2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30,</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April 1, 2011</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Cost of product sales and</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660" w:type="dxa"/>
            <w:vAlign w:val="bottom"/>
          </w:tcPr>
          <w:p>
            <w:pPr>
              <w:jc w:val="right"/>
              <w:ind w:right="114"/>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360" w:firstLine="432"/>
        <w:spacing w:after="0" w:line="259" w:lineRule="auto"/>
        <w:rPr>
          <w:sz w:val="20"/>
          <w:szCs w:val="20"/>
          <w:color w:val="auto"/>
        </w:rPr>
      </w:pPr>
      <w:r>
        <w:rPr>
          <w:rFonts w:ascii="Arial" w:cs="Arial" w:eastAsia="Arial" w:hAnsi="Arial"/>
          <w:sz w:val="18"/>
          <w:szCs w:val="18"/>
          <w:color w:val="auto"/>
        </w:rPr>
        <w:t>Gross margin for third quarter of fiscal 2012 increased $2.7 million, or 8.5%, from the same quarter in fiscal 2011. Gross margin as a percentage of revenue also increased 3.3% compared with the same quarter in fiscal 2011. The improvement in gross margin was due primarily to the absence of large inventory write-downs which we incurred in fiscal 2011 as we transitioned out of the legacy products, partially offset by effects from competitive pricing pressure.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margin for first three quarters of fiscal 2012 increased $3.6 million, or 3.8%, from the same period in fiscal 2011.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as a percentage of revenue also increased 1.4% compared with the same period in fiscal 2011. While gross margin was in line with expectations for the period, the year-over-year improvement was primarily due to the absence in the current year period of a $6.0 million one-time charge related to manufacturing overhead that we recorded in the first quarter of fiscal 2011 and the absence of large inventory write-downs which we incurred in fiscal 2011 as we transitioned out of the legacy products.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completed the transfer by the end of fiscal 2011. Accordingly, the costs associated with our internal operations organization are expensed as incurred. Gross margin in the first three quarters of fiscal 2011 was negatively affected by the immediate expensing of $6.0 million of such costs that was previously capitalized in the first quarter of fiscal 2011.</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Exclusive of the net impact from these charges, the gross margin and gross margin as a percentage of revenue in the first three quarters of fiscal 2012 were lower than the same period in fiscal 2011 due to competitive pricing pressures.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60" w:type="dxa"/>
            <w:vAlign w:val="bottom"/>
          </w:tcPr>
          <w:p>
            <w:pPr>
              <w:spacing w:after="0"/>
              <w:rPr>
                <w:sz w:val="13"/>
                <w:szCs w:val="13"/>
                <w:color w:val="auto"/>
              </w:rPr>
            </w:pPr>
          </w:p>
        </w:tc>
        <w:tc>
          <w:tcPr>
            <w:tcW w:w="9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2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30, 2012</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4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20"/>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20"/>
              <w:spacing w:after="0"/>
              <w:rPr>
                <w:sz w:val="20"/>
                <w:szCs w:val="20"/>
                <w:color w:val="auto"/>
              </w:rPr>
            </w:pPr>
            <w:r>
              <w:rPr>
                <w:rFonts w:ascii="Arial" w:cs="Arial" w:eastAsia="Arial" w:hAnsi="Arial"/>
                <w:sz w:val="18"/>
                <w:szCs w:val="18"/>
                <w:color w:val="auto"/>
                <w:w w:val="97"/>
              </w:rPr>
              <w:t>(4.1)</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research and development expenses declined $1.0 million, or 10.1%, and $4.1 million, or 13.3%, respectively, in the third quarter and first three quarters of fiscal 2012 compared with the same periods in fiscal 2011, primarily due to restructuring of our research and development workforce in prior years. In addition, share-based compensation expense in the third quarter and first three quarters of fiscal 2011 was higher by $0.3 million and $0.7 million, respectively, compared with the current year periods due to vesting of performance shares upon achievement of new product development milestones in the fiscal 2011 periods. We continue to invest in new product features, new functionality and lower cost platforms that we believe will enable our product lines to retain their technology leads in a cost effective manner.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4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30,</w:t>
            </w: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0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30, 2012</w:t>
            </w:r>
          </w:p>
        </w:tc>
        <w:tc>
          <w:tcPr>
            <w:tcW w:w="11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2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3"/>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20"/>
              <w:spacing w:after="0"/>
              <w:rPr>
                <w:sz w:val="20"/>
                <w:szCs w:val="20"/>
                <w:color w:val="auto"/>
              </w:rPr>
            </w:pPr>
            <w:r>
              <w:rPr>
                <w:rFonts w:ascii="Arial" w:cs="Arial" w:eastAsia="Arial" w:hAnsi="Arial"/>
                <w:sz w:val="18"/>
                <w:szCs w:val="18"/>
                <w:color w:val="auto"/>
                <w:w w:val="97"/>
              </w:rPr>
              <w:t>(1.6)</w:t>
            </w:r>
          </w:p>
        </w:tc>
        <w:tc>
          <w:tcPr>
            <w:tcW w:w="120" w:type="dxa"/>
            <w:vAlign w:val="bottom"/>
          </w:tcPr>
          <w:p>
            <w:pPr>
              <w:spacing w:after="0"/>
              <w:rPr>
                <w:sz w:val="21"/>
                <w:szCs w:val="21"/>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4"/>
              </w:rPr>
              <w:t>(6.0)%</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20"/>
              <w:spacing w:after="0"/>
              <w:rPr>
                <w:sz w:val="20"/>
                <w:szCs w:val="20"/>
                <w:color w:val="auto"/>
              </w:rPr>
            </w:pPr>
            <w:r>
              <w:rPr>
                <w:rFonts w:ascii="Arial" w:cs="Arial" w:eastAsia="Arial" w:hAnsi="Arial"/>
                <w:sz w:val="18"/>
                <w:szCs w:val="18"/>
                <w:color w:val="auto"/>
                <w:w w:val="97"/>
              </w:rPr>
              <w:t>(5.2)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selling and administrative expenses decreased by $1.6 million or 6.0%, in the third quarter of fiscal 2012 compared with the same quarter in fiscal 2011. The decrease was due primarily to a $0.4 million decrease in sales and administrative compensation expenses and a $0.9 million decrease in facility expenses as a result of the restructuring programs we implemented over the past two years. For the first three quarters of fiscal 2012, our selling and administrative expenses declined $5.2 million, or 6.5%, compared with the same period in fiscal 2011. The reductions were due primarily to a $2.9 million decrease in sales and administrative compensation expenses and a $0.8 million decrease in facility expenses as a result of the restructuring programs, and a $1.5 million decrease in agent commission expenses driven by lower fee-based revenues, partially offset by an increase of $0.7 million in bad debt expenses. We continue to seek ways to improve our operating efficiency during fiscal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are summarized in the table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30, 2012</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2011</w:t>
            </w:r>
          </w:p>
        </w:tc>
        <w:tc>
          <w:tcPr>
            <w:tcW w:w="140" w:type="dxa"/>
            <w:vAlign w:val="bottom"/>
          </w:tcPr>
          <w:p>
            <w:pPr>
              <w:spacing w:after="0"/>
              <w:rPr>
                <w:sz w:val="13"/>
                <w:szCs w:val="13"/>
                <w:color w:val="auto"/>
              </w:rPr>
            </w:pPr>
          </w:p>
        </w:tc>
        <w:tc>
          <w:tcPr>
            <w:tcW w:w="62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30, 2012</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center"/>
              <w:ind w:left="517"/>
              <w:spacing w:after="0"/>
              <w:rPr>
                <w:sz w:val="20"/>
                <w:szCs w:val="20"/>
                <w:color w:val="auto"/>
              </w:rPr>
            </w:pPr>
            <w:r>
              <w:rPr>
                <w:rFonts w:ascii="Arial" w:cs="Arial" w:eastAsia="Arial" w:hAnsi="Arial"/>
                <w:sz w:val="18"/>
                <w:szCs w:val="18"/>
                <w:color w:val="auto"/>
                <w:w w:val="87"/>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By Plans: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2011 Plan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left="517"/>
              <w:spacing w:after="0"/>
              <w:rPr>
                <w:sz w:val="20"/>
                <w:szCs w:val="20"/>
                <w:color w:val="auto"/>
              </w:rPr>
            </w:pPr>
            <w:r>
              <w:rPr>
                <w:rFonts w:ascii="Arial" w:cs="Arial" w:eastAsia="Arial" w:hAnsi="Arial"/>
                <w:sz w:val="18"/>
                <w:szCs w:val="18"/>
                <w:color w:val="auto"/>
                <w:w w:val="87"/>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2000" w:type="dxa"/>
            <w:vAlign w:val="bottom"/>
          </w:tcPr>
          <w:p>
            <w:pPr>
              <w:ind w:left="220"/>
              <w:spacing w:after="0"/>
              <w:rPr>
                <w:sz w:val="20"/>
                <w:szCs w:val="20"/>
                <w:color w:val="auto"/>
              </w:rPr>
            </w:pPr>
            <w:r>
              <w:rPr>
                <w:rFonts w:ascii="Arial" w:cs="Arial" w:eastAsia="Arial" w:hAnsi="Arial"/>
                <w:sz w:val="18"/>
                <w:szCs w:val="18"/>
                <w:color w:val="auto"/>
              </w:rPr>
              <w:t>Fiscal 2009 Plan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517"/>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business environment of the worldwide microwave radio and telecommunication markets, primarily in North America, Europe and Asia. Earlier in fiscal 2009, we commenced a restructuring plan (the “Fiscal 2009 Plan”) to reduce our workforce in the U.S., France, Canada and other locations throughout the world and outsource our San Antonio manufacturing operations to a third party in Austin, Texas. The Fiscal 2009 Plan has been completed as of the end of fiscal 2011.</w:t>
      </w:r>
    </w:p>
    <w:p>
      <w:pPr>
        <w:spacing w:after="0" w:line="13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Restructuring charges in the third quarter and first three quarters of fiscal 2012 declined significantly by $4.0 million and $12.0 million, respectively, compared with the same periods in fiscal 2011 because the Fiscal 2009 Plan was completed in fiscal 2011 and major restructuring activities under the Fiscal 2011 Plan, such as the downsizing of our Morrisville, North Carolina office, occurred in fiscal 2011. Our restructuring expenses consisted primarily of severance and related benefit charges, and to a lesser extent, facilities costs related to obligations under non-cancelable leases for facilities that we ceased to use.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substantially completed our initiatives under the Fiscal 2011 Plan and expect to wind down certain remaining restructuring activities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operating income or loss by segment is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Three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30, 2012</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April 1, 2011</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30, 2012</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April 1, 2011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loss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North America segment operating income was $1.6 million for the third quarter of fiscal 2012, compared with an operating loss of $8.1 million for the prior year quarter. The change was primarily due to higher gross margins in our business, lower selling and administrative expenses, and a decrease of $3.2 million of restructuring expenses in our fiscal 2012 quarter compared with the prior year quarter. On a year-to-date basis, the segment loss declined $16.2 million compared with the same period in fiscal 2011 primarily due to a decrease of $9.5 million in restructuring expenses as well as the absence of $0.9 million transitional charges mainly related to our ERP systems implementation.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International segment operating loss in the third quarter of fiscal 2012 decreased by $0.2 million compared with the prior year quarter. The decreased loss was primarily due to decreases in selling and administrative expenses as well as a decrease of $0.8 million in restructuring expenses related to our restructuring plans, mostly offset by lower gross margins in our business. On a year-to-date basis, the segment loss declined $3.7 million compared to the same period in prior year, primarily due to decreases in operating expenses as well as a decrease of $2.5 million in restructuring expenses, partially offset by a goodwill impairment charge of $5.6 million during the second quarter of fiscal 2012.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April 1, 2011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April 1, 2011</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first three quarters of fiscal 2011, we incurred $4.4 million of loss on the sale of NetBoss assets. Other expenses consisted primarily of transactional tax assessments related to certain international entities. Interest expense was primarily related to preference dividends on our $8.25 million redeemable preference shares and interest expense associated with our credit facilities, term loan and letters of credit. The $8.25 million preference shares were redeemed at their carrying value on January 30, 2012, funded by a two-year term loan of $8.25 million under our credit facility at a fixed interest rate of 5% per annum.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April 1, 2011</w:t>
            </w:r>
          </w:p>
        </w:tc>
        <w:tc>
          <w:tcPr>
            <w:tcW w:w="140" w:type="dxa"/>
            <w:vAlign w:val="bottom"/>
          </w:tcPr>
          <w:p>
            <w:pPr>
              <w:spacing w:after="0"/>
              <w:rPr>
                <w:sz w:val="13"/>
                <w:szCs w:val="13"/>
                <w:color w:val="auto"/>
              </w:rPr>
            </w:pPr>
          </w:p>
        </w:tc>
        <w:tc>
          <w:tcPr>
            <w:tcW w:w="66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April 1, 2011</w:t>
            </w:r>
          </w:p>
        </w:tc>
        <w:tc>
          <w:tcPr>
            <w:tcW w:w="140" w:type="dxa"/>
            <w:vAlign w:val="bottom"/>
          </w:tcPr>
          <w:p>
            <w:pPr>
              <w:spacing w:after="0"/>
              <w:rPr>
                <w:sz w:val="13"/>
                <w:szCs w:val="13"/>
                <w:color w:val="auto"/>
              </w:rPr>
            </w:pPr>
          </w:p>
        </w:tc>
        <w:tc>
          <w:tcPr>
            <w:tcW w:w="6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determination of our provision for income taxes for the third quarter and first three quarters of fiscal 2012 and fiscal 2011 was primarily based on our estimated annual effective tax rate adjusted for losses in separate jurisdictions for which no tax benefit can be recognized. That determination also reflected tax expense and benefit generated in certain foreign jurisdictions. The tax expense for the third quarter and first three quarters of fiscal 2012 was primarily attributable to profitable foreign entities for which we have accrued income taxes. The tax expense for the third quarter and first three quarters of fiscal 2011 was primarily attributable to an increase in the valuation allowance for Singapore deferred tax assets.</w:t>
      </w:r>
    </w:p>
    <w:p>
      <w:pPr>
        <w:spacing w:after="0" w:line="17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Quarters Ended</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vMerge w:val="restart"/>
          </w:tcPr>
          <w:p>
            <w:pPr>
              <w:jc w:val="right"/>
              <w:ind w:right="1776"/>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March 30,</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April 1, 2011</w:t>
            </w:r>
          </w:p>
        </w:tc>
        <w:tc>
          <w:tcPr>
            <w:tcW w:w="140" w:type="dxa"/>
            <w:vAlign w:val="bottom"/>
          </w:tcPr>
          <w:p>
            <w:pPr>
              <w:spacing w:after="0"/>
              <w:rPr>
                <w:sz w:val="13"/>
                <w:szCs w:val="13"/>
                <w:color w:val="auto"/>
              </w:rPr>
            </w:pPr>
          </w:p>
        </w:tc>
        <w:tc>
          <w:tcPr>
            <w:tcW w:w="700" w:type="dxa"/>
            <w:vAlign w:val="bottom"/>
          </w:tcPr>
          <w:p>
            <w:pPr>
              <w:jc w:val="right"/>
              <w:ind w:right="30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April 1, 2011</w:t>
            </w:r>
          </w:p>
        </w:tc>
        <w:tc>
          <w:tcPr>
            <w:tcW w:w="120" w:type="dxa"/>
            <w:vAlign w:val="bottom"/>
          </w:tcPr>
          <w:p>
            <w:pPr>
              <w:spacing w:after="0"/>
              <w:rPr>
                <w:sz w:val="13"/>
                <w:szCs w:val="13"/>
                <w:color w:val="auto"/>
              </w:rPr>
            </w:pPr>
          </w:p>
        </w:tc>
        <w:tc>
          <w:tcPr>
            <w:tcW w:w="620" w:type="dxa"/>
            <w:vAlign w:val="bottom"/>
          </w:tcPr>
          <w:p>
            <w:pPr>
              <w:jc w:val="right"/>
              <w:ind w:right="26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6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2"/>
              </w:rPr>
              <w:t>Loss from discontinued</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operations,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(78.9)%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discontinued operations consist of the WiMAX business, which was sold to EION on September 2, 2011. The loss from discontinued operations decreased $9.0 million and $9.9 million, respectively, in the third quarter and first three quarters of fiscal 2012 compared with the prior year periods. The decrease resulted primarily from the absence of large charges for provisions for excess and obsolete inventories and noncancellable purchase commitments which we incurred in fiscal 2011 when we decided to exit the WiMAX business, partially offset by higher WiMAX revenue in the prior year periods.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March 30, 2012, our total cash and cash equivalents was $90.5 million. Approximately $27.9 million, or 31% of our total cash and cash equivalents, was held by entities domiciled in the United States. The remaining balance of $62.6 million or 69% was held by entities outside the United States, primarily in Singapore and Nigeria. A portion of the non-U.S. cash and cash equivalents is utilized for working capital and other operating purposes. We are not aware of any local regulatory requirements</w:t>
      </w:r>
    </w:p>
    <w:p>
      <w:pPr>
        <w:sectPr>
          <w:pgSz w:w="11900" w:h="16838" w:orient="portrait"/>
          <w:cols w:equalWidth="0" w:num="1">
            <w:col w:w="11340"/>
          </w:cols>
          <w:pgMar w:left="240" w:top="125" w:right="319"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40"/>
          </w:cols>
          <w:pgMar w:left="240" w:top="125" w:right="3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these countries that significantly restrict the ability of our operations to repatriate the excess cash generated by our foreign operations. However, there are practical limitations on repatriation of cash to the U.S. from these countries because of the resulting withholding and other taxes.</w:t>
      </w:r>
    </w:p>
    <w:p>
      <w:pPr>
        <w:spacing w:after="0" w:line="9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of March 30, 2012, our principal sources of liquidity consisted of the $90.5 million in cash and cash equivalents, $19.0 million of available credit under our current $40.0 million credit facility with Silicon Valley Bank, and cash collections from customers. We regularly require letters of credit from some customers who request extended payment terms up to one year or more. These letters of credit are generally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three quarters of fiscal 2012, our total cash and cash equivalents decreased by $7.7 million primarily due to capital expenditures of $4.4 million and cash used in operating activities.</w:t>
      </w:r>
    </w:p>
    <w:p>
      <w:pPr>
        <w:spacing w:after="0" w:line="11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Cash used in operating activities was $0.8 million in the first three quarters of fiscal 2012. Since our net loss after non-cash adjustments was only $0.2 million, the cash used in operating activities was primarily due to changes in our operating assets and liabilities, including a decrease in accounts payable of $15.2 million, an increase in unbilled costs of $4.3 million and a decrease in customer advance payments and unearned income of $3.4 million, mostly offset by a decrease in receivables of $23.4 million. A large portion of the decrease in accounts payable was due to lower inventory purchases and timing of payments during the recent period compared with the fourth quarter of fiscal 2011. We also paid $4.8 million in cash during fiscal 2012 for restructuring liabilities related to our restructuring programs. The increase in unbilled costs and decrease in customer advance payments and unearned income were results of changes in timing of our billings to customer on certain projects and related revenue recognition during the period. Our accounts receivable decreased during the first three quarters of fiscal 2012 primarily due to strong cash collections from customers during the period.</w:t>
      </w:r>
    </w:p>
    <w:p>
      <w:pPr>
        <w:spacing w:after="0" w:line="11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expect to generate cash from operating activities for the remainder of fiscal 2012. We believe that our existing cash and cash equivalents, the available line of credit and future cash collections from customers will be sufficient to meet our working capital requirements for the next 12 months and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March 30, 2012, we had $19.0 million of credit available under our $40.0 million revolving credit facility with Silicon Valley Bank. The total amount of revolving credit available was $40.0 million less $13.9 million in outstanding short term and long term borrowings and $7.1 million in outstanding standby letters of credit issued under the facility.</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In an amendment to the facility effective November 2, 2011, the commitment of $40.0 million under the facility was extended to expire on February 28, 2014 and provides for (1) demand borrowings at the prime rate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(2) fixed term Eurodollar loans for up to six months at LIBOR plus a spread of between 2.00% to 2.75% based on the company’s current leverage ratio, (3) a two-year term loan in the amount of $8.25 million at a fixed rate of 5% per annum expiring on January 31, 2014, and (4) the issuance of standby or commercial letters of credit. The term loan drawn on January 30, 2012 is repaid in 24 equal monthly installments of principal plus accrued interest commencing February 29, 2012. The facility contains a minimum liquidity ratio covenant and a minimum profitability covenant and is secured by certain of the company’s assets.</w:t>
      </w:r>
    </w:p>
    <w:p>
      <w:pPr>
        <w:spacing w:after="0" w:line="124"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Based on financial covenants included as part of the amended credit facility, we must maintain, as measured at the last day of each fiscal quarter beginning September 30, 2011,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March 30, 2012, we were in compliance with these financial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Redeemable Preference Shares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June 30, 2011, we entered into an agreement with Harris Corporation for the early redemption of the preference shares issued by our Singapore subsidiary and held by Harris and another stockholder. The shares were redeemed on January 30, 2012, the fifth anniversary of their issuance, at their total face value of $8.25 million, with the proceeds of a two-year long-term loan under the terms of an amendment to our credit facility with Silicon Valley Bank, as discussed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 liability for restructuring activities totaling $1.6 million as of March 30, 2012, $0.9 million of which is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classified as current liability and expected to be paid out in cash over the next year. Additionally, during the remainder of fiscal 2012, we expect to incur approximately $1.6 million of additional charges from our restructuring activities. We expect to fund these future payments with available cash and cash flow provided by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amounts disclosed in our Fiscal 2011 Form 10-K include our commercial commitments and contractual obligations. During the three quarters ended March 30, 2012, other than the redemption of our $8.25 million preference shares and funded with an $8.25 million two-year term loan in January 2012,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2011 Form 10-K.</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2011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4"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As described in “Note 1. Basis of Presentation — Recently Issued Accounting Standards” in the Notes to Condensed Consolidated Financial Statements, there are accounting pronouncements that have recently been issued but have not yet been implemented by us. Note 1 describes the potential impact that these pronouncements are expected to have on our financial position, results of operations and cash flows.</w:t>
      </w:r>
    </w:p>
    <w:p>
      <w:pPr>
        <w:spacing w:after="0" w:line="3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9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As of March 30, 2012, we had 45 foreign currency forward contracts outstanding with a total net notional amount of $14.2 million consisting of 13 different currencies. The following is a summary of the net notional amount of our outstanding contracts grouped by the underlying foreign currency as of March 30, 2012:</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Contract</w:t>
            </w:r>
          </w:p>
        </w:tc>
        <w:tc>
          <w:tcPr>
            <w:tcW w:w="260" w:type="dxa"/>
            <w:vAlign w:val="bottom"/>
          </w:tcPr>
          <w:p>
            <w:pPr>
              <w:spacing w:after="0"/>
              <w:rPr>
                <w:sz w:val="14"/>
                <w:szCs w:val="1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Net Notional</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Net Amount</w:t>
            </w:r>
          </w:p>
        </w:tc>
        <w:tc>
          <w:tcPr>
            <w:tcW w:w="260" w:type="dxa"/>
            <w:vAlign w:val="bottom"/>
          </w:tcPr>
          <w:p>
            <w:pPr>
              <w:spacing w:after="0"/>
              <w:rPr>
                <w:sz w:val="12"/>
                <w:szCs w:val="12"/>
                <w:color w:val="auto"/>
              </w:rPr>
            </w:pPr>
          </w:p>
        </w:tc>
        <w:tc>
          <w:tcPr>
            <w:tcW w:w="13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360" w:type="dxa"/>
            <w:vAlign w:val="bottom"/>
            <w:gridSpan w:val="2"/>
            <w:vMerge w:val="continue"/>
          </w:tcPr>
          <w:p>
            <w:pPr>
              <w:spacing w:after="0"/>
              <w:rPr>
                <w:sz w:val="16"/>
                <w:szCs w:val="16"/>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(Local Currency)</w:t>
            </w:r>
          </w:p>
        </w:tc>
        <w:tc>
          <w:tcPr>
            <w:tcW w:w="260" w:type="dxa"/>
            <w:vAlign w:val="bottom"/>
          </w:tcPr>
          <w:p>
            <w:pPr>
              <w:spacing w:after="0"/>
              <w:rPr>
                <w:sz w:val="16"/>
                <w:szCs w:val="16"/>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Borders>
              <w:top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8.5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(222.0)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5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736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March 30, 2012 would have an impact of approximately $2.9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9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had $90.5 million in total cash and cash equivalents as of March 30, 2012. Cash equivalents totaled $51.3 million as of March 30, 2012. Cash equivalents have been recorded at fair value on our balance sheet.</w:t>
      </w:r>
    </w:p>
    <w:p>
      <w:pPr>
        <w:spacing w:after="0" w:line="11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March 30, 2012 was four days, and these investments had an average yield of 0.25% per annum. A 10% change in interest rates on our cash and cash equivalents is not expected to have a material impact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During the first three quarters of fiscal 2012, we had $6.0 million of short-term borrowings outstanding under our $40.0 million revolving credit facility that incurred interest at the prime rate. We also recorded interest on our $8.25 million long-term borrowing drawn on January 30, 2012 at the fixed rate of 5% per annum. During the first three quarters of fiscal 2012, our weighted average interest rate was 3.66% and we recorded total interest expense of $0.2 million on these borrowings.</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26"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Based on this evaluation, the Chief Executive Officer and Chief Financial Officer concluded that our disclosure controls and procedures were effective as of March 30,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16. Legal Proceedings” in response to this item.</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2011 Form 10-K.</w:t>
      </w:r>
    </w:p>
    <w:p>
      <w:pPr>
        <w:spacing w:after="0" w:line="116"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2011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40" w:type="dxa"/>
            <w:vAlign w:val="bottom"/>
          </w:tcPr>
          <w:p>
            <w:pPr>
              <w:ind w:left="468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80"/>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w w:val="91"/>
              </w:rPr>
              <w:t>March 30, 2012, formatted in XBRL (Extensible Business Reporting Language): (i) the Condensed Consolidated Statements of Operations,</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w w:val="95"/>
              </w:rPr>
              <w:t>(ii) the Condensed Consolidated Balance Sheets, and (iii) the Condensed Consolidated Statements of Cash Flows, and (iv) Notes to</w:t>
            </w: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tcPr>
          <w:p>
            <w:pPr>
              <w:ind w:left="40"/>
              <w:spacing w:after="0"/>
              <w:rPr>
                <w:sz w:val="20"/>
                <w:szCs w:val="20"/>
                <w:color w:val="auto"/>
              </w:rPr>
            </w:pPr>
            <w:r>
              <w:rPr>
                <w:rFonts w:ascii="Arial" w:cs="Arial" w:eastAsia="Arial" w:hAnsi="Arial"/>
                <w:sz w:val="18"/>
                <w:szCs w:val="18"/>
                <w:color w:val="auto"/>
              </w:rPr>
              <w:t>Condensed Consolidated Financial Statements</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6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240" w:top="125" w:right="9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01"/>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12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Descriptions</w:t>
            </w:r>
          </w:p>
        </w:tc>
        <w:tc>
          <w:tcPr>
            <w:tcW w:w="0" w:type="dxa"/>
            <w:vAlign w:val="bottom"/>
          </w:tcPr>
          <w:p>
            <w:pPr>
              <w:spacing w:after="0"/>
              <w:rPr>
                <w:sz w:val="1"/>
                <w:szCs w:val="1"/>
                <w:color w:val="auto"/>
              </w:rPr>
            </w:pPr>
          </w:p>
        </w:tc>
      </w:tr>
      <w:tr>
        <w:trPr>
          <w:trHeight w:val="192"/>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594"/>
        </w:trPr>
        <w:tc>
          <w:tcPr>
            <w:tcW w:w="216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594"/>
        </w:trPr>
        <w:tc>
          <w:tcPr>
            <w:tcW w:w="216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c>
          <w:tcPr>
            <w:tcW w:w="0" w:type="dxa"/>
            <w:vAlign w:val="bottom"/>
          </w:tcPr>
          <w:p>
            <w:pPr>
              <w:spacing w:after="0"/>
              <w:rPr>
                <w:sz w:val="1"/>
                <w:szCs w:val="1"/>
                <w:color w:val="auto"/>
              </w:rPr>
            </w:pPr>
          </w:p>
        </w:tc>
      </w:tr>
      <w:tr>
        <w:trPr>
          <w:trHeight w:val="580"/>
        </w:trPr>
        <w:tc>
          <w:tcPr>
            <w:tcW w:w="216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w w:val="91"/>
              </w:rPr>
              <w:t>March 30, 2012, formatted in XBRL (Extensible Business Reporting Language): (i) the Condensed Consolidated Statements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w w:val="93"/>
              </w:rPr>
              <w:t>of Operations, (ii) the Condensed Consolidated Balance Sheets, and (iii) the Condensed Consolidated Statements of Cash</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Flows, and (iv) Notes to Condensed Consolidated Financial Statements</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1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1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1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1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1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1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00" w:right="18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President and Chief Executive Officer of the Board of Aviat Networks, Inc., certify that:</w:t>
      </w:r>
    </w:p>
    <w:p>
      <w:pPr>
        <w:spacing w:after="0" w:line="18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30, 2012, of Aviat Networks, Inc.;</w:t>
      </w:r>
    </w:p>
    <w:p>
      <w:pPr>
        <w:spacing w:after="0" w:line="184"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120" w:firstLine="188"/>
        <w:spacing w:after="0" w:line="264"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right="100" w:firstLine="188"/>
        <w:spacing w:after="0" w:line="264" w:lineRule="auto"/>
        <w:tabs>
          <w:tab w:leader="none" w:pos="5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188"/>
        <w:spacing w:after="0" w:line="277"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right="220" w:firstLine="188"/>
        <w:spacing w:after="0" w:line="264" w:lineRule="auto"/>
        <w:tabs>
          <w:tab w:leader="none" w:pos="5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40" w:firstLine="8"/>
        <w:spacing w:after="0" w:line="308" w:lineRule="auto"/>
        <w:tabs>
          <w:tab w:leader="none" w:pos="31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188"/>
        <w:spacing w:after="0" w:line="277" w:lineRule="auto"/>
        <w:tabs>
          <w:tab w:leader="none" w:pos="5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160" w:firstLine="188"/>
        <w:spacing w:after="0" w:line="277"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42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4399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Senior Vice President and Chief Financial Officer of Aviat Networks, Inc., certify that:</w:t>
      </w:r>
    </w:p>
    <w:p>
      <w:pPr>
        <w:spacing w:after="0" w:line="18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30, 2012, of Aviat Networks, Inc.;</w:t>
      </w:r>
    </w:p>
    <w:p>
      <w:pPr>
        <w:spacing w:after="0" w:line="184"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120" w:firstLine="188"/>
        <w:spacing w:after="0" w:line="264"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right="100" w:firstLine="188"/>
        <w:spacing w:after="0" w:line="264" w:lineRule="auto"/>
        <w:tabs>
          <w:tab w:leader="none" w:pos="5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188"/>
        <w:spacing w:after="0" w:line="277"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right="220" w:firstLine="188"/>
        <w:spacing w:after="0" w:line="264" w:lineRule="auto"/>
        <w:tabs>
          <w:tab w:leader="none" w:pos="5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40" w:firstLine="8"/>
        <w:spacing w:after="0" w:line="308" w:lineRule="auto"/>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100" w:firstLine="188"/>
        <w:spacing w:after="0" w:line="277" w:lineRule="auto"/>
        <w:tabs>
          <w:tab w:leader="none" w:pos="55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160" w:firstLine="188"/>
        <w:spacing w:after="0" w:line="277"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6"/>
          <w:szCs w:val="16"/>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30, 2012,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left="80" w:right="180" w:firstLine="9"/>
        <w:spacing w:after="0" w:line="277" w:lineRule="auto"/>
        <w:tabs>
          <w:tab w:leader="none" w:pos="46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24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2019-12-09T18:30:06Z</dcterms:created>
  <dcterms:modified xsi:type="dcterms:W3CDTF">2019-12-09T18:30:06Z</dcterms:modified>
</cp:coreProperties>
</file>