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October 1,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380" w:type="dxa"/>
            <w:vAlign w:val="bottom"/>
            <w:gridSpan w:val="4"/>
          </w:tcPr>
          <w:p>
            <w:pPr>
              <w:ind w:left="580"/>
              <w:spacing w:after="0"/>
              <w:rPr>
                <w:sz w:val="20"/>
                <w:szCs w:val="20"/>
                <w:color w:val="auto"/>
              </w:rPr>
            </w:pPr>
            <w:r>
              <w:rPr>
                <w:rFonts w:ascii="Arial" w:cs="Arial" w:eastAsia="Arial" w:hAnsi="Arial"/>
                <w:sz w:val="18"/>
                <w:szCs w:val="18"/>
                <w:b w:val="1"/>
                <w:bCs w:val="1"/>
                <w:color w:val="auto"/>
                <w:w w:val="90"/>
              </w:rPr>
              <w:t>Commission File Number 001-33278</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AVIAT NETWORKS,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20-5961564</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3"/>
              </w:rPr>
              <w:t>5200 Great American Parkway</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3"/>
              </w:rPr>
              <w:t>Santa Clara, California</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95054</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(408) 567-7000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changes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03" w:lineRule="exact"/>
        <w:rPr>
          <w:sz w:val="20"/>
          <w:szCs w:val="20"/>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 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60" w:space="720"/>
            <w:col w:w="3340" w:space="420"/>
            <w:col w:w="2340"/>
          </w:cols>
          <w:pgMar w:left="240" w:top="122" w:right="239" w:bottom="1440" w:gutter="0" w:footer="0" w:header="0"/>
          <w:type w:val="continuous"/>
        </w:sectPr>
      </w:pPr>
    </w:p>
    <w:p>
      <w:pPr>
        <w:ind w:right="228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 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as of November 4, 2010 was 59,718,344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AVIAT NETWORKS,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October 2, 2009</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8"/>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Financial Information</w:t>
              </w:r>
            </w:hyperlink>
          </w:p>
        </w:tc>
        <w:tc>
          <w:tcPr>
            <w:tcW w:w="8380" w:type="dxa"/>
            <w:vAlign w:val="bottom"/>
            <w:gridSpan w:val="8"/>
            <w:vMerge w:val="restart"/>
          </w:tcPr>
          <w:p>
            <w:pPr>
              <w:spacing w:after="0"/>
              <w:rPr>
                <w:sz w:val="14"/>
                <w:szCs w:val="1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260" w:type="dxa"/>
            <w:vAlign w:val="bottom"/>
            <w:tcBorders>
              <w:bottom w:val="single" w:sz="8" w:color="0000EE"/>
            </w:tcBorders>
            <w:gridSpan w:val="8"/>
            <w:vMerge w:val="continue"/>
          </w:tcPr>
          <w:p>
            <w:pPr>
              <w:spacing w:after="0"/>
              <w:rPr>
                <w:sz w:val="14"/>
                <w:szCs w:val="14"/>
                <w:color w:val="auto"/>
              </w:rPr>
            </w:pPr>
          </w:p>
        </w:tc>
        <w:tc>
          <w:tcPr>
            <w:tcW w:w="8380" w:type="dxa"/>
            <w:vAlign w:val="bottom"/>
            <w:gridSpan w:val="8"/>
            <w:vMerge w:val="continue"/>
          </w:tcPr>
          <w:p>
            <w:pPr>
              <w:spacing w:after="0"/>
              <w:rPr>
                <w:sz w:val="14"/>
                <w:szCs w:val="14"/>
                <w:color w:val="auto"/>
              </w:rPr>
            </w:pPr>
          </w:p>
        </w:tc>
        <w:tc>
          <w:tcPr>
            <w:tcW w:w="680" w:type="dxa"/>
            <w:vAlign w:val="bottom"/>
          </w:tcPr>
          <w:p>
            <w:pPr>
              <w:jc w:val="center"/>
              <w:ind w:left="11"/>
              <w:spacing w:after="0" w:line="170"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Quarters ended October 1, 2010 and October 2, 2009</w:t>
              </w:r>
            </w:hyperlink>
          </w:p>
        </w:tc>
        <w:tc>
          <w:tcPr>
            <w:tcW w:w="2380" w:type="dxa"/>
            <w:vAlign w:val="bottom"/>
            <w:gridSpan w:val="2"/>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7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October 1, 2010 and July 2, 2010</w:t>
              </w:r>
            </w:hyperlink>
          </w:p>
        </w:tc>
        <w:tc>
          <w:tcPr>
            <w:tcW w:w="4660" w:type="dxa"/>
            <w:vAlign w:val="bottom"/>
            <w:gridSpan w:val="4"/>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Quarters ended October 1, 2010 and October 2, 2009</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180" w:type="dxa"/>
            <w:vAlign w:val="bottom"/>
            <w:tcBorders>
              <w:top w:val="single" w:sz="8" w:color="0000EE"/>
            </w:tcBorders>
            <w:gridSpan w:val="4"/>
          </w:tcPr>
          <w:p>
            <w:pPr>
              <w:spacing w:after="0"/>
              <w:rPr>
                <w:sz w:val="17"/>
                <w:szCs w:val="17"/>
                <w:color w:val="auto"/>
              </w:rPr>
            </w:pPr>
          </w:p>
        </w:tc>
        <w:tc>
          <w:tcPr>
            <w:tcW w:w="2340" w:type="dxa"/>
            <w:vAlign w:val="bottom"/>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Item 3.</w:t>
              </w:r>
            </w:hyperlink>
          </w:p>
        </w:tc>
        <w:tc>
          <w:tcPr>
            <w:tcW w:w="64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3420" w:type="dxa"/>
            <w:vAlign w:val="bottom"/>
            <w:gridSpan w:val="3"/>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Item 4.</w:t>
              </w:r>
            </w:hyperlink>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2"/>
          </w:tcPr>
          <w:p>
            <w:pPr>
              <w:spacing w:after="0"/>
              <w:rPr>
                <w:sz w:val="17"/>
                <w:szCs w:val="17"/>
                <w:color w:val="auto"/>
              </w:rPr>
            </w:pPr>
          </w:p>
        </w:tc>
        <w:tc>
          <w:tcPr>
            <w:tcW w:w="5520" w:type="dxa"/>
            <w:vAlign w:val="bottom"/>
            <w:gridSpan w:val="5"/>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96"/>
        </w:trPr>
        <w:tc>
          <w:tcPr>
            <w:tcW w:w="10640" w:type="dxa"/>
            <w:vAlign w:val="bottom"/>
            <w:gridSpan w:val="16"/>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54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1.</w:t>
              </w:r>
            </w:hyperlink>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8540" w:type="dxa"/>
            <w:vAlign w:val="bottom"/>
            <w:gridSpan w:val="9"/>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20" w:type="dxa"/>
            <w:vAlign w:val="bottom"/>
            <w:gridSpan w:val="1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6.</w:t>
              </w:r>
            </w:hyperlink>
          </w:p>
        </w:tc>
        <w:tc>
          <w:tcPr>
            <w:tcW w:w="10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840" w:type="dxa"/>
            <w:vAlign w:val="bottom"/>
            <w:gridSpan w:val="11"/>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80" w:type="dxa"/>
            <w:vAlign w:val="bottom"/>
            <w:gridSpan w:val="1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28">
              <w:r>
                <w:rPr>
                  <w:rFonts w:ascii="Arial" w:cs="Arial" w:eastAsia="Arial" w:hAnsi="Arial"/>
                  <w:sz w:val="18"/>
                  <w:szCs w:val="18"/>
                  <w:b w:val="1"/>
                  <w:bCs w:val="1"/>
                  <w:color w:val="0000EE"/>
                  <w:w w:val="89"/>
                </w:rPr>
                <w:t>Signature</w:t>
              </w:r>
            </w:hyperlink>
          </w:p>
        </w:tc>
        <w:tc>
          <w:tcPr>
            <w:tcW w:w="9880" w:type="dxa"/>
            <w:vAlign w:val="bottom"/>
            <w:gridSpan w:val="14"/>
          </w:tcPr>
          <w:p>
            <w:pPr>
              <w:spacing w:after="0"/>
              <w:rPr>
                <w:sz w:val="17"/>
                <w:szCs w:val="17"/>
                <w:color w:val="auto"/>
              </w:rPr>
            </w:pPr>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10640" w:type="dxa"/>
            <w:vAlign w:val="bottom"/>
            <w:gridSpan w:val="16"/>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Exhibit Index</w:t>
              </w:r>
            </w:hyperlink>
          </w:p>
        </w:tc>
        <w:tc>
          <w:tcPr>
            <w:tcW w:w="680" w:type="dxa"/>
            <w:vAlign w:val="bottom"/>
          </w:tcPr>
          <w:p>
            <w:pPr>
              <w:jc w:val="center"/>
              <w:ind w:left="11"/>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22"/>
              <w:spacing w:after="0"/>
              <w:rPr>
                <w:sz w:val="20"/>
                <w:szCs w:val="20"/>
                <w:color w:val="auto"/>
              </w:rPr>
            </w:pPr>
            <w:r>
              <w:rPr>
                <w:rFonts w:ascii="Arial" w:cs="Arial" w:eastAsia="Arial" w:hAnsi="Arial"/>
                <w:sz w:val="14"/>
                <w:szCs w:val="14"/>
                <w:b w:val="1"/>
                <w:bCs w:val="1"/>
                <w:color w:val="auto"/>
              </w:rPr>
              <w:t>Quarter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200" w:type="dxa"/>
            <w:vAlign w:val="bottom"/>
            <w:gridSpan w:val="4"/>
          </w:tcPr>
          <w:p>
            <w:pPr>
              <w:jc w:val="right"/>
              <w:ind w:right="480"/>
              <w:spacing w:after="0" w:line="119" w:lineRule="exact"/>
              <w:rPr>
                <w:sz w:val="20"/>
                <w:szCs w:val="20"/>
                <w:color w:val="auto"/>
              </w:rPr>
            </w:pPr>
            <w:r>
              <w:rPr>
                <w:rFonts w:ascii="Arial" w:cs="Arial" w:eastAsia="Arial" w:hAnsi="Arial"/>
                <w:sz w:val="13"/>
                <w:szCs w:val="13"/>
                <w:b w:val="1"/>
                <w:bCs w:val="1"/>
                <w:color w:val="auto"/>
              </w:rPr>
              <w:t>October 1,</w:t>
            </w:r>
          </w:p>
        </w:tc>
        <w:tc>
          <w:tcPr>
            <w:tcW w:w="360" w:type="dxa"/>
            <w:vAlign w:val="bottom"/>
          </w:tcPr>
          <w:p>
            <w:pPr>
              <w:spacing w:after="0"/>
              <w:rPr>
                <w:sz w:val="10"/>
                <w:szCs w:val="10"/>
                <w:color w:val="auto"/>
              </w:rPr>
            </w:pP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October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(In millions,</w:t>
            </w:r>
          </w:p>
        </w:tc>
        <w:tc>
          <w:tcPr>
            <w:tcW w:w="15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87"/>
              </w:rPr>
              <w:t>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product sales and services: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Revenue from product sales</w:t>
            </w:r>
          </w:p>
        </w:tc>
        <w:tc>
          <w:tcPr>
            <w:tcW w:w="2320" w:type="dxa"/>
            <w:vAlign w:val="bottom"/>
            <w:gridSpan w:val="2"/>
          </w:tcPr>
          <w:p>
            <w:pPr>
              <w:ind w:left="21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84.9</w:t>
            </w:r>
          </w:p>
        </w:tc>
        <w:tc>
          <w:tcPr>
            <w:tcW w:w="400" w:type="dxa"/>
            <w:vAlign w:val="bottom"/>
          </w:tcPr>
          <w:p>
            <w:pPr>
              <w:spacing w:after="0"/>
              <w:rPr>
                <w:sz w:val="18"/>
                <w:szCs w:val="18"/>
                <w:color w:val="auto"/>
              </w:rPr>
            </w:pPr>
          </w:p>
        </w:tc>
        <w:tc>
          <w:tcPr>
            <w:tcW w:w="5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35.1</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 sales and services: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Cost of product sales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(68.0)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(16.7)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Amortization of purchased technology</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product sales and services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(84.9)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(82.3)</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Gross margin</w:t>
            </w:r>
          </w:p>
        </w:tc>
        <w:tc>
          <w:tcPr>
            <w:tcW w:w="2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(29.2)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development, selling and administrative expenses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(40.3)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Amortization of identifiable intangible assets</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(0.7)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loss</w:t>
            </w:r>
          </w:p>
        </w:tc>
        <w:tc>
          <w:tcPr>
            <w:tcW w:w="2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gridSpan w:val="2"/>
            <w:vMerge w:val="continue"/>
          </w:tcPr>
          <w:p>
            <w:pPr>
              <w:spacing w:after="0"/>
              <w:rPr>
                <w:sz w:val="19"/>
                <w:szCs w:val="19"/>
                <w:color w:val="auto"/>
              </w:rPr>
            </w:pPr>
          </w:p>
        </w:tc>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(22.4)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NetBoss assets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Interest income</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2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 of Common Stock</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Basic</w:t>
            </w:r>
          </w:p>
        </w:tc>
        <w:tc>
          <w:tcPr>
            <w:tcW w:w="2320" w:type="dxa"/>
            <w:vAlign w:val="bottom"/>
            <w:gridSpan w:val="2"/>
          </w:tcPr>
          <w:p>
            <w:pPr>
              <w:ind w:left="2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(0.36)</w:t>
            </w:r>
          </w:p>
        </w:tc>
        <w:tc>
          <w:tcPr>
            <w:tcW w:w="54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(0.36)</w:t>
            </w:r>
          </w:p>
        </w:tc>
        <w:tc>
          <w:tcPr>
            <w:tcW w:w="5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October 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July 2,</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20"/>
                <w:szCs w:val="20"/>
                <w:color w:val="auto"/>
              </w:rPr>
            </w:pPr>
            <w:r>
              <w:rPr>
                <w:rFonts w:ascii="Arial" w:cs="Arial" w:eastAsia="Arial" w:hAnsi="Arial"/>
                <w:sz w:val="14"/>
                <w:szCs w:val="14"/>
                <w:b w:val="1"/>
                <w:bCs w:val="1"/>
                <w:color w:val="auto"/>
              </w:rPr>
              <w:t>(In millions, except 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141.7</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120.5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68.8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23"/>
        </w:trPr>
        <w:tc>
          <w:tcPr>
            <w:tcW w:w="9280" w:type="dxa"/>
            <w:vAlign w:val="bottom"/>
          </w:tcPr>
          <w:p>
            <w:pPr>
              <w:ind w:left="6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348.9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Long-Term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Identifiable intangible assets,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long-term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74.5</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debt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45.7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payments and unearned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37.2</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Restructuring liabilities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155.5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166.6</w:t>
            </w: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Long-Term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other long-term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Redeemable preference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 for uncertain tax 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173.2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183.8</w:t>
            </w: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i w:val="1"/>
                <w:iCs w:val="1"/>
                <w:color w:val="auto"/>
              </w:rPr>
              <w:t>Commitments and contingencies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7"/>
              </w:rPr>
              <w:t>Common stock, $0.01 par value; 300,000,000 shares authorized; issued and outstanding 59,327,974 shares as of</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w:t>
            </w: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October 1, 2010 and 59,400,059 shares as of July 2, 2010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787.3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786.5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(521.3)</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CONDENSED CONSOLIDATED STATEMENTS OF CASH FLOW </w:t>
      </w: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left="272"/>
              <w:spacing w:after="0"/>
              <w:rPr>
                <w:sz w:val="20"/>
                <w:szCs w:val="20"/>
                <w:color w:val="auto"/>
              </w:rPr>
            </w:pPr>
            <w:r>
              <w:rPr>
                <w:rFonts w:ascii="Arial" w:cs="Arial" w:eastAsia="Arial" w:hAnsi="Arial"/>
                <w:sz w:val="14"/>
                <w:szCs w:val="14"/>
                <w:b w:val="1"/>
                <w:bCs w:val="1"/>
                <w:color w:val="auto"/>
                <w:w w:val="96"/>
              </w:rPr>
              <w:t>Quarter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October 1,</w:t>
            </w:r>
          </w:p>
        </w:tc>
        <w:tc>
          <w:tcPr>
            <w:tcW w:w="32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October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5"/>
          </w:tcPr>
          <w:p>
            <w:pPr>
              <w:jc w:val="center"/>
              <w:ind w:left="292"/>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(21.3)</w:t>
            </w:r>
          </w:p>
        </w:tc>
        <w:tc>
          <w:tcPr>
            <w:tcW w:w="48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Amortization of identifiable 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Non-cash share-based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 (benefit)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Loss on sale of NetBoss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Unbilled costs and inventories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(5.2)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Advance payments and unearned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Restructuring liabilities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sale of NetBoss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Cash paid related to acquisition of Telsima in prior fiscal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Additions of property, plant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of capitalized software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Proceeds from short-term debt arrangement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short-term debt arrangement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136.8</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quarter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1,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Presentation and Nature of Operations</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accompanying condensed consolidated financial statements of Aviat Networks, Inc. and its subsidiaries (“we,” “us,” and “our”) have been prepared by us, without an audit, in accordance with U.S. generally accepted accounting principles for interim financial information and with the rules and regulations of the Securities and Exchange Commission (“SEC”). Accordingly, they do not include all information and footnotes necessary for a complete presentation of financial position, results of operations and cash flows in conformity with U.S. generally accepted accounting principles. In the opinion of management, such interim financial statements reflect all adjustments (consisting of normal recurring adjustments) considered necessary for a fair presentation of financial position, results of operations and cash flows for such periods.</w:t>
      </w:r>
    </w:p>
    <w:p>
      <w:pPr>
        <w:spacing w:after="0" w:line="85"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results for the quarter ended October 1, 2010 (the “first quarter of fiscal 2011”) are not necessarily indicative of the results that may be expected for the full fiscal year or any subsequent period. The balance sheet as of July 2, 2010 has been derived from the audited financial statements but does not include all of the information and footnotes required by U.S. generally accepted accounting principles for annual financial statements. We provide complete financial statements in our Annual Report on Form 10-K, which includes information and footnotes required by the rules and regulations of the SEC. The information included in this Quarterly Report on Form 10-Q (this “Report”) should be read in conjunction with the Management’s Discussion and Analysis of Financial Condition and Results of Operations, and the Consolidated Financial Statements and accompanying Notes to Consolidated Financial Statements included in our Annual Report on Form 10-K for the fiscal year ended July 2, 2010 (“Fiscal 2010 Form 10-K”).</w:t>
      </w:r>
    </w:p>
    <w:p>
      <w:pPr>
        <w:spacing w:after="0" w:line="59" w:lineRule="exact"/>
        <w:rPr>
          <w:sz w:val="20"/>
          <w:szCs w:val="20"/>
          <w:color w:val="auto"/>
        </w:rPr>
      </w:pPr>
    </w:p>
    <w:p>
      <w:pPr>
        <w:ind w:right="200" w:firstLine="222"/>
        <w:spacing w:after="0" w:line="342" w:lineRule="auto"/>
        <w:rPr>
          <w:sz w:val="20"/>
          <w:szCs w:val="20"/>
          <w:color w:val="auto"/>
        </w:rPr>
      </w:pPr>
      <w:r>
        <w:rPr>
          <w:rFonts w:ascii="Arial" w:cs="Arial" w:eastAsia="Arial" w:hAnsi="Arial"/>
          <w:sz w:val="16"/>
          <w:szCs w:val="16"/>
          <w:color w:val="auto"/>
        </w:rPr>
        <w:t>The preparation of financial statements in accordance with U.S. generally accepted accounting principles requires us to make estimates and assumptions that affect the amounts reported in the financial statements and accompanying notes. Actual results could differ from those estimates and assumptions.</w:t>
      </w:r>
    </w:p>
    <w:p>
      <w:pPr>
        <w:spacing w:after="0" w:line="16" w:lineRule="exact"/>
        <w:rPr>
          <w:sz w:val="20"/>
          <w:szCs w:val="20"/>
          <w:color w:val="auto"/>
        </w:rPr>
      </w:pPr>
    </w:p>
    <w:p>
      <w:pPr>
        <w:ind w:right="160" w:firstLine="225"/>
        <w:spacing w:after="0" w:line="291" w:lineRule="auto"/>
        <w:rPr>
          <w:sz w:val="20"/>
          <w:szCs w:val="20"/>
          <w:color w:val="auto"/>
        </w:rPr>
      </w:pPr>
      <w:r>
        <w:rPr>
          <w:rFonts w:ascii="Arial" w:cs="Arial" w:eastAsia="Arial" w:hAnsi="Arial"/>
          <w:sz w:val="16"/>
          <w:szCs w:val="16"/>
          <w:i w:val="1"/>
          <w:iCs w:val="1"/>
          <w:color w:val="auto"/>
        </w:rPr>
        <w:t xml:space="preserve">Nature of Operations </w:t>
      </w:r>
      <w:r>
        <w:rPr>
          <w:rFonts w:ascii="Arial" w:cs="Arial" w:eastAsia="Arial" w:hAnsi="Arial"/>
          <w:sz w:val="16"/>
          <w:szCs w:val="16"/>
          <w:color w:val="auto"/>
        </w:rPr>
        <w:t>— We design, manufacture and sell a range of wireless networking products, solutions and services to mobile and fixed telephone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providers, private network operators, government agencies, transportation and utility companies, public safety agencies and broadcast system operators across the globe. Our products include both point-to-point (PTP) and point-to-multipoint (PMP) digital microwave transmission systems designed for first/last mile access, middle mile/backhaul and long distance trunking applications. Our PMP product portfolio includes base stations and subscriber equipment based upon the IEEE 802.16d-2004 and 16e-2005 standards for fixed and mobile Worldwide Interoperability for Microwave Access (WiMAX). We also provide network management software solutions to enable operators to deploy, monitor and manage our systems, third party equipment such as antennas, routers and multiplexers to build and deploy a wireless transmission network and a full suite of turnkey support services.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New Accounting Pronouncements</w:t>
      </w:r>
    </w:p>
    <w:p>
      <w:pPr>
        <w:spacing w:after="0" w:line="121"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or other standards setting bodies that are adopted by us as of the specified effective date. Unless otherwise discussed, we believe the impact of recently issued standards that are not yet effective will not have a material impact on our consolidated financial position, results of operations and cash flows upon adoption.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Accumulated Other Comprehensive Loss and Comprehensive Loss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changes in components of our accumulated other comprehensive loss during the first quarter of fiscal 2011 and 2010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Hedging</w:t>
            </w:r>
          </w:p>
        </w:tc>
        <w:tc>
          <w:tcPr>
            <w:tcW w:w="220" w:type="dxa"/>
            <w:vAlign w:val="bottom"/>
          </w:tcPr>
          <w:p>
            <w:pPr>
              <w:spacing w:after="0"/>
              <w:rPr>
                <w:sz w:val="12"/>
                <w:szCs w:val="12"/>
                <w:color w:val="auto"/>
              </w:rPr>
            </w:pP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10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420" w:type="dxa"/>
            <w:vAlign w:val="bottom"/>
            <w:gridSpan w:val="6"/>
          </w:tcPr>
          <w:p>
            <w:pPr>
              <w:ind w:left="80"/>
              <w:spacing w:after="0"/>
              <w:rPr>
                <w:sz w:val="20"/>
                <w:szCs w:val="20"/>
                <w:color w:val="auto"/>
              </w:rPr>
            </w:pPr>
            <w:r>
              <w:rPr>
                <w:rFonts w:ascii="Arial" w:cs="Arial" w:eastAsia="Arial" w:hAnsi="Arial"/>
                <w:sz w:val="14"/>
                <w:szCs w:val="14"/>
                <w:b w:val="1"/>
                <w:bCs w:val="1"/>
                <w:color w:val="auto"/>
              </w:rPr>
              <w:t>Derivatives</w:t>
            </w: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2,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w:t>
            </w:r>
          </w:p>
        </w:tc>
        <w:tc>
          <w:tcPr>
            <w:tcW w:w="380" w:type="dxa"/>
            <w:vAlign w:val="bottom"/>
            <w:gridSpan w:val="3"/>
            <w:shd w:val="clear" w:color="auto" w:fill="CCEEFF"/>
          </w:tcPr>
          <w:p>
            <w:pPr>
              <w:ind w:left="300"/>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3"/>
            <w:shd w:val="clear" w:color="auto" w:fill="CCEEFF"/>
          </w:tcPr>
          <w:p>
            <w:pPr>
              <w:jc w:val="right"/>
              <w:ind w:right="169"/>
              <w:spacing w:after="0"/>
              <w:rPr>
                <w:sz w:val="20"/>
                <w:szCs w:val="20"/>
                <w:color w:val="auto"/>
              </w:rPr>
            </w:pPr>
            <w:r>
              <w:rPr>
                <w:rFonts w:ascii="Arial" w:cs="Arial" w:eastAsia="Arial" w:hAnsi="Arial"/>
                <w:sz w:val="18"/>
                <w:szCs w:val="18"/>
                <w:b w:val="1"/>
                <w:bCs w:val="1"/>
                <w:color w:val="auto"/>
              </w:rPr>
              <w:t>0.3</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8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9"/>
              <w:spacing w:after="0"/>
              <w:rPr>
                <w:sz w:val="20"/>
                <w:szCs w:val="20"/>
                <w:color w:val="auto"/>
              </w:rPr>
            </w:pPr>
            <w:r>
              <w:rPr>
                <w:rFonts w:ascii="Arial" w:cs="Arial" w:eastAsia="Arial" w:hAnsi="Arial"/>
                <w:sz w:val="18"/>
                <w:szCs w:val="18"/>
                <w:b w:val="1"/>
                <w:bCs w:val="1"/>
                <w:color w:val="auto"/>
              </w:rPr>
              <w:t>(0.5)</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Balance as of October 1, 2010</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09"/>
              <w:spacing w:after="0"/>
              <w:rPr>
                <w:sz w:val="20"/>
                <w:szCs w:val="20"/>
                <w:color w:val="auto"/>
              </w:rPr>
            </w:pPr>
            <w:r>
              <w:rPr>
                <w:rFonts w:ascii="Arial" w:cs="Arial" w:eastAsia="Arial" w:hAnsi="Arial"/>
                <w:sz w:val="8"/>
                <w:szCs w:val="8"/>
                <w:b w:val="1"/>
                <w:bCs w:val="1"/>
                <w:color w:val="auto"/>
                <w:w w:val="73"/>
              </w:rPr>
              <w:t>)</w:t>
            </w:r>
          </w:p>
        </w:tc>
        <w:tc>
          <w:tcPr>
            <w:tcW w:w="4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3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(0.2</w:t>
            </w:r>
          </w:p>
        </w:tc>
        <w:tc>
          <w:tcPr>
            <w:tcW w:w="20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w:t>
            </w:r>
          </w:p>
        </w:tc>
        <w:tc>
          <w:tcPr>
            <w:tcW w:w="380" w:type="dxa"/>
            <w:vAlign w:val="bottom"/>
            <w:gridSpan w:val="3"/>
            <w:shd w:val="clear" w:color="auto" w:fill="CCEEFF"/>
          </w:tcPr>
          <w:p>
            <w:pPr>
              <w:ind w:left="300"/>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3"/>
            <w:shd w:val="clear" w:color="auto" w:fill="CCEEFF"/>
          </w:tcPr>
          <w:p>
            <w:pPr>
              <w:jc w:val="right"/>
              <w:ind w:right="109"/>
              <w:spacing w:after="0"/>
              <w:rPr>
                <w:sz w:val="20"/>
                <w:szCs w:val="20"/>
                <w:color w:val="auto"/>
              </w:rPr>
            </w:pPr>
            <w:r>
              <w:rPr>
                <w:rFonts w:ascii="Arial" w:cs="Arial" w:eastAsia="Arial" w:hAnsi="Arial"/>
                <w:sz w:val="18"/>
                <w:szCs w:val="18"/>
                <w:b w:val="1"/>
                <w:bCs w:val="1"/>
                <w:color w:val="auto"/>
              </w:rPr>
              <w:t>(0.4)</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Foreign currency translation gain</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588"/>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9"/>
              <w:spacing w:after="0"/>
              <w:rPr>
                <w:sz w:val="20"/>
                <w:szCs w:val="20"/>
                <w:color w:val="auto"/>
              </w:rPr>
            </w:pPr>
            <w:r>
              <w:rPr>
                <w:rFonts w:ascii="Arial" w:cs="Arial" w:eastAsia="Arial" w:hAnsi="Arial"/>
                <w:sz w:val="18"/>
                <w:szCs w:val="18"/>
                <w:b w:val="1"/>
                <w:bCs w:val="1"/>
                <w:color w:val="auto"/>
              </w:rPr>
              <w:t>(0.3)</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Balance as of October 2, 2009</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09"/>
              <w:spacing w:after="0"/>
              <w:rPr>
                <w:sz w:val="20"/>
                <w:szCs w:val="20"/>
                <w:color w:val="auto"/>
              </w:rPr>
            </w:pPr>
            <w:r>
              <w:rPr>
                <w:rFonts w:ascii="Arial" w:cs="Arial" w:eastAsia="Arial" w:hAnsi="Arial"/>
                <w:sz w:val="8"/>
                <w:szCs w:val="8"/>
                <w:b w:val="1"/>
                <w:bCs w:val="1"/>
                <w:color w:val="auto"/>
                <w:w w:val="73"/>
              </w:rPr>
              <w:t>)</w:t>
            </w:r>
          </w:p>
        </w:tc>
        <w:tc>
          <w:tcPr>
            <w:tcW w:w="4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3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w:t>
            </w:r>
          </w:p>
        </w:tc>
        <w:tc>
          <w:tcPr>
            <w:tcW w:w="20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220" w:type="dxa"/>
            <w:vAlign w:val="bottom"/>
          </w:tcPr>
          <w:p>
            <w:pPr>
              <w:jc w:val="right"/>
              <w:ind w:right="43"/>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200"/>
              <w:spacing w:after="0"/>
              <w:rPr>
                <w:sz w:val="20"/>
                <w:szCs w:val="20"/>
                <w:color w:val="auto"/>
              </w:rPr>
            </w:pPr>
            <w:r>
              <w:rPr>
                <w:rFonts w:ascii="Arial" w:cs="Arial" w:eastAsia="Arial" w:hAnsi="Arial"/>
                <w:sz w:val="18"/>
                <w:szCs w:val="18"/>
                <w:color w:val="auto"/>
                <w:w w:val="92"/>
              </w:rPr>
              <w:t>Total comprehensive loss for the first quarter of fiscal 2011 and 2010 was comprised of the following: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jc w:val="center"/>
              <w:ind w:left="153"/>
              <w:spacing w:after="0"/>
              <w:rPr>
                <w:sz w:val="20"/>
                <w:szCs w:val="20"/>
                <w:color w:val="auto"/>
              </w:rPr>
            </w:pPr>
            <w:r>
              <w:rPr>
                <w:rFonts w:ascii="Arial" w:cs="Arial" w:eastAsia="Arial" w:hAnsi="Arial"/>
                <w:sz w:val="14"/>
                <w:szCs w:val="14"/>
                <w:b w:val="1"/>
                <w:bCs w:val="1"/>
                <w:color w:val="auto"/>
                <w:w w:val="96"/>
              </w:rPr>
              <w:t>Quarter Ended</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660" w:type="dxa"/>
            <w:vAlign w:val="bottom"/>
            <w:gridSpan w:val="3"/>
          </w:tcPr>
          <w:p>
            <w:pPr>
              <w:spacing w:after="0"/>
              <w:rPr>
                <w:sz w:val="12"/>
                <w:szCs w:val="12"/>
                <w:color w:val="auto"/>
              </w:rPr>
            </w:pPr>
          </w:p>
        </w:tc>
        <w:tc>
          <w:tcPr>
            <w:tcW w:w="96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6"/>
          </w:tcPr>
          <w:p>
            <w:pPr>
              <w:jc w:val="center"/>
              <w:ind w:left="173"/>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9"/>
              <w:spacing w:after="0"/>
              <w:rPr>
                <w:sz w:val="20"/>
                <w:szCs w:val="20"/>
                <w:color w:val="auto"/>
              </w:rPr>
            </w:pPr>
            <w:r>
              <w:rPr>
                <w:rFonts w:ascii="Arial" w:cs="Arial" w:eastAsia="Arial" w:hAnsi="Arial"/>
                <w:sz w:val="18"/>
                <w:szCs w:val="18"/>
                <w:b w:val="1"/>
                <w:bCs w:val="1"/>
                <w:color w:val="auto"/>
              </w:rPr>
              <w:t>(21.3)</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gain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2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Net unrealized loss on hedging activities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9"/>
              <w:spacing w:after="0"/>
              <w:rPr>
                <w:sz w:val="20"/>
                <w:szCs w:val="20"/>
                <w:color w:val="auto"/>
              </w:rPr>
            </w:pPr>
            <w:r>
              <w:rPr>
                <w:rFonts w:ascii="Arial" w:cs="Arial" w:eastAsia="Arial" w:hAnsi="Arial"/>
                <w:sz w:val="18"/>
                <w:szCs w:val="18"/>
                <w:b w:val="1"/>
                <w:bCs w:val="1"/>
                <w:color w:val="auto"/>
              </w:rPr>
              <w:t>(0.5)</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9"/>
              <w:spacing w:after="0"/>
              <w:rPr>
                <w:sz w:val="20"/>
                <w:szCs w:val="20"/>
                <w:color w:val="auto"/>
              </w:rPr>
            </w:pPr>
            <w:r>
              <w:rPr>
                <w:rFonts w:ascii="Arial" w:cs="Arial" w:eastAsia="Arial" w:hAnsi="Arial"/>
                <w:sz w:val="18"/>
                <w:szCs w:val="18"/>
                <w:b w:val="1"/>
                <w:bCs w:val="1"/>
                <w:color w:val="auto"/>
              </w:rPr>
              <w:t>(21.7)</w:t>
            </w:r>
          </w:p>
        </w:tc>
        <w:tc>
          <w:tcPr>
            <w:tcW w:w="4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0"/>
                <w:szCs w:val="10"/>
                <w:b w:val="1"/>
                <w:bCs w:val="1"/>
                <w:color w:val="auto"/>
                <w:w w:val="71"/>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D — Receivables</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640" w:type="dxa"/>
            <w:vAlign w:val="bottom"/>
          </w:tcPr>
          <w:p>
            <w:pPr>
              <w:ind w:left="220"/>
              <w:spacing w:after="0"/>
              <w:rPr>
                <w:sz w:val="20"/>
                <w:szCs w:val="20"/>
                <w:color w:val="auto"/>
              </w:rPr>
            </w:pPr>
            <w:r>
              <w:rPr>
                <w:rFonts w:ascii="Arial" w:cs="Arial" w:eastAsia="Arial" w:hAnsi="Arial"/>
                <w:sz w:val="18"/>
                <w:szCs w:val="18"/>
                <w:color w:val="auto"/>
              </w:rPr>
              <w:t>Our receivables are summarized below:</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6"/>
          </w:tcPr>
          <w:p>
            <w:pPr>
              <w:spacing w:after="0"/>
              <w:rPr>
                <w:sz w:val="20"/>
                <w:szCs w:val="20"/>
                <w:color w:val="auto"/>
              </w:rPr>
            </w:pPr>
            <w:r>
              <w:rPr>
                <w:rFonts w:ascii="Arial" w:cs="Arial" w:eastAsia="Arial" w:hAnsi="Arial"/>
                <w:sz w:val="14"/>
                <w:szCs w:val="14"/>
                <w:b w:val="1"/>
                <w:bCs w:val="1"/>
                <w:color w:val="auto"/>
              </w:rPr>
              <w:t>October 1, 2010</w:t>
            </w:r>
          </w:p>
        </w:tc>
        <w:tc>
          <w:tcPr>
            <w:tcW w:w="1060" w:type="dxa"/>
            <w:vAlign w:val="bottom"/>
            <w:gridSpan w:val="4"/>
          </w:tcPr>
          <w:p>
            <w:pPr>
              <w:ind w:left="220"/>
              <w:spacing w:after="0"/>
              <w:rPr>
                <w:sz w:val="20"/>
                <w:szCs w:val="20"/>
                <w:color w:val="auto"/>
              </w:rPr>
            </w:pPr>
            <w:r>
              <w:rPr>
                <w:rFonts w:ascii="Arial" w:cs="Arial" w:eastAsia="Arial" w:hAnsi="Arial"/>
                <w:sz w:val="14"/>
                <w:szCs w:val="14"/>
                <w:b w:val="1"/>
                <w:bCs w:val="1"/>
                <w:color w:val="auto"/>
              </w:rPr>
              <w:t>July 2,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3"/>
              <w:spacing w:after="0" w:line="142" w:lineRule="exact"/>
              <w:rPr>
                <w:sz w:val="20"/>
                <w:szCs w:val="20"/>
                <w:color w:val="auto"/>
              </w:rPr>
            </w:pPr>
            <w:r>
              <w:rPr>
                <w:rFonts w:ascii="Arial" w:cs="Arial" w:eastAsia="Arial" w:hAnsi="Arial"/>
                <w:sz w:val="14"/>
                <w:szCs w:val="14"/>
                <w:b w:val="1"/>
                <w:bCs w:val="1"/>
                <w:color w:val="auto"/>
                <w:w w:val="97"/>
              </w:rPr>
              <w:t>millions)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CCEEFF"/>
            </w:tcBorders>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131.4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Notes receivable due within one year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368"/>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135.6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allowances for collection losses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right"/>
              <w:ind w:right="308"/>
              <w:spacing w:after="0"/>
              <w:rPr>
                <w:sz w:val="20"/>
                <w:szCs w:val="20"/>
                <w:color w:val="auto"/>
              </w:rPr>
            </w:pPr>
            <w:r>
              <w:rPr>
                <w:rFonts w:ascii="Arial" w:cs="Arial" w:eastAsia="Arial" w:hAnsi="Arial"/>
                <w:sz w:val="18"/>
                <w:szCs w:val="18"/>
                <w:b w:val="1"/>
                <w:bCs w:val="1"/>
                <w:color w:val="auto"/>
              </w:rPr>
              <w:t>(15.1)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CCEEFF"/>
            </w:tcBorders>
            <w:gridSpan w:val="4"/>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120.5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firstLine="222"/>
        <w:spacing w:after="0" w:line="279" w:lineRule="auto"/>
        <w:rPr>
          <w:sz w:val="20"/>
          <w:szCs w:val="20"/>
          <w:color w:val="auto"/>
        </w:rPr>
      </w:pPr>
      <w:r>
        <w:rPr>
          <w:rFonts w:ascii="Arial" w:cs="Arial" w:eastAsia="Arial" w:hAnsi="Arial"/>
          <w:sz w:val="17"/>
          <w:szCs w:val="17"/>
          <w:color w:val="auto"/>
        </w:rPr>
        <w:t>To comply with requests from our customers for payment terms, we often accept letters of credit with payment terms of up to one year or more, which we then discount with various financial institutions. Under these arrangements, collection risk is fully transferred to the financial institutions. We record the cost of discounting these letters of credit as interest expense. During the first quarter of fiscal 2011 and 2010 we discounted customer letters of credit totaling $4.3 million and $20.8 million and recorded related interest expense of $0.1 million and $0.2 million.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inventories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October 1, 2010</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 2, 2010</w:t>
            </w:r>
          </w:p>
        </w:tc>
      </w:tr>
      <w:tr>
        <w:trPr>
          <w:trHeight w:val="142"/>
        </w:trPr>
        <w:tc>
          <w:tcPr>
            <w:tcW w:w="89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3"/>
              </w:rPr>
              <w:t>millions)</w:t>
            </w: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55.1</w:t>
            </w:r>
          </w:p>
        </w:tc>
        <w:tc>
          <w:tcPr>
            <w:tcW w:w="6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60.4</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5.7</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w:t>
            </w:r>
          </w:p>
        </w:tc>
      </w:tr>
      <w:tr>
        <w:trPr>
          <w:trHeight w:val="223"/>
        </w:trPr>
        <w:tc>
          <w:tcPr>
            <w:tcW w:w="89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c>
          <w:tcPr>
            <w:tcW w:w="10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Prior to fiscal 2011, we capitalized most of the costs associated with our internal manufacturing operations as a component of the overall cost of product inventory. Beginning in the first quarter of fiscal 2011, the production of all our products is outsourced to contract manufacturers and we no longer manufacture products internally. Accordingly, the costs associated with our internal operations organization are now expensed as incurred. Gross margin in the first quarter of fiscal 2011 was negatively impacted by the immediate expensing of $6.0 million of such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Property, Plant and Equipment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property, plant and equipment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October 1, 2010</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July 2, 2010</w:t>
            </w:r>
          </w:p>
        </w:tc>
      </w:tr>
      <w:tr>
        <w:trPr>
          <w:trHeight w:val="142"/>
        </w:trPr>
        <w:tc>
          <w:tcPr>
            <w:tcW w:w="89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w w:val="81"/>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millions)</w:t>
            </w:r>
          </w:p>
        </w:tc>
        <w:tc>
          <w:tcPr>
            <w:tcW w:w="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0.7</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18"/>
                <w:szCs w:val="18"/>
                <w:color w:val="auto"/>
              </w:rPr>
            </w:pP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9.3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developed for internal use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6.7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8"/>
                <w:szCs w:val="18"/>
                <w:color w:val="auto"/>
              </w:rPr>
            </w:pP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95.3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94.1</w:t>
            </w:r>
          </w:p>
        </w:tc>
      </w:tr>
      <w:tr>
        <w:trPr>
          <w:trHeight w:val="27"/>
        </w:trPr>
        <w:tc>
          <w:tcPr>
            <w:tcW w:w="8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112.0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111.3</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(75.3)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(73.7)</w:t>
            </w:r>
          </w:p>
        </w:tc>
      </w:tr>
      <w:tr>
        <w:trPr>
          <w:trHeight w:val="27"/>
        </w:trPr>
        <w:tc>
          <w:tcPr>
            <w:tcW w:w="8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36.7</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37.6</w:t>
            </w:r>
          </w:p>
        </w:tc>
      </w:tr>
      <w:tr>
        <w:trPr>
          <w:trHeight w:val="20"/>
        </w:trPr>
        <w:tc>
          <w:tcPr>
            <w:tcW w:w="8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$3.6 million and $5.3 million during the quarters ended October 1, 2010 and October 2,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Credit Facility and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outstanding debt consisted of short-term debt of $6.0 million as of October 1, 2010 and $5.0 million as of July 2, 2010.</w:t>
      </w:r>
    </w:p>
    <w:p>
      <w:pPr>
        <w:spacing w:after="0" w:line="117"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As of October 1, 2010, we terminated our previous credit facility with two commercial banks and entered into a new $40.0 million credit facility with Silicon Valley Bank for a term of one year expiring on September 30, 2011. The outstanding debt of $5.0 million under the previous credit facility was repaid on October 1, 2010 with the proceeds of a new loan under the new facility in the amount of $6.0 million.</w:t>
      </w:r>
    </w:p>
    <w:p>
      <w:pPr>
        <w:spacing w:after="0" w:line="73"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Our new credit facility provides for a committed amount of $40 million. The facility provides for (1) demand borrowings (with no stated maturity date), (2) fixed term Eurodollar loans for up to six months and (3) the issuance of standby or commercial letters of credit.</w:t>
      </w:r>
    </w:p>
    <w:p>
      <w:pPr>
        <w:spacing w:after="0" w:line="62"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 xml:space="preserve">Demand borrowings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Interest on our Eurodollar loans is computed at LIBOR plus a spread of between 2.00% to 2.75% based on our current leverage ratio. The interest rate on Eurodollar loans was set initially at a spread of 2.75% for the fiscal quarter ending October 1, 2010 and is adjustable quarterly thereafter based on the computed actual leverage ratio for the most recently completed fiscal quarter.</w:t>
      </w:r>
    </w:p>
    <w:p>
      <w:pPr>
        <w:spacing w:after="0" w:line="79" w:lineRule="exact"/>
        <w:rPr>
          <w:sz w:val="20"/>
          <w:szCs w:val="20"/>
          <w:color w:val="auto"/>
        </w:rPr>
      </w:pPr>
    </w:p>
    <w:p>
      <w:pPr>
        <w:ind w:right="580" w:firstLine="215"/>
        <w:spacing w:after="0" w:line="277" w:lineRule="auto"/>
        <w:rPr>
          <w:sz w:val="20"/>
          <w:szCs w:val="20"/>
          <w:color w:val="auto"/>
        </w:rPr>
      </w:pPr>
      <w:r>
        <w:rPr>
          <w:rFonts w:ascii="Arial" w:cs="Arial" w:eastAsia="Arial" w:hAnsi="Arial"/>
          <w:sz w:val="18"/>
          <w:szCs w:val="18"/>
          <w:color w:val="auto"/>
        </w:rPr>
        <w:t>Available credit as of October 1, 2010 was $24.4 million reflecting borrowings of $6.0 million and outstanding letters of credit of $9.6 million. The weighted average interest rate on our short-term borrowings was 3.25% as of October 1, 2010.</w:t>
      </w:r>
    </w:p>
    <w:p>
      <w:pPr>
        <w:spacing w:after="0" w:line="62"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Standby letters of credit includes a standby letter of credit issued in the amount of $2.3 million covering $2.1 million in standby letters of credit outstanding under the previous credit facility at the time of termination of that facility on October 1, 2010.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amount of this supporting letter of credit may be amended at any time to exclude the letters of credit issued under the previous facility as they expire.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Accrued Warranties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Changes in our warranty liability, which is included as a component of “Other accrued expenses” on the Condensed Consolidated Balance Sheets, during the first quarter of fiscal 2010 and 2009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left="76"/>
              <w:spacing w:after="0"/>
              <w:rPr>
                <w:sz w:val="20"/>
                <w:szCs w:val="20"/>
                <w:color w:val="auto"/>
              </w:rPr>
            </w:pPr>
            <w:r>
              <w:rPr>
                <w:rFonts w:ascii="Arial" w:cs="Arial" w:eastAsia="Arial" w:hAnsi="Arial"/>
                <w:sz w:val="14"/>
                <w:szCs w:val="14"/>
                <w:b w:val="1"/>
                <w:bCs w:val="1"/>
                <w:color w:val="auto"/>
                <w:w w:val="96"/>
              </w:rPr>
              <w:t>Quarter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640" w:type="dxa"/>
            <w:vAlign w:val="bottom"/>
            <w:gridSpan w:val="2"/>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4"/>
          </w:tcPr>
          <w:p>
            <w:pPr>
              <w:jc w:val="center"/>
              <w:ind w:left="96"/>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the beginning of the fiscal year</w:t>
            </w: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Warranty provision for revenue recorded during the first quarter</w:t>
            </w:r>
          </w:p>
        </w:tc>
        <w:tc>
          <w:tcPr>
            <w:tcW w:w="3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0.2</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first quarter</w:t>
            </w: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(0.3)</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(0.9)</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Balance as of the end of the first quarter</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Restructuring Activities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two ongoing restructuring plans.</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During the first quarter of fiscal 2011, we implemented a new restructuring plan to reduce our operational costs (the “Fiscal 2011 Plan”). The Fiscal 2011 Plan is intended bring our cost structure in line with the changing dynamics of the worldwide microwave radio and telecommunication markets, primarily in North America, Europe and Asia. During the first quarter of fiscal 2011, our restructuring charges from the Fiscal 2011 Plan totaled $4.7 million and consisted of the following items:</w:t>
      </w:r>
    </w:p>
    <w:p>
      <w:pPr>
        <w:spacing w:after="0" w:line="7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Severance, retention and related charges totaling $2.5 million from reduction in force activities for the closing of the Morrisville, North Carolina office.</w:t>
      </w:r>
    </w:p>
    <w:p>
      <w:pPr>
        <w:spacing w:after="0" w:line="140" w:lineRule="exact"/>
        <w:rPr>
          <w:rFonts w:ascii="Arial" w:cs="Arial" w:eastAsia="Arial" w:hAnsi="Arial"/>
          <w:sz w:val="16"/>
          <w:szCs w:val="16"/>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$1.4 million from reduction in force activities resulting from sale of the NetBoss assets.</w:t>
      </w:r>
    </w:p>
    <w:p>
      <w:pPr>
        <w:spacing w:after="0" w:line="117"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$0.8 million from reduction in force activities of a portion of global sales personnel.</w:t>
      </w:r>
    </w:p>
    <w:p>
      <w:pPr>
        <w:spacing w:after="0" w:line="117" w:lineRule="exact"/>
        <w:rPr>
          <w:sz w:val="20"/>
          <w:szCs w:val="20"/>
          <w:color w:val="auto"/>
        </w:rPr>
      </w:pPr>
    </w:p>
    <w:p>
      <w:pPr>
        <w:jc w:val="both"/>
        <w:ind w:right="140" w:firstLine="225"/>
        <w:spacing w:after="0" w:line="259" w:lineRule="auto"/>
        <w:rPr>
          <w:sz w:val="20"/>
          <w:szCs w:val="20"/>
          <w:color w:val="auto"/>
        </w:rPr>
      </w:pPr>
      <w:r>
        <w:rPr>
          <w:rFonts w:ascii="Arial" w:cs="Arial" w:eastAsia="Arial" w:hAnsi="Arial"/>
          <w:sz w:val="18"/>
          <w:szCs w:val="18"/>
          <w:color w:val="auto"/>
        </w:rPr>
        <w:t>In addition, during the first quarter of fiscal 2011, we continued restructuring activities that commenced during fiscal 2009 to reduce our workforce in the U.S., France, Canada and other locations throughout the world (the “Fiscal 2009 Plan”). These activities primarily consisted of outsourcing our San Antonio manufacturing operations to a third party in Austin, Texas. During the first quarter of fiscal 2011, our restructuring charges from the Fiscal 2009 Plan totaled $0.9 million and consisted of the following items:</w:t>
      </w:r>
    </w:p>
    <w:p>
      <w:pPr>
        <w:spacing w:after="0" w:line="7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$0.8 million for reduction in force activities.</w:t>
      </w:r>
    </w:p>
    <w:p>
      <w:pPr>
        <w:spacing w:after="0" w:line="117"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Charges totaling $0.1 million for facility lease obligation adjustments.</w:t>
      </w:r>
    </w:p>
    <w:p>
      <w:pPr>
        <w:spacing w:after="0" w:line="117" w:lineRule="exact"/>
        <w:rPr>
          <w:sz w:val="20"/>
          <w:szCs w:val="20"/>
          <w:color w:val="auto"/>
        </w:rPr>
      </w:pPr>
    </w:p>
    <w:p>
      <w:pPr>
        <w:ind w:right="360" w:firstLine="225"/>
        <w:spacing w:after="0" w:line="342" w:lineRule="auto"/>
        <w:rPr>
          <w:sz w:val="20"/>
          <w:szCs w:val="20"/>
          <w:color w:val="auto"/>
        </w:rPr>
      </w:pPr>
      <w:r>
        <w:rPr>
          <w:rFonts w:ascii="Arial" w:cs="Arial" w:eastAsia="Arial" w:hAnsi="Arial"/>
          <w:sz w:val="16"/>
          <w:szCs w:val="16"/>
          <w:color w:val="auto"/>
        </w:rPr>
        <w:t>During the first quarter of fiscal 2010, we continued executing our Fiscal 2009 Plan to reduce our workforce in the U.S., France, Canada and other locations throughout the world. During the first quarter of fiscal 2010, our restructuring charges totaled $1.1 million and consisted of the following items:</w:t>
      </w:r>
    </w:p>
    <w:p>
      <w:pPr>
        <w:spacing w:after="0" w:line="1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Severance, retention and related charges totaling $0.9 million from reduction in force activities.</w:t>
      </w:r>
    </w:p>
    <w:p>
      <w:pPr>
        <w:spacing w:after="0" w:line="117" w:lineRule="exact"/>
        <w:rPr>
          <w:rFonts w:ascii="Arial" w:cs="Arial" w:eastAsia="Arial" w:hAnsi="Arial"/>
          <w:sz w:val="18"/>
          <w:szCs w:val="18"/>
          <w:b w:val="1"/>
          <w:bCs w:val="1"/>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Charges totaling $0.2 million related to the relocation of U.S. employees to North Carolina from Florida.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information in the following table summarizes our restructuring activity during the quarter ended October 1, 2010 and the remaining restructuring liability as of October 1, 2010.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Severance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Facilities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Benefits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July 2, 2010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Provision in the quarter (Fiscal 2011 Plan)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Provision in the quarter (Fiscal 2009 Plan)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payments in the quarter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as of October 1, 2010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tcPr>
          <w:p>
            <w:pPr>
              <w:spacing w:after="0"/>
              <w:rPr>
                <w:sz w:val="20"/>
                <w:szCs w:val="20"/>
                <w:color w:val="auto"/>
              </w:rPr>
            </w:pPr>
            <w:r>
              <w:rPr>
                <w:rFonts w:ascii="Arial" w:cs="Arial" w:eastAsia="Arial" w:hAnsi="Arial"/>
                <w:sz w:val="18"/>
                <w:szCs w:val="18"/>
                <w:color w:val="auto"/>
              </w:rPr>
              <w:t>Current portion of restructuring liability as of October 1, 2010</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4.7</w:t>
            </w:r>
          </w:p>
        </w:tc>
        <w:tc>
          <w:tcPr>
            <w:tcW w:w="360" w:type="dxa"/>
            <w:vAlign w:val="bottom"/>
          </w:tcPr>
          <w:p>
            <w:pPr>
              <w:spacing w:after="0"/>
              <w:rPr>
                <w:sz w:val="24"/>
                <w:szCs w:val="24"/>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restructuring liability as of October 1, 2010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Arial" w:cs="Arial" w:eastAsia="Arial" w:hAnsi="Arial"/>
                <w:sz w:val="18"/>
                <w:szCs w:val="18"/>
                <w:color w:val="auto"/>
              </w:rPr>
              <w:t>Total restructuring liability as of October 1, 2010</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costs incurred through October 1, 2010 and costs expected to be incurred for our Fiscal 2011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Total Costs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328"/>
              <w:spacing w:after="0"/>
              <w:rPr>
                <w:sz w:val="20"/>
                <w:szCs w:val="20"/>
                <w:color w:val="auto"/>
              </w:rPr>
            </w:pPr>
            <w:r>
              <w:rPr>
                <w:rFonts w:ascii="Arial" w:cs="Arial" w:eastAsia="Arial" w:hAnsi="Arial"/>
                <w:sz w:val="14"/>
                <w:szCs w:val="14"/>
                <w:b w:val="1"/>
                <w:bCs w:val="1"/>
                <w:color w:val="auto"/>
                <w:w w:val="95"/>
              </w:rPr>
              <w:t>Cumulative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Incurred During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The</w:t>
            </w:r>
          </w:p>
        </w:tc>
        <w:tc>
          <w:tcPr>
            <w:tcW w:w="150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through</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October 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2"/>
              </w:rPr>
              <w:t>October 1,</w:t>
            </w:r>
          </w:p>
        </w:tc>
        <w:tc>
          <w:tcPr>
            <w:tcW w:w="16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Additional Costs</w:t>
            </w:r>
          </w:p>
        </w:tc>
        <w:tc>
          <w:tcPr>
            <w:tcW w:w="134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7"/>
              </w:rPr>
              <w:t>Costs Expected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 be Incurred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 be Incurred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3.9</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North America</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0.8</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International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Totals for Fiscal 2011 Plan</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4.7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Our Fiscal 2011 Plan is underway with the costs shown above incurred during the first quarter of fiscal 2011. We expect to incur further costs to complete the consolidation of our finance function at our California headquarters and to reallocate research and development resources between our facilities in the United States, Slovenia, New Zealand and India.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costs incurred through October 1, 2010 and costs expected to be incurred for our Fiscal 2009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Total Costs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328"/>
              <w:spacing w:after="0"/>
              <w:rPr>
                <w:sz w:val="20"/>
                <w:szCs w:val="20"/>
                <w:color w:val="auto"/>
              </w:rPr>
            </w:pPr>
            <w:r>
              <w:rPr>
                <w:rFonts w:ascii="Arial" w:cs="Arial" w:eastAsia="Arial" w:hAnsi="Arial"/>
                <w:sz w:val="14"/>
                <w:szCs w:val="14"/>
                <w:b w:val="1"/>
                <w:bCs w:val="1"/>
                <w:color w:val="auto"/>
                <w:w w:val="95"/>
              </w:rPr>
              <w:t>Cumulative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Incurred During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The</w:t>
            </w:r>
          </w:p>
        </w:tc>
        <w:tc>
          <w:tcPr>
            <w:tcW w:w="150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Costs Incurred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5"/>
              </w:rPr>
              <w:t>Estimated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through</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October 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2"/>
              </w:rPr>
              <w:t>October 1,</w:t>
            </w:r>
          </w:p>
        </w:tc>
        <w:tc>
          <w:tcPr>
            <w:tcW w:w="162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Additional Costs</w:t>
            </w:r>
          </w:p>
        </w:tc>
        <w:tc>
          <w:tcPr>
            <w:tcW w:w="134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7"/>
              </w:rPr>
              <w:t>Costs Expected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be Incurred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to be Incurred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8.5</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3.1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North America</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Severance and benefits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4.9</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other</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International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Totals for Fiscal 2009 Plan</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16.7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Our Fiscal 2009 Plan to restructure and transition our North America manufacturing operations and general restructuring of our supply chain will be completed by the end of fiscal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Share-Based Compensation</w:t>
      </w:r>
    </w:p>
    <w:p>
      <w:pPr>
        <w:spacing w:after="0" w:line="121"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Compensation expense for share-based awards was $0.8 million and $1.1 million for the first quarter of fiscal 2011 and 2010. Amounts were included in our Condensed Consolidated Statements of Operations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226"/>
              <w:spacing w:after="0"/>
              <w:rPr>
                <w:sz w:val="20"/>
                <w:szCs w:val="20"/>
                <w:color w:val="auto"/>
              </w:rPr>
            </w:pPr>
            <w:r>
              <w:rPr>
                <w:rFonts w:ascii="Arial" w:cs="Arial" w:eastAsia="Arial" w:hAnsi="Arial"/>
                <w:sz w:val="14"/>
                <w:szCs w:val="14"/>
                <w:b w:val="1"/>
                <w:bCs w:val="1"/>
                <w:color w:val="auto"/>
              </w:rPr>
              <w:t>Quarter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2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640" w:type="dxa"/>
            <w:vAlign w:val="bottom"/>
            <w:gridSpan w:val="2"/>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gridSpan w:val="4"/>
          </w:tcPr>
          <w:p>
            <w:pPr>
              <w:jc w:val="right"/>
              <w:ind w:right="306"/>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 and services</w:t>
            </w: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0.2</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0.9</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Total compensation expense</w:t>
            </w: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5"/>
        <w:spacing w:after="0" w:line="308" w:lineRule="auto"/>
        <w:rPr>
          <w:sz w:val="20"/>
          <w:szCs w:val="20"/>
          <w:color w:val="auto"/>
        </w:rPr>
      </w:pPr>
      <w:r>
        <w:rPr>
          <w:rFonts w:ascii="Arial" w:cs="Arial" w:eastAsia="Arial" w:hAnsi="Arial"/>
          <w:sz w:val="17"/>
          <w:szCs w:val="17"/>
          <w:color w:val="auto"/>
        </w:rPr>
        <w:t>During the first quarter of fiscal 2010, we awarded options for the purchase of 14,247 shares of our common stock and 7,133 performance shares to one employee and 6,780 shares of restricted stock to a non-employee director (none during the first quarter of fiscal 2011).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Major Customer and Business Segments</w:t>
      </w:r>
    </w:p>
    <w:p>
      <w:pPr>
        <w:spacing w:after="0" w:line="121"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During the first quarter of fiscal 2011, none of our customers accounted for 10% or more of revenue. During the first quarter of fiscal 2010, the MTN group in Africa (“MTN”) and Middle East Telecommunications Company (“METCO”) each accounted for 12% of our total revenue (two customers accounted for 24% of our total revenue).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and loss before income taxes by segment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194"/>
              <w:spacing w:after="0"/>
              <w:rPr>
                <w:sz w:val="20"/>
                <w:szCs w:val="20"/>
                <w:color w:val="auto"/>
              </w:rPr>
            </w:pPr>
            <w:r>
              <w:rPr>
                <w:rFonts w:ascii="Arial" w:cs="Arial" w:eastAsia="Arial" w:hAnsi="Arial"/>
                <w:sz w:val="14"/>
                <w:szCs w:val="14"/>
                <w:b w:val="1"/>
                <w:bCs w:val="1"/>
                <w:color w:val="auto"/>
                <w:w w:val="96"/>
              </w:rPr>
              <w:t>Quarter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64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3"/>
          </w:tcPr>
          <w:p>
            <w:pPr>
              <w:jc w:val="center"/>
              <w:ind w:left="214"/>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North America</w:t>
            </w: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35.6</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73.5</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72.0</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w:t>
            </w:r>
          </w:p>
        </w:tc>
        <w:tc>
          <w:tcPr>
            <w:tcW w:w="6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Segment Operating Loss:</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(1)</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(13.6)</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International (2)</w:t>
            </w:r>
          </w:p>
        </w:tc>
        <w:tc>
          <w:tcPr>
            <w:tcW w:w="32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(12.7)</w:t>
            </w:r>
          </w:p>
        </w:tc>
        <w:tc>
          <w:tcPr>
            <w:tcW w:w="3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(0.5)</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20" w:type="dxa"/>
            <w:vAlign w:val="bottom"/>
            <w:gridSpan w:val="2"/>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(26.8)</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first quarter of fiscal 2011 in our North America segment, we recorded $4.8 million for restructuring charges, $3.9 million from the loss on sale of NetBoss assets and $0.7 million for share-based compensation.</w:t>
      </w:r>
    </w:p>
    <w:p>
      <w:pPr>
        <w:spacing w:after="0" w:line="170" w:lineRule="exact"/>
        <w:rPr>
          <w:rFonts w:ascii="Arial" w:cs="Arial" w:eastAsia="Arial" w:hAnsi="Arial"/>
          <w:sz w:val="18"/>
          <w:szCs w:val="18"/>
          <w:color w:val="auto"/>
        </w:rPr>
      </w:pPr>
    </w:p>
    <w:p>
      <w:pPr>
        <w:ind w:left="460" w:right="320"/>
        <w:spacing w:after="0" w:line="277" w:lineRule="auto"/>
        <w:rPr>
          <w:rFonts w:ascii="Arial" w:cs="Arial" w:eastAsia="Arial" w:hAnsi="Arial"/>
          <w:sz w:val="18"/>
          <w:szCs w:val="18"/>
          <w:color w:val="auto"/>
        </w:rPr>
      </w:pPr>
      <w:r>
        <w:rPr>
          <w:rFonts w:ascii="Arial" w:cs="Arial" w:eastAsia="Arial" w:hAnsi="Arial"/>
          <w:sz w:val="18"/>
          <w:szCs w:val="18"/>
          <w:color w:val="auto"/>
        </w:rPr>
        <w:t>During the first quarter of fiscal 2010 in our North America segment, we recorded $0.8 million for restructuring charges and $1.0 million for share-based compensation.</w:t>
      </w:r>
    </w:p>
    <w:p>
      <w:pPr>
        <w:spacing w:after="0" w:line="17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first quarter of fiscal 2011 in our International segment, we recorded $0.8 million for restructuring charges and $0.1 million for share-based compensation.</w:t>
      </w:r>
    </w:p>
    <w:p>
      <w:pPr>
        <w:spacing w:after="0" w:line="170"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During the first quarter of fiscal 2010 in our International segment, we recorded $0.3 million for restructuring charges and $0.1 million for share-based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21"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The determination of benefit for income taxes for the first quarter of fiscal 2011 of $5.5 million and provision for income taxes for the first quarter of 2010 of $0.9 million was primarily based on our estimated annual effective tax rate adjusted for losses in separate jurisdictions for which no tax benefit can be recognized. The current quarter also incorporates an income tax benefit of $1.9 million associated with the expiring favorable tax ruling granted by the Singapore Economic Development Board which increases the tax rate applied to established local country deferred tax assets. The determination of first quarter fiscal 2011 income tax benefit and first quarter fiscal 2010 tax provision reflected tax benefit and expense generated in certain foreign jurisdictions.</w:t>
      </w:r>
    </w:p>
    <w:p>
      <w:pPr>
        <w:spacing w:after="0" w:line="5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62" w:lineRule="exact"/>
        <w:rPr>
          <w:sz w:val="20"/>
          <w:szCs w:val="20"/>
          <w:color w:val="auto"/>
        </w:rPr>
      </w:pPr>
    </w:p>
    <w:p>
      <w:pPr>
        <w:ind w:right="120" w:firstLine="215"/>
        <w:spacing w:after="0" w:line="312" w:lineRule="auto"/>
        <w:rPr>
          <w:sz w:val="20"/>
          <w:szCs w:val="20"/>
          <w:color w:val="auto"/>
        </w:rPr>
      </w:pPr>
      <w:r>
        <w:rPr>
          <w:rFonts w:ascii="Arial" w:cs="Arial" w:eastAsia="Arial" w:hAnsi="Arial"/>
          <w:sz w:val="16"/>
          <w:szCs w:val="16"/>
          <w:color w:val="auto"/>
        </w:rPr>
        <w:t>As of July 2, 2010 and October 1, 2010, we had a liability for unrecognized tax benefits of $14.9 million for various federal, foreign, and state income tax matters. During the first quarter of fiscal 2011, the liability for unrecognized tax benefits did not change. If the unrecognized tax benefits associated with these positions are ultimately recognized, they would not be expected to have a material impact on our effective tax rate or financial position.</w:t>
      </w:r>
    </w:p>
    <w:p>
      <w:pPr>
        <w:spacing w:after="0" w:line="39" w:lineRule="exact"/>
        <w:rPr>
          <w:sz w:val="20"/>
          <w:szCs w:val="20"/>
          <w:color w:val="auto"/>
        </w:rPr>
      </w:pPr>
    </w:p>
    <w:p>
      <w:pPr>
        <w:jc w:val="both"/>
        <w:ind w:right="140" w:firstLine="222"/>
        <w:spacing w:after="0" w:line="264"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We accrued an additional amount for such interest of less than $0.1 million during the first quarter of fiscal 2011 and 2010. No penalties have been accrued on any of the unrecognized tax benefits.</w:t>
      </w:r>
    </w:p>
    <w:p>
      <w:pPr>
        <w:spacing w:after="0" w:line="73"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expect that the amount of unrecognized tax benefit may change in the next year; however, it is not expected to have a significant impact on our results of operations, financial position or cash flows.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Poland, Nigeria, France and the U.K. The earliest years still open and subject to potential audits for these jurisdictions are as follows: United States — 2003; Singapore — 2006; Poland — 2004; Nigeria — 2004; France — 2006; and U.K - 2006. As of October 1, 2010, we are under audit by the U.S. Internal Revenue Service.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Fair Value Measurements of Assets and Liabilities</w:t>
      </w:r>
    </w:p>
    <w:p>
      <w:pPr>
        <w:spacing w:after="0" w:line="121"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46"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Level 2 — Observable market-based inputs or observable inputs that are corroborated by market data;</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Level 3 — Unobservable inputs reflecting our own assumptions.</w:t>
      </w:r>
    </w:p>
    <w:p>
      <w:pPr>
        <w:spacing w:after="0" w:line="11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financial assets and financial liabilities as of October 1, 2010 and July 2, 2010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October 1,</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July 2,</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Fair</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3"/>
          </w:tcPr>
          <w:p>
            <w:pPr>
              <w:jc w:val="center"/>
              <w:ind w:right="40"/>
              <w:spacing w:after="0" w:line="119" w:lineRule="exact"/>
              <w:rPr>
                <w:sz w:val="20"/>
                <w:szCs w:val="20"/>
                <w:color w:val="auto"/>
              </w:rPr>
            </w:pPr>
            <w:r>
              <w:rPr>
                <w:rFonts w:ascii="Arial" w:cs="Arial" w:eastAsia="Arial" w:hAnsi="Arial"/>
                <w:sz w:val="13"/>
                <w:szCs w:val="13"/>
                <w:b w:val="1"/>
                <w:bCs w:val="1"/>
                <w:color w:val="auto"/>
              </w:rPr>
              <w:t>Carrying</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Fair</w:t>
            </w:r>
          </w:p>
        </w:tc>
        <w:tc>
          <w:tcPr>
            <w:tcW w:w="6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6"/>
              </w:rPr>
              <w:t>Value</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Cash</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70.5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70.5</w:t>
            </w: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60.4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60.4</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5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37.3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81.3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81.3</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3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0.1</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Short-term debt</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34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5.0</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preference shares</w:t>
            </w:r>
          </w:p>
        </w:tc>
        <w:tc>
          <w:tcPr>
            <w:tcW w:w="15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8.3</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15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340" w:type="dxa"/>
            <w:vAlign w:val="bottom"/>
          </w:tcPr>
          <w:p>
            <w:pPr>
              <w:spacing w:after="0"/>
              <w:rPr>
                <w:sz w:val="20"/>
                <w:szCs w:val="20"/>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0.1</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Our cash equivalents consist primarily of shares in prime money market funds purchased from two major financial institutions. As of October 1, 2010 and July 2, 2010, these money market shares were valued at $1.00 net asset value per share by these financial institutions.</w:t>
      </w:r>
    </w:p>
    <w:p>
      <w:pPr>
        <w:spacing w:after="0" w:line="62"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Foreign currency forward contracts are valued using an income approach for the remaining term of the contract based on forward market rates less the contract rate multiplied by the notional amount.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amortized cost of short-term debt approximates fair value due to the variable interest rate under the arrangement applicable to such debt.</w:t>
      </w:r>
    </w:p>
    <w:p>
      <w:pPr>
        <w:spacing w:after="0" w:line="129"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We have valued our redeemable preference shares at face value as of October 1, 2010 and July 2, 2010 due to the existence of a put option one of the holders has with our former majority shareholder Harris, our current intent not to redeem these shares before their stated termination date and the non-existence of a market for comparable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Risk Management, Derivative Financial Instruments and Hedging Activities</w:t>
      </w:r>
    </w:p>
    <w:p>
      <w:pPr>
        <w:spacing w:after="0" w:line="121"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We are exposed to global market risks, including the effect of changes in foreign currency exchange rates, and use derivatives to manage financial exposures that occur in the normal course of business. We do not hold or issue derivatives for trading purposes or make speculative investments in foreign currencies.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formally document all relationships between hedging instruments and hedged items, as well as the risk-management objective and strategy for undertaking hedge transactions. This process includes linking all derivatives to either specific firm commitments or forecasted transactions. We also enter into foreign exchange forward contracts to mitigate the change in fair value of specific assets and liabilities on the balance sheet; these are not designated as hedging instruments. Accordingly, changes in the fair value of hedges of recorded balance sheet positions are recognized immediately in cost of product sales on the consolidated statements of operations together with the transaction gain or loss from the hedged balance sheet position.</w:t>
      </w:r>
    </w:p>
    <w:p>
      <w:pPr>
        <w:spacing w:after="0" w:line="64"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color w:val="auto"/>
        </w:rPr>
        <w:t>Substantially all derivatives outstanding as of October 1, 2010 are designated as cash flow hedges or non-designated hedges of recorded balance sheet positions. All derivatives are recognized on the balance sheet at their fair value. The total notional amount of outstanding derivatives as of October 1, 2010 was $46.2 million, of which $10.2 million were designated as cash flow hedges and $36.0 million were not designated as cash flow hedging instruments.</w:t>
      </w:r>
    </w:p>
    <w:p>
      <w:pPr>
        <w:spacing w:after="0" w:line="39" w:lineRule="exact"/>
        <w:rPr>
          <w:sz w:val="20"/>
          <w:szCs w:val="20"/>
          <w:color w:val="auto"/>
        </w:rPr>
      </w:pPr>
    </w:p>
    <w:p>
      <w:pPr>
        <w:ind w:right="580" w:firstLine="215"/>
        <w:spacing w:after="0" w:line="308" w:lineRule="auto"/>
        <w:rPr>
          <w:sz w:val="20"/>
          <w:szCs w:val="20"/>
          <w:color w:val="auto"/>
        </w:rPr>
      </w:pPr>
      <w:r>
        <w:rPr>
          <w:rFonts w:ascii="Arial" w:cs="Arial" w:eastAsia="Arial" w:hAnsi="Arial"/>
          <w:sz w:val="17"/>
          <w:szCs w:val="17"/>
          <w:color w:val="auto"/>
        </w:rPr>
        <w:t>As of October 1, 2010, we had 45 foreign currency forward contracts outstanding with a total net notional amount of $22.3 million consisting of 12 different currencies, primarily the Canadian dollar, Philippine peso, Polish zloty, Singapore dollar and Republic of South Africa rand.</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is a summary by currency of the contract net notional amounts grouped by the underlying foreign currency as of October 1, 2010: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20" w:type="dxa"/>
            <w:vAlign w:val="bottom"/>
          </w:tcPr>
          <w:p>
            <w:pPr>
              <w:ind w:left="500"/>
              <w:spacing w:after="0"/>
              <w:rPr>
                <w:sz w:val="20"/>
                <w:szCs w:val="20"/>
                <w:color w:val="auto"/>
              </w:rPr>
            </w:pPr>
            <w:r>
              <w:rPr>
                <w:rFonts w:ascii="Arial" w:cs="Arial" w:eastAsia="Arial" w:hAnsi="Arial"/>
                <w:sz w:val="14"/>
                <w:szCs w:val="14"/>
                <w:b w:val="1"/>
                <w:bCs w:val="1"/>
                <w:color w:val="auto"/>
                <w:w w:val="96"/>
              </w:rPr>
              <w:t>Contract Amount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w w:val="97"/>
              </w:rPr>
              <w:t>(Local Currency)</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100" w:type="dxa"/>
            <w:vAlign w:val="bottom"/>
            <w:tcBorders>
              <w:top w:val="single" w:sz="8" w:color="auto"/>
            </w:tcBorders>
            <w:gridSpan w:val="2"/>
          </w:tcPr>
          <w:p>
            <w:pPr>
              <w:ind w:left="1360"/>
              <w:spacing w:after="0" w:line="142" w:lineRule="exact"/>
              <w:rPr>
                <w:sz w:val="20"/>
                <w:szCs w:val="20"/>
                <w:color w:val="auto"/>
              </w:rPr>
            </w:pPr>
            <w:r>
              <w:rPr>
                <w:rFonts w:ascii="Arial" w:cs="Arial" w:eastAsia="Arial" w:hAnsi="Arial"/>
                <w:sz w:val="14"/>
                <w:szCs w:val="14"/>
                <w:b w:val="1"/>
                <w:bCs w:val="1"/>
                <w:color w:val="auto"/>
                <w:w w:val="91"/>
              </w:rPr>
              <w:t>(In millions)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7"/>
              </w:rPr>
              <w:t>(USD)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 (“CAD”) net contracts to receive (pay) USD</w:t>
            </w:r>
          </w:p>
        </w:tc>
        <w:tc>
          <w:tcPr>
            <w:tcW w:w="1620" w:type="dxa"/>
            <w:vAlign w:val="bottom"/>
            <w:shd w:val="clear" w:color="auto" w:fill="CCEEFF"/>
          </w:tcPr>
          <w:p>
            <w:pPr>
              <w:jc w:val="center"/>
              <w:ind w:right="757"/>
              <w:spacing w:after="0"/>
              <w:rPr>
                <w:sz w:val="20"/>
                <w:szCs w:val="20"/>
                <w:color w:val="auto"/>
              </w:rPr>
            </w:pPr>
            <w:r>
              <w:rPr>
                <w:rFonts w:ascii="Arial" w:cs="Arial" w:eastAsia="Arial" w:hAnsi="Arial"/>
                <w:sz w:val="18"/>
                <w:szCs w:val="18"/>
                <w:color w:val="auto"/>
                <w:w w:val="99"/>
              </w:rPr>
              <w:t>(CAD)</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Philippine peso (“PHP”) net contracts to receive (pay) USD</w:t>
            </w:r>
          </w:p>
        </w:tc>
        <w:tc>
          <w:tcPr>
            <w:tcW w:w="1620" w:type="dxa"/>
            <w:vAlign w:val="bottom"/>
          </w:tcPr>
          <w:p>
            <w:pPr>
              <w:jc w:val="center"/>
              <w:ind w:right="757"/>
              <w:spacing w:after="0"/>
              <w:rPr>
                <w:sz w:val="20"/>
                <w:szCs w:val="20"/>
                <w:color w:val="auto"/>
              </w:rPr>
            </w:pPr>
            <w:r>
              <w:rPr>
                <w:rFonts w:ascii="Arial" w:cs="Arial" w:eastAsia="Arial" w:hAnsi="Arial"/>
                <w:sz w:val="18"/>
                <w:szCs w:val="18"/>
                <w:color w:val="auto"/>
                <w:w w:val="93"/>
              </w:rPr>
              <w:t>(PHP)</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138.7)</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Polish zloty (“PLN”) net contracts to receive (pay) USD</w:t>
            </w:r>
          </w:p>
        </w:tc>
        <w:tc>
          <w:tcPr>
            <w:tcW w:w="1620" w:type="dxa"/>
            <w:vAlign w:val="bottom"/>
            <w:shd w:val="clear" w:color="auto" w:fill="CCEEFF"/>
          </w:tcPr>
          <w:p>
            <w:pPr>
              <w:jc w:val="center"/>
              <w:ind w:right="757"/>
              <w:spacing w:after="0"/>
              <w:rPr>
                <w:sz w:val="20"/>
                <w:szCs w:val="20"/>
                <w:color w:val="auto"/>
              </w:rPr>
            </w:pPr>
            <w:r>
              <w:rPr>
                <w:rFonts w:ascii="Arial" w:cs="Arial" w:eastAsia="Arial" w:hAnsi="Arial"/>
                <w:sz w:val="18"/>
                <w:szCs w:val="18"/>
                <w:color w:val="auto"/>
                <w:w w:val="97"/>
              </w:rPr>
              <w:t>(PLN)</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Singapore dollar (“SGD”) net contracts to receive (pay) USD</w:t>
            </w:r>
          </w:p>
        </w:tc>
        <w:tc>
          <w:tcPr>
            <w:tcW w:w="1620" w:type="dxa"/>
            <w:vAlign w:val="bottom"/>
          </w:tcPr>
          <w:p>
            <w:pPr>
              <w:jc w:val="center"/>
              <w:ind w:right="737"/>
              <w:spacing w:after="0"/>
              <w:rPr>
                <w:sz w:val="20"/>
                <w:szCs w:val="20"/>
                <w:color w:val="auto"/>
              </w:rPr>
            </w:pPr>
            <w:r>
              <w:rPr>
                <w:rFonts w:ascii="Arial" w:cs="Arial" w:eastAsia="Arial" w:hAnsi="Arial"/>
                <w:sz w:val="18"/>
                <w:szCs w:val="18"/>
                <w:color w:val="auto"/>
                <w:w w:val="94"/>
              </w:rPr>
              <w:t>(SGD)</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4.5</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Republic of South Africa rand (“ZAR”) net contracts to receive (pay) USD</w:t>
            </w:r>
          </w:p>
        </w:tc>
        <w:tc>
          <w:tcPr>
            <w:tcW w:w="1620" w:type="dxa"/>
            <w:vAlign w:val="bottom"/>
            <w:shd w:val="clear" w:color="auto" w:fill="CCEEFF"/>
          </w:tcPr>
          <w:p>
            <w:pPr>
              <w:jc w:val="center"/>
              <w:ind w:right="737"/>
              <w:spacing w:after="0"/>
              <w:rPr>
                <w:sz w:val="20"/>
                <w:szCs w:val="20"/>
                <w:color w:val="auto"/>
              </w:rPr>
            </w:pPr>
            <w:r>
              <w:rPr>
                <w:rFonts w:ascii="Arial" w:cs="Arial" w:eastAsia="Arial" w:hAnsi="Arial"/>
                <w:sz w:val="18"/>
                <w:szCs w:val="18"/>
                <w:color w:val="auto"/>
                <w:w w:val="99"/>
              </w:rPr>
              <w:t>(ZAR)</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43.0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All other currencies net contracts to receive (pay) USD</w:t>
            </w: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of all currencies</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the fair value of derivative instruments included within our Consolidated Balance Sheet as of October 1,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92"/>
              </w:rPr>
              <w:t>Asset Derivatives</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w w:val="97"/>
              </w:rPr>
              <w:t>Liability Derivatives</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1"/>
              </w:rPr>
              <w:t>Balance Sheet Location</w:t>
            </w:r>
          </w:p>
        </w:tc>
        <w:tc>
          <w:tcPr>
            <w:tcW w:w="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2680" w:type="dxa"/>
            <w:vAlign w:val="bottom"/>
            <w:gridSpan w:val="3"/>
          </w:tcPr>
          <w:p>
            <w:pPr>
              <w:ind w:left="820"/>
              <w:spacing w:after="0"/>
              <w:rPr>
                <w:sz w:val="20"/>
                <w:szCs w:val="20"/>
                <w:color w:val="auto"/>
              </w:rPr>
            </w:pPr>
            <w:r>
              <w:rPr>
                <w:rFonts w:ascii="Arial" w:cs="Arial" w:eastAsia="Arial" w:hAnsi="Arial"/>
                <w:sz w:val="18"/>
                <w:szCs w:val="18"/>
                <w:color w:val="auto"/>
              </w:rPr>
              <w:t>Other current assets</w:t>
            </w:r>
          </w:p>
        </w:tc>
        <w:tc>
          <w:tcPr>
            <w:tcW w:w="32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0.1</w:t>
            </w:r>
          </w:p>
        </w:tc>
        <w:tc>
          <w:tcPr>
            <w:tcW w:w="540" w:type="dxa"/>
            <w:vAlign w:val="bottom"/>
          </w:tcPr>
          <w:p>
            <w:pPr>
              <w:spacing w:after="0"/>
              <w:rPr>
                <w:sz w:val="18"/>
                <w:szCs w:val="18"/>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 current liabilities</w:t>
            </w:r>
          </w:p>
        </w:tc>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Foreign exchange forward contracts</w:t>
            </w:r>
          </w:p>
        </w:tc>
        <w:tc>
          <w:tcPr>
            <w:tcW w:w="2680" w:type="dxa"/>
            <w:vAlign w:val="bottom"/>
            <w:gridSpan w:val="3"/>
          </w:tcPr>
          <w:p>
            <w:pPr>
              <w:ind w:left="820"/>
              <w:spacing w:after="0"/>
              <w:rPr>
                <w:sz w:val="20"/>
                <w:szCs w:val="20"/>
                <w:color w:val="auto"/>
              </w:rPr>
            </w:pPr>
            <w:r>
              <w:rPr>
                <w:rFonts w:ascii="Arial" w:cs="Arial" w:eastAsia="Arial" w:hAnsi="Arial"/>
                <w:sz w:val="18"/>
                <w:szCs w:val="18"/>
                <w:color w:val="auto"/>
              </w:rPr>
              <w:t>Other current assets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Other current 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5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following table presents the amounts of gains (losses) from cash flow hedges recorded in Other Comprehensive (Loss) Income, the amounts transferred from Other Comprehensive (Loss) Income and recorded in Revenue and Cost of Products Sold, and the amounts associated with excluded time value and hedge ineffectiveness during the first quarter of fiscal 2010 and 2009:</w:t>
      </w:r>
    </w:p>
    <w:p>
      <w:pPr>
        <w:spacing w:after="0" w:line="173"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6350</wp:posOffset>
            </wp:positionV>
            <wp:extent cx="16294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ind w:left="8740" w:right="100" w:hanging="9642"/>
        <w:spacing w:after="0" w:line="236" w:lineRule="auto"/>
        <w:tabs>
          <w:tab w:leader="none" w:pos="8720" w:val="left"/>
        </w:tabs>
        <w:rPr>
          <w:sz w:val="20"/>
          <w:szCs w:val="20"/>
          <w:color w:val="auto"/>
        </w:rPr>
      </w:pPr>
      <w:r>
        <w:rPr>
          <w:rFonts w:ascii="Arial" w:cs="Arial" w:eastAsia="Arial" w:hAnsi="Arial"/>
          <w:sz w:val="14"/>
          <w:szCs w:val="14"/>
          <w:b w:val="1"/>
          <w:bCs w:val="1"/>
          <w:color w:val="auto"/>
        </w:rPr>
        <w:t>Locations of Losses Recorded From Derivatives Designated as Cash Flow Hedges</w:t>
      </w:r>
      <w:r>
        <w:rPr>
          <w:sz w:val="20"/>
          <w:szCs w:val="20"/>
          <w:color w:val="auto"/>
        </w:rPr>
        <w:tab/>
      </w:r>
      <w:r>
        <w:rPr>
          <w:rFonts w:ascii="Arial" w:cs="Arial" w:eastAsia="Arial" w:hAnsi="Arial"/>
          <w:sz w:val="14"/>
          <w:szCs w:val="14"/>
          <w:b w:val="1"/>
          <w:bCs w:val="1"/>
          <w:u w:val="single" w:color="auto"/>
          <w:color w:val="auto"/>
        </w:rPr>
        <w:t xml:space="preserve">October 1, 2010 October 2, 2009 </w:t>
      </w: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52228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228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Amount of loss of effective hedges recognized in Other Comprehensive Income</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(0.3)</w:t>
            </w: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r>
      <w:tr>
        <w:trPr>
          <w:trHeight w:val="432"/>
        </w:trPr>
        <w:tc>
          <w:tcPr>
            <w:tcW w:w="7560" w:type="dxa"/>
            <w:vAlign w:val="bottom"/>
          </w:tcPr>
          <w:p>
            <w:pPr>
              <w:spacing w:after="0"/>
              <w:rPr>
                <w:sz w:val="20"/>
                <w:szCs w:val="20"/>
                <w:color w:val="auto"/>
              </w:rPr>
            </w:pPr>
            <w:r>
              <w:rPr>
                <w:rFonts w:ascii="Arial" w:cs="Arial" w:eastAsia="Arial" w:hAnsi="Arial"/>
                <w:sz w:val="18"/>
                <w:szCs w:val="18"/>
                <w:color w:val="auto"/>
              </w:rPr>
              <w:t>Amount of loss of effective hedges reclassified from Other Comprehensive Income into:</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(0.2)</w:t>
            </w: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(0.1)</w:t>
            </w: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(0.1)</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Amount recorded into Cost of Products Sold associated with excluded time value</w:t>
            </w: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34"/>
        </w:trPr>
        <w:tc>
          <w:tcPr>
            <w:tcW w:w="7560" w:type="dxa"/>
            <w:vAlign w:val="bottom"/>
          </w:tcPr>
          <w:p>
            <w:pPr>
              <w:spacing w:after="0"/>
              <w:rPr>
                <w:sz w:val="20"/>
                <w:szCs w:val="20"/>
                <w:color w:val="auto"/>
              </w:rPr>
            </w:pPr>
            <w:r>
              <w:rPr>
                <w:rFonts w:ascii="Arial" w:cs="Arial" w:eastAsia="Arial" w:hAnsi="Arial"/>
                <w:sz w:val="18"/>
                <w:szCs w:val="18"/>
                <w:color w:val="auto"/>
              </w:rPr>
              <w:t>Amount recorded into Cost of Products Sold due to hedge ineffectiveness</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387"/>
        </w:trPr>
        <w:tc>
          <w:tcPr>
            <w:tcW w:w="7560" w:type="dxa"/>
            <w:vAlign w:val="bottom"/>
          </w:tcPr>
          <w:p>
            <w:pPr>
              <w:ind w:left="5620"/>
              <w:spacing w:after="0"/>
              <w:rPr>
                <w:sz w:val="20"/>
                <w:szCs w:val="20"/>
                <w:color w:val="auto"/>
              </w:rPr>
            </w:pPr>
            <w:r>
              <w:rPr>
                <w:rFonts w:ascii="Arial" w:cs="Arial" w:eastAsia="Arial" w:hAnsi="Arial"/>
                <w:sz w:val="18"/>
                <w:szCs w:val="18"/>
                <w:color w:val="auto"/>
              </w:rPr>
              <w:t>14</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6"/>
        </w:trPr>
        <w:tc>
          <w:tcPr>
            <w:tcW w:w="75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purpose of our foreign currency hedging activities is to protect us from the risk that the eventual cash flows resulting from transactions in foreign currencies, including revenue, product costs, selling and administrative expenses and intercompany transactions will be adversely affected by changes in exchange rates. It is our policy to utilize derivatives to reduce foreign currency exchange risks where internal netting strategies cannot be effectively employed. As of October 1, 2010, hedged transactions included our customer and intercompany backlog and outstanding purchase commitments denominated primarily in the Canadian dollar, Euro, Philippine peso, Polish zloty, Singapore dollar and Republic of South Africa rand. We hedge up to 100% of anticipated exposures typically one to three months in advance, but have hedged as much as six months in advance. We generally review our exposures twice each month and adjust the amount of derivatives outstanding as needed.</w:t>
      </w:r>
    </w:p>
    <w:p>
      <w:pPr>
        <w:spacing w:after="0" w:line="70" w:lineRule="exact"/>
        <w:rPr>
          <w:sz w:val="20"/>
          <w:szCs w:val="20"/>
          <w:color w:val="auto"/>
        </w:rPr>
      </w:pPr>
    </w:p>
    <w:p>
      <w:pPr>
        <w:ind w:right="340" w:firstLine="215"/>
        <w:spacing w:after="0" w:line="293" w:lineRule="auto"/>
        <w:rPr>
          <w:sz w:val="20"/>
          <w:szCs w:val="20"/>
          <w:color w:val="auto"/>
        </w:rPr>
      </w:pPr>
      <w:r>
        <w:rPr>
          <w:rFonts w:ascii="Arial" w:cs="Arial" w:eastAsia="Arial" w:hAnsi="Arial"/>
          <w:sz w:val="16"/>
          <w:szCs w:val="16"/>
          <w:color w:val="auto"/>
        </w:rPr>
        <w:t>A derivative designated as a hedge of a forecasted transaction is carried at fair value with the effective portion of the derivative’s fair value recorded in other comprehensive income or loss and subsequently recognized in earnings in the same period or periods the hedged transaction affects earnings. Any ineffective or excluded portion of a derivative’s gain or loss is recorded in earnings as it occurs. In some cases, amounts recorded in other comprehensive income or loss will be released to net income or loss some time after the maturity of the related derivative. The consolidated statement of income classification of effective hedge results is the same as that of the underlying exposure. For example, results of hedges of revenue and product costs are recorded in revenue and cost of product sales, respectively, when the underlying hedged transaction is recorded.</w:t>
      </w:r>
    </w:p>
    <w:p>
      <w:pPr>
        <w:spacing w:after="0" w:line="57" w:lineRule="exact"/>
        <w:rPr>
          <w:sz w:val="20"/>
          <w:szCs w:val="20"/>
          <w:color w:val="auto"/>
        </w:rPr>
      </w:pPr>
    </w:p>
    <w:p>
      <w:pPr>
        <w:ind w:right="220" w:firstLine="215"/>
        <w:spacing w:after="0" w:line="302" w:lineRule="auto"/>
        <w:rPr>
          <w:sz w:val="20"/>
          <w:szCs w:val="20"/>
          <w:color w:val="auto"/>
        </w:rPr>
      </w:pPr>
      <w:r>
        <w:rPr>
          <w:rFonts w:ascii="Arial" w:cs="Arial" w:eastAsia="Arial" w:hAnsi="Arial"/>
          <w:sz w:val="16"/>
          <w:szCs w:val="16"/>
          <w:color w:val="auto"/>
        </w:rPr>
        <w:t>As of October 1, 2010, we had $0.2 million of deferred net losses on both outstanding and matured derivatives accumulated in other comprehensive loss that are expected to be reclassified to net income or loss during the next twelve months as a result of underlying hedged transactions also being recorded in net income or loss. Actual amounts ultimately reclassified to loss will be dependent on the exchange rates in effect when derivative contracts that are currently outstanding mature. As of October 1, 2010, the maximum term over which we are hedging our cash flow exposures is five months.</w:t>
      </w:r>
    </w:p>
    <w:p>
      <w:pPr>
        <w:spacing w:after="0" w:line="46"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formally assess both at inception and on an ongoing basis, whether the derivatives that are used in the hedging transaction have been highly effective in offsetting changes in the value or cash flows of hedged items and whether those derivatives may be expected to remain highly effective in future periods. We discontinue hedge accounting when the derivative expires or is sold, terminated, or exercised or it is no longer probable that the forecasted transaction will occur. When it is determined that a derivative is not, or has ceased to be, highly effective as a hedge, we discontinue hedge accounting and re-designate the hedge as a non-designated hedge, if it is still outstanding at the time the determination is made.</w:t>
      </w:r>
    </w:p>
    <w:p>
      <w:pPr>
        <w:spacing w:after="0" w:line="64" w:lineRule="exact"/>
        <w:rPr>
          <w:sz w:val="20"/>
          <w:szCs w:val="20"/>
          <w:color w:val="auto"/>
        </w:rPr>
      </w:pPr>
    </w:p>
    <w:p>
      <w:pPr>
        <w:ind w:right="140" w:firstLine="222"/>
        <w:spacing w:after="0" w:line="293" w:lineRule="auto"/>
        <w:rPr>
          <w:sz w:val="20"/>
          <w:szCs w:val="20"/>
          <w:color w:val="auto"/>
        </w:rPr>
      </w:pPr>
      <w:r>
        <w:rPr>
          <w:rFonts w:ascii="Arial" w:cs="Arial" w:eastAsia="Arial" w:hAnsi="Arial"/>
          <w:sz w:val="16"/>
          <w:szCs w:val="16"/>
          <w:color w:val="auto"/>
        </w:rPr>
        <w:t>When we discontinue hedge accounting because it is no longer probable that the forecasted transaction will occur in the originally expected period, the gain or loss on the derivative remains in accumulated other comprehensive income or loss and is reclassified to net income or loss when the forecasted transaction affects net income or loss. However, if it is probable that a forecasted transaction will not occur by the end of the originally specified time period or within an additional two-month period of time thereafter, the gains and losses that were accumulated in other comprehensive income or loss will be recognized immediately in net income or loss. In all situations in which hedge accounting is discontinued and the derivative remains outstanding, we will carry the derivative at its fair value on the balance sheet, recognizing future changes in the fair value in cost of product sales.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Hedges</w:t>
      </w:r>
    </w:p>
    <w:p>
      <w:pPr>
        <w:spacing w:after="0" w:line="121" w:lineRule="exact"/>
        <w:rPr>
          <w:sz w:val="20"/>
          <w:szCs w:val="20"/>
          <w:color w:val="auto"/>
        </w:rPr>
      </w:pPr>
    </w:p>
    <w:p>
      <w:pPr>
        <w:ind w:right="280" w:firstLine="222"/>
        <w:spacing w:after="0" w:line="276" w:lineRule="auto"/>
        <w:rPr>
          <w:sz w:val="20"/>
          <w:szCs w:val="20"/>
          <w:color w:val="auto"/>
        </w:rPr>
      </w:pPr>
      <w:r>
        <w:rPr>
          <w:rFonts w:ascii="Arial" w:cs="Arial" w:eastAsia="Arial" w:hAnsi="Arial"/>
          <w:sz w:val="17"/>
          <w:szCs w:val="17"/>
          <w:color w:val="auto"/>
        </w:rPr>
        <w:t>The total notional amount of outstanding derivatives as of October 1, 2010 not designated as cash flow hedging instruments was $36.0 million. The purpose of these hedges is to offset realized and unrealized foreign exchange gains and losses recorded on non-functional currency monetary assets and liabilities, including primarily cash balances and accounts receivable and accounts payable from third party and intercompany transactions recorded on the balance sheet. Since these gains and losses are considered by us to be operational in nature, we record both the gains and losses from the revaluation of the balance sheet transactions and the gains and losses on the derivatives in cost of products sold.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During the first quarter of fiscal 2011 and 2010, we recorded in cost of products sold the following amount of net losses recorded on non-designated hedges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Location of Gain</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820" w:type="dxa"/>
            <w:vAlign w:val="bottom"/>
            <w:gridSpan w:val="3"/>
            <w:vMerge w:val="restart"/>
          </w:tcPr>
          <w:p>
            <w:pPr>
              <w:ind w:left="1540"/>
              <w:spacing w:after="0"/>
              <w:rPr>
                <w:sz w:val="20"/>
                <w:szCs w:val="20"/>
                <w:color w:val="auto"/>
              </w:rPr>
            </w:pPr>
            <w:r>
              <w:rPr>
                <w:rFonts w:ascii="Arial" w:cs="Arial" w:eastAsia="Arial" w:hAnsi="Arial"/>
                <w:sz w:val="14"/>
                <w:szCs w:val="14"/>
                <w:b w:val="1"/>
                <w:bCs w:val="1"/>
                <w:color w:val="auto"/>
              </w:rPr>
              <w:t>First Quarter of</w:t>
            </w:r>
          </w:p>
        </w:tc>
        <w:tc>
          <w:tcPr>
            <w:tcW w:w="15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First Quarter of</w:t>
            </w:r>
          </w:p>
        </w:tc>
        <w:tc>
          <w:tcPr>
            <w:tcW w:w="30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820" w:type="dxa"/>
            <w:vAlign w:val="bottom"/>
            <w:gridSpan w:val="3"/>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Income on</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382"/>
              <w:spacing w:after="0"/>
              <w:rPr>
                <w:sz w:val="20"/>
                <w:szCs w:val="20"/>
                <w:color w:val="auto"/>
              </w:rPr>
            </w:pPr>
            <w:r>
              <w:rPr>
                <w:rFonts w:ascii="Arial" w:cs="Arial" w:eastAsia="Arial" w:hAnsi="Arial"/>
                <w:sz w:val="14"/>
                <w:szCs w:val="14"/>
                <w:b w:val="1"/>
                <w:bCs w:val="1"/>
                <w:color w:val="auto"/>
                <w:w w:val="90"/>
              </w:rPr>
              <w:t>Fiscal 2011</w:t>
            </w:r>
          </w:p>
        </w:tc>
        <w:tc>
          <w:tcPr>
            <w:tcW w:w="4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2010</w:t>
            </w:r>
          </w:p>
        </w:tc>
        <w:tc>
          <w:tcPr>
            <w:tcW w:w="30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Derivatives</w:t>
            </w:r>
          </w:p>
        </w:tc>
        <w:tc>
          <w:tcPr>
            <w:tcW w:w="0" w:type="dxa"/>
            <w:vAlign w:val="bottom"/>
          </w:tcPr>
          <w:p>
            <w:pPr>
              <w:spacing w:after="0"/>
              <w:rPr>
                <w:sz w:val="1"/>
                <w:szCs w:val="1"/>
                <w:color w:val="auto"/>
              </w:rPr>
            </w:pPr>
          </w:p>
        </w:tc>
      </w:tr>
      <w:tr>
        <w:trPr>
          <w:trHeight w:val="180"/>
        </w:trPr>
        <w:tc>
          <w:tcPr>
            <w:tcW w:w="5200" w:type="dxa"/>
            <w:vAlign w:val="bottom"/>
            <w:vMerge w:val="restart"/>
          </w:tcPr>
          <w:p>
            <w:pPr>
              <w:spacing w:after="0"/>
              <w:rPr>
                <w:sz w:val="20"/>
                <w:szCs w:val="20"/>
                <w:color w:val="auto"/>
              </w:rPr>
            </w:pPr>
            <w:r>
              <w:rPr>
                <w:rFonts w:ascii="Arial" w:cs="Arial" w:eastAsia="Arial" w:hAnsi="Arial"/>
                <w:sz w:val="18"/>
                <w:szCs w:val="18"/>
                <w:color w:val="auto"/>
              </w:rPr>
              <w:t>Derivatives not designated as hedging instruments:</w:t>
            </w:r>
          </w:p>
        </w:tc>
        <w:tc>
          <w:tcPr>
            <w:tcW w:w="1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w w:val="99"/>
              </w:rPr>
              <w:t>(In millions)</w:t>
            </w:r>
          </w:p>
        </w:tc>
        <w:tc>
          <w:tcPr>
            <w:tcW w:w="8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00" w:type="dxa"/>
            <w:vAlign w:val="bottom"/>
            <w:vMerge w:val="continue"/>
          </w:tcPr>
          <w:p>
            <w:pPr>
              <w:spacing w:after="0"/>
              <w:rPr>
                <w:sz w:val="14"/>
                <w:szCs w:val="14"/>
                <w:color w:val="auto"/>
              </w:rPr>
            </w:pPr>
          </w:p>
        </w:tc>
        <w:tc>
          <w:tcPr>
            <w:tcW w:w="1660" w:type="dxa"/>
            <w:vAlign w:val="bottom"/>
            <w:gridSpan w:val="2"/>
            <w:vMerge w:val="restart"/>
          </w:tcPr>
          <w:p>
            <w:pPr>
              <w:ind w:left="1540"/>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tcPr>
          <w:p>
            <w:pPr>
              <w:jc w:val="right"/>
              <w:ind w:right="462"/>
              <w:spacing w:after="0"/>
              <w:rPr>
                <w:sz w:val="20"/>
                <w:szCs w:val="20"/>
                <w:color w:val="auto"/>
              </w:rPr>
            </w:pPr>
            <w:r>
              <w:rPr>
                <w:rFonts w:ascii="Arial" w:cs="Arial" w:eastAsia="Arial" w:hAnsi="Arial"/>
                <w:sz w:val="18"/>
                <w:szCs w:val="18"/>
                <w:b w:val="1"/>
                <w:bCs w:val="1"/>
                <w:color w:val="auto"/>
              </w:rPr>
              <w:t>(0.9)</w:t>
            </w:r>
          </w:p>
        </w:tc>
        <w:tc>
          <w:tcPr>
            <w:tcW w:w="42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159"/>
              <w:spacing w:after="0"/>
              <w:rPr>
                <w:sz w:val="20"/>
                <w:szCs w:val="20"/>
                <w:color w:val="auto"/>
              </w:rPr>
            </w:pPr>
            <w:r>
              <w:rPr>
                <w:rFonts w:ascii="Arial" w:cs="Arial" w:eastAsia="Arial" w:hAnsi="Arial"/>
                <w:sz w:val="18"/>
                <w:szCs w:val="18"/>
                <w:b w:val="1"/>
                <w:bCs w:val="1"/>
                <w:color w:val="auto"/>
              </w:rPr>
              <w:t>(1.9)</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Losses on foreign exchange forward contracts</w:t>
            </w:r>
          </w:p>
        </w:tc>
        <w:tc>
          <w:tcPr>
            <w:tcW w:w="1660" w:type="dxa"/>
            <w:vAlign w:val="bottom"/>
            <w:gridSpan w:val="2"/>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3"/>
          </w:tcPr>
          <w:p>
            <w:pPr>
              <w:ind w:left="300"/>
              <w:spacing w:after="0"/>
              <w:rPr>
                <w:sz w:val="20"/>
                <w:szCs w:val="20"/>
                <w:color w:val="auto"/>
              </w:rPr>
            </w:pPr>
            <w:r>
              <w:rPr>
                <w:rFonts w:ascii="Arial" w:cs="Arial" w:eastAsia="Arial" w:hAnsi="Arial"/>
                <w:sz w:val="18"/>
                <w:szCs w:val="18"/>
                <w:color w:val="auto"/>
                <w:w w:val="88"/>
              </w:rPr>
              <w:t>Cost of products sold</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440" w:firstLine="222"/>
        <w:spacing w:after="0" w:line="293" w:lineRule="auto"/>
        <w:rPr>
          <w:sz w:val="20"/>
          <w:szCs w:val="20"/>
          <w:color w:val="auto"/>
        </w:rPr>
      </w:pPr>
      <w:r>
        <w:rPr>
          <w:rFonts w:ascii="Arial" w:cs="Arial" w:eastAsia="Arial" w:hAnsi="Arial"/>
          <w:sz w:val="16"/>
          <w:szCs w:val="16"/>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and maintain credit relationships with several financial institutions providing foreign currency exchange services in accordance with corporate policy. As a result of the above considerations, we consider the risk of counterparty default to be immaterial.</w:t>
      </w:r>
    </w:p>
    <w:p>
      <w:pPr>
        <w:spacing w:after="0" w:line="57"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We have informal credit facilities with several commercial banks under which we transact foreign exchange transactions. These facilities are generally restricted to a total notional amount outstanding, a maximum settlement amount in any one day and a maximum term. There are no written agreements supporting these facilities with the exception of one bank which provided us with their general terms and conditions for trading that we acknowledged.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Net Loss per Share of Common Stock</w:t>
      </w:r>
    </w:p>
    <w:p>
      <w:pPr>
        <w:spacing w:after="0" w:line="121" w:lineRule="exact"/>
        <w:rPr>
          <w:sz w:val="20"/>
          <w:szCs w:val="20"/>
          <w:color w:val="auto"/>
        </w:rPr>
      </w:pPr>
    </w:p>
    <w:p>
      <w:pPr>
        <w:ind w:right="200" w:firstLine="222"/>
        <w:spacing w:after="0" w:line="312" w:lineRule="auto"/>
        <w:rPr>
          <w:sz w:val="20"/>
          <w:szCs w:val="20"/>
          <w:color w:val="auto"/>
        </w:rPr>
      </w:pPr>
      <w:r>
        <w:rPr>
          <w:rFonts w:ascii="Arial" w:cs="Arial" w:eastAsia="Arial" w:hAnsi="Arial"/>
          <w:sz w:val="16"/>
          <w:szCs w:val="16"/>
          <w:color w:val="auto"/>
        </w:rPr>
        <w:t>We compute net loss per share of common stock using the two-class method. Basic net loss per share is computed using the weighted average number of common shares outstanding and unvested share-based payment awards that contain rights to receive non-forfeitable dividends or dividend equivalents (whether paid or unpaid) during the period. Such unvested share-based payment awards are considered to be participating securities.</w:t>
      </w:r>
    </w:p>
    <w:p>
      <w:pPr>
        <w:spacing w:after="0" w:line="39"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During the first quarter of fiscal 2011 and 2010, we recorded a net loss, so the potential dilution from the assumed exercise of our stock options is anti-dilutive. Accordingly, our basic and diluted net loss per common share amounts are the same.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Legal Proceedings</w:t>
      </w:r>
    </w:p>
    <w:p>
      <w:pPr>
        <w:spacing w:after="0" w:line="121"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We and certain of our current and former executive officers and directors were named in a federal securities class action complaint filed on September 15, 2008 in the United States District Court for the District of Delaware by plaintiff Norfolk County Retirement System on behalf of an alleged class of purchasers of our securities from January 29, 2007 to July 30, 2008, including shareholders of Stratex Networks, Inc. who exchanged shares of Stratex Networks, Inc. for our shares as part of the merger between Stratex Networks and the Microwave Communications Division of Harris Corporation. This action relates to the restatement of our prior financial statements as discussed in our fiscal 2008 Annual Report on Form 10-K filed with the Securities and Exchange Commission on September 25, 2008. Similar complaints were filed in the United States District Court of Delaware on October 6 and October 30, 2008. Each complaint alleges violations of Sections 10(b) and 20(a) of the Securities Exchange Act of 1934 and Rule 10b-5 promulgated thereunder, as well as violations of Sections 11 and 15 of the Securities Act of 1933 and seeks, among other relief, determinations that the action is a proper class action, unspecified compensatory damages and reasonable attorneys’ fees and costs. The actions were consolidated on June 5, 2009 and a consolidated class action complaint was filed on July 29, 2009. On July 27, 2010, the Court denied the motions to dismiss that we and the officer and director defendants had filed. We believe that we have meritorious defenses and intend to defend ourselves vigorously.</w:t>
      </w:r>
    </w:p>
    <w:p>
      <w:pPr>
        <w:spacing w:after="0" w:line="75"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On February 8, 2007, a court order was entered against Stratex do Brasil, a subsidiary of Aviat U.S., Inc. (formerly Harris Stratex Networks Operating Corporation), in Brazil, to enforce performance of an alleged agreement between the former Stratex Networks, Inc. entity and a supplier. We have not determined what, if any, liability this may result in, as the court did not award any damages.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appealed the decision to enforce the alleged agreement, and do not expect this litigation to have a material adverse effect on our business, operating results or financial condition.</w:t>
      </w:r>
    </w:p>
    <w:p>
      <w:pPr>
        <w:spacing w:after="0" w:line="62" w:lineRule="exact"/>
        <w:rPr>
          <w:sz w:val="20"/>
          <w:szCs w:val="20"/>
          <w:color w:val="auto"/>
        </w:rPr>
      </w:pPr>
    </w:p>
    <w:p>
      <w:pPr>
        <w:jc w:val="both"/>
        <w:ind w:right="220" w:firstLine="225"/>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Loss on Sale of NetBoss Assets</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On September 7, 2010, we sold our NetBoss assets consisting of intellectual property and certain equipment to a third party named NetBoss Technologies, Inc. and recognized a $3.9 million loss in our Condensed Consolidated Statement of Operations during the first quarter of fiscal 2011. NetBoss Technologies Inc. is a new company formed by its management team, our former development partner for NetBoss, and private investors. As part of the terms of the sale, we will assign our customer contracts for NetBoss software and maintenance to NetBoss Technologies, Inc. We will continue to license NetBoss to operate our Network Operations Centers.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222"/>
        <w:spacing w:after="0" w:line="287" w:lineRule="auto"/>
        <w:rPr>
          <w:sz w:val="20"/>
          <w:szCs w:val="20"/>
          <w:color w:val="auto"/>
        </w:rPr>
      </w:pPr>
      <w:r>
        <w:rPr>
          <w:rFonts w:ascii="Arial" w:cs="Arial" w:eastAsia="Arial" w:hAnsi="Arial"/>
          <w:sz w:val="16"/>
          <w:szCs w:val="16"/>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“anticipates,” “projects,” “targets,” “goals,” “seeing,” “delivering,” “continues,” “forecasts,” “future,” “predict,” “might,” “could,” “potential,” or the negative of these terms, and similar words or expressions.</w:t>
      </w:r>
    </w:p>
    <w:p>
      <w:pPr>
        <w:spacing w:after="0" w:line="6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the following:</w:t>
      </w:r>
    </w:p>
    <w:p>
      <w:pPr>
        <w:spacing w:after="0" w:line="80" w:lineRule="exact"/>
        <w:rPr>
          <w:sz w:val="20"/>
          <w:szCs w:val="20"/>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the impact of the volume, timing and customer, product and geographic mix of our product orders may have an impact on our operating results;</w:t>
      </w:r>
    </w:p>
    <w:p>
      <w:pPr>
        <w:spacing w:after="0" w:line="153" w:lineRule="exact"/>
        <w:rPr>
          <w:rFonts w:ascii="Arial" w:cs="Arial" w:eastAsia="Arial" w:hAnsi="Arial"/>
          <w:sz w:val="16"/>
          <w:szCs w:val="16"/>
          <w:b w:val="1"/>
          <w:bCs w:val="1"/>
          <w:color w:val="auto"/>
        </w:rPr>
      </w:pPr>
    </w:p>
    <w:p>
      <w:pPr>
        <w:ind w:left="1000" w:hanging="317"/>
        <w:spacing w:after="0"/>
        <w:tabs>
          <w:tab w:leader="none" w:pos="100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our ability to maintain projected product rollouts, product functionality, anticipated cost reductions or market acceptance of planned products;</w:t>
      </w:r>
    </w:p>
    <w:p>
      <w:pPr>
        <w:spacing w:after="0" w:line="153" w:lineRule="exact"/>
        <w:rPr>
          <w:rFonts w:ascii="Arial" w:cs="Arial" w:eastAsia="Arial" w:hAnsi="Arial"/>
          <w:sz w:val="16"/>
          <w:szCs w:val="16"/>
          <w:b w:val="1"/>
          <w:bCs w:val="1"/>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ability of our subcontractors to perform or our key suppliers to manufacture or deliver material</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continued weakness in the global economy affecting customer spending;</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retention of our key personnel;</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our ability to manage and maintain key customer relationships;</w:t>
      </w:r>
    </w:p>
    <w:p>
      <w:pPr>
        <w:spacing w:after="0" w:line="130" w:lineRule="exact"/>
        <w:rPr>
          <w:rFonts w:ascii="Arial" w:cs="Arial" w:eastAsia="Arial" w:hAnsi="Arial"/>
          <w:sz w:val="18"/>
          <w:szCs w:val="18"/>
          <w:b w:val="1"/>
          <w:bCs w:val="1"/>
          <w:color w:val="auto"/>
        </w:rPr>
      </w:pPr>
    </w:p>
    <w:p>
      <w:pPr>
        <w:ind w:left="1000" w:right="20" w:hanging="317"/>
        <w:spacing w:after="0" w:line="277" w:lineRule="auto"/>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uncertain economic conditions in the telecommunications sector combined with operator and supplier consolidation;the timing of our receipt of payment for products or services from our customers;</w:t>
      </w:r>
    </w:p>
    <w:p>
      <w:pPr>
        <w:spacing w:after="0" w:line="75" w:lineRule="exact"/>
        <w:rPr>
          <w:rFonts w:ascii="Arial" w:cs="Arial" w:eastAsia="Arial" w:hAnsi="Arial"/>
          <w:sz w:val="18"/>
          <w:szCs w:val="18"/>
          <w:b w:val="1"/>
          <w:bCs w:val="1"/>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effects of currency and interest rate risks; and</w:t>
      </w:r>
    </w:p>
    <w:p>
      <w:pPr>
        <w:spacing w:after="0" w:line="130" w:lineRule="exact"/>
        <w:rPr>
          <w:rFonts w:ascii="Arial" w:cs="Arial" w:eastAsia="Arial" w:hAnsi="Arial"/>
          <w:sz w:val="18"/>
          <w:szCs w:val="18"/>
          <w:b w:val="1"/>
          <w:bCs w:val="1"/>
          <w:color w:val="auto"/>
        </w:rPr>
      </w:pPr>
    </w:p>
    <w:p>
      <w:pPr>
        <w:ind w:left="1000" w:hanging="317"/>
        <w:spacing w:after="0"/>
        <w:tabs>
          <w:tab w:leader="none" w:pos="100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impact of political, economic and geographic risks on international sales.</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Annual Report on Form 10-K for more information regarding factors that may cause our results to differ materially from those expressed or implied by the forward-looking statements contained in this Quarterly Report on Form 10-Q.</w:t>
      </w:r>
    </w:p>
    <w:p>
      <w:pPr>
        <w:spacing w:after="0" w:line="73" w:lineRule="exact"/>
        <w:rPr>
          <w:sz w:val="20"/>
          <w:szCs w:val="20"/>
          <w:color w:val="auto"/>
        </w:rPr>
      </w:pPr>
    </w:p>
    <w:p>
      <w:pPr>
        <w:ind w:right="60" w:firstLine="218"/>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forward-looking statements to reflect further developments or information obtained after the date of filing of this Quarterly Report on Form 10-Q or, in the case of any document incorporated by reference, the date of that document.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8"/>
          <w:szCs w:val="18"/>
          <w:color w:val="auto"/>
        </w:rPr>
        <w:t>-</w:t>
      </w:r>
      <w:r>
        <w:rPr>
          <w:rFonts w:ascii="Arial" w:cs="Arial" w:eastAsia="Arial" w:hAnsi="Arial"/>
          <w:sz w:val="18"/>
          <w:szCs w:val="18"/>
          <w:b w:val="1"/>
          <w:bCs w:val="1"/>
          <w:color w:val="auto"/>
        </w:rPr>
        <w:t xml:space="preserve"> Quarter Ended October 1, 2010 compared with October 2,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Operations results for the first quarter of fiscal 2011 include:</w:t>
      </w:r>
    </w:p>
    <w:p>
      <w:pPr>
        <w:spacing w:after="0" w:line="117" w:lineRule="exact"/>
        <w:rPr>
          <w:sz w:val="20"/>
          <w:szCs w:val="20"/>
          <w:color w:val="auto"/>
        </w:rPr>
      </w:pPr>
    </w:p>
    <w:p>
      <w:pPr>
        <w:ind w:left="660" w:right="42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Net loss was $21.3 million, or $0.36 per common share, in the first quarter of fiscal 2011 compared with a net loss of $7.8 million, or $0.13 per common share, in the first quarter of fiscal 2010;</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Revenue decreased 9.1 percent to $109.1 million in the first quarter of fiscal 2011 from $120.0 million in the first quarter of fiscal 2010;</w:t>
      </w:r>
    </w:p>
    <w:p>
      <w:pPr>
        <w:spacing w:after="0" w:line="130" w:lineRule="exact"/>
        <w:rPr>
          <w:rFonts w:ascii="Arial" w:cs="Arial" w:eastAsia="Arial" w:hAnsi="Arial"/>
          <w:sz w:val="18"/>
          <w:szCs w:val="18"/>
          <w:b w:val="1"/>
          <w:bCs w:val="1"/>
          <w:color w:val="auto"/>
        </w:rPr>
      </w:pPr>
    </w:p>
    <w:p>
      <w:pPr>
        <w:ind w:left="660" w:right="4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North America segment revenue decreased 25.8 percent to $35.6 million and the segment recorded an operating loss of $13.6 million in the first quarter of fiscal 2011 compared with an operating loss of $3.2 million in the first quarter of fiscal 2010;</w:t>
      </w:r>
    </w:p>
    <w:p>
      <w:pPr>
        <w:spacing w:after="0" w:line="75" w:lineRule="exact"/>
        <w:rPr>
          <w:rFonts w:ascii="Arial" w:cs="Arial" w:eastAsia="Arial" w:hAnsi="Arial"/>
          <w:sz w:val="18"/>
          <w:szCs w:val="18"/>
          <w:b w:val="1"/>
          <w:bCs w:val="1"/>
          <w:color w:val="auto"/>
        </w:rPr>
      </w:pPr>
    </w:p>
    <w:p>
      <w:pPr>
        <w:ind w:left="660" w:right="32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International segment revenue increased 1.5 percent to $73.5 million and the segment recorded an operating loss of $12.7 million in the first quarter of fiscal 2011 compared with an operating loss of $3.2 million in the first quarter of fiscal 2010;</w:t>
      </w:r>
    </w:p>
    <w:p>
      <w:pPr>
        <w:spacing w:after="0" w:line="75" w:lineRule="exact"/>
        <w:rPr>
          <w:rFonts w:ascii="Arial" w:cs="Arial" w:eastAsia="Arial" w:hAnsi="Arial"/>
          <w:sz w:val="18"/>
          <w:szCs w:val="18"/>
          <w:b w:val="1"/>
          <w:bCs w:val="1"/>
          <w:color w:val="auto"/>
        </w:rPr>
      </w:pPr>
    </w:p>
    <w:p>
      <w:pPr>
        <w:ind w:left="660" w:right="78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Net cash used in operating activities was $36.8 million in the first quarter of fiscal 2011 compared with net cash provided by operations of $4.4 million in the first quarter of fiscal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Consolidated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Net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Quarter Ended</w:t>
            </w:r>
          </w:p>
        </w:tc>
        <w:tc>
          <w:tcPr>
            <w:tcW w:w="6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1"/>
              </w:rPr>
              <w:t>percentages)</w:t>
            </w:r>
          </w:p>
        </w:tc>
        <w:tc>
          <w:tcPr>
            <w:tcW w:w="14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w w:val="95"/>
              </w:rPr>
              <w:t>(In millions, except</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109.1</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120.0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33"/>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93"/>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 by region comparing the first quarter of fiscal 2011 with the first quarter of fiscal 2010 and the related changes are shown in the table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5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280" w:type="dxa"/>
            <w:vAlign w:val="bottom"/>
          </w:tcPr>
          <w:p>
            <w:pPr>
              <w:spacing w:after="0"/>
              <w:rPr>
                <w:sz w:val="12"/>
                <w:szCs w:val="12"/>
                <w:color w:val="auto"/>
              </w:rPr>
            </w:pPr>
          </w:p>
        </w:tc>
        <w:tc>
          <w:tcPr>
            <w:tcW w:w="176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Increase/(Decrease)</w:t>
            </w:r>
          </w:p>
        </w:tc>
        <w:tc>
          <w:tcPr>
            <w:tcW w:w="166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40" w:type="dxa"/>
            <w:vAlign w:val="bottom"/>
            <w:gridSpan w:val="6"/>
          </w:tcPr>
          <w:p>
            <w:pPr>
              <w:jc w:val="right"/>
              <w:ind w:right="660"/>
              <w:spacing w:after="0" w:line="142" w:lineRule="exact"/>
              <w:rPr>
                <w:sz w:val="20"/>
                <w:szCs w:val="20"/>
                <w:color w:val="auto"/>
              </w:rPr>
            </w:pPr>
            <w:r>
              <w:rPr>
                <w:rFonts w:ascii="Arial" w:cs="Arial" w:eastAsia="Arial" w:hAnsi="Arial"/>
                <w:sz w:val="14"/>
                <w:szCs w:val="14"/>
                <w:b w:val="1"/>
                <w:bCs w:val="1"/>
                <w:color w:val="auto"/>
                <w:w w:val="94"/>
              </w:rPr>
              <w:t>(In millions, except percentages)</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6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Africa</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Europe, Middle East, and Russia</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and Asia Pacific</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International</w:t>
            </w:r>
          </w:p>
        </w:tc>
        <w:tc>
          <w:tcPr>
            <w:tcW w:w="1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73.5</w:t>
            </w:r>
          </w:p>
        </w:tc>
        <w:tc>
          <w:tcPr>
            <w:tcW w:w="5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w:t>
            </w:r>
          </w:p>
        </w:tc>
        <w:tc>
          <w:tcPr>
            <w:tcW w:w="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revenue in the first quarter of fiscal 2011 was $109.1 million, a decrease of $10.9 million or 9.1%, compared with the first quarter of fiscal 2010. This decrease in revenue resulted from significant declines in all regions, except Europe, Middle East and Russia where incremental backhaul product orders were delivered in the first quarter of fiscal 2011. Declines resulted primarily from reduced customer demand due to the global economic recession and the effects of the continuing credit crisis on our customers’ ability to finance expansion, as well as increased competition from our competitors. Increased competition has affected product pricing and the ability to combine microwave equipment with other product sales and services. Furthermore, revenue has been negatively affected by anticipated or planned consolidation of our customers and foreign government-based subsidized financing, particularly in Africa.</w:t>
      </w:r>
    </w:p>
    <w:p>
      <w:pPr>
        <w:spacing w:after="0" w:line="57"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During the first quarter of fiscal 2011, none of our customers accounted for 10% or more of revenue. During the first quarter of fiscal 2010, the MTN group in Africa (“MTN”) and Middle East Telecommunications Company (“METCO”) each accounted for 12% of our total revenue (two customers accounted for 24% of our total revenue).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net loss in the first quarter of fiscal 2011 was $21.3 million compared with a net loss of $7.8 million in the first quarter of fiscal 2010. The net loss in the first quarter of fiscal 2011 and 2010 included amortization of purchased intangibles, rebranding expenses and share compensation expense. In addition, we incurred substantial charges associated with two ongoing restructuring plans. During the first quarter of fiscal 2011, we incurred $5.6 million of restructuring charges compared with $1.1 million in the first quarter of fiscal 2010. Finally, we recognized a $3.9 million loss on the sale of NetBoss assets to a third party in the first quarter of fiscal 2011. Other assets on our Condensed Consolidated Balance Sheet as of October 1, 2010 decreased by approximately $8.0 million compared with July 2, 2010 as a result of the sale of NetBoss assets. These charges and expenses are set forth on a comparative basis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First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First</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Fiscal</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Fiscal</w:t>
            </w:r>
          </w:p>
        </w:tc>
      </w:tr>
      <w:tr>
        <w:trPr>
          <w:trHeight w:val="149"/>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c>
          <w:tcPr>
            <w:tcW w:w="66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Quarter</w:t>
            </w:r>
          </w:p>
        </w:tc>
      </w:t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4"/>
          </w:tcPr>
          <w:p>
            <w:pPr>
              <w:jc w:val="right"/>
              <w:ind w:right="7"/>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Loss on sale of NetBoss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 names and customer relationships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Rebranding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developed technology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Amortization of the fair value adjustments related to fixed assets and inventory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9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Quarter Ended</w:t>
            </w:r>
          </w:p>
        </w:tc>
        <w:tc>
          <w:tcPr>
            <w:tcW w:w="6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1"/>
              </w:rPr>
              <w:t>percentages)</w:t>
            </w:r>
          </w:p>
        </w:tc>
        <w:tc>
          <w:tcPr>
            <w:tcW w:w="142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w w:val="96"/>
              </w:rPr>
              <w:t>(In millions, except</w:t>
            </w: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109.1</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120.0</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Cost of product sales and services</w:t>
            </w:r>
          </w:p>
        </w:tc>
        <w:tc>
          <w:tcPr>
            <w:tcW w:w="3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(84.9)</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513"/>
              <w:spacing w:after="0"/>
              <w:rPr>
                <w:sz w:val="20"/>
                <w:szCs w:val="20"/>
                <w:color w:val="auto"/>
              </w:rPr>
            </w:pPr>
            <w:r>
              <w:rPr>
                <w:rFonts w:ascii="Arial" w:cs="Arial" w:eastAsia="Arial" w:hAnsi="Arial"/>
                <w:sz w:val="18"/>
                <w:szCs w:val="18"/>
                <w:color w:val="auto"/>
              </w:rPr>
              <w:t>(82.3)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37.7</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 of revenue</w:t>
            </w:r>
          </w:p>
        </w:tc>
        <w:tc>
          <w:tcPr>
            <w:tcW w:w="3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433"/>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Gross margin in the first quarter of fiscal 2011 was $24.2 million, or 22.2% of revenue, compared with $37.7 million, or 31.4% of revenue in fiscal 2010. Prior to fiscal 2011, we capitalized most of the costs associated with our internal manufacturing operations as a component of the overall cost of product inventory. Beginning in the first quarter of fiscal 2011, the production of all our products is outsourced to contract manufacturers and we no longer manufacture products internally. Accordingly, the costs associated with our internal operations organization are now expensed as incurred. Gross margin in the first quarter of fiscal 2011 was negatively impacted by the immediate expensing of $6.0 million of such costs.</w:t>
      </w:r>
    </w:p>
    <w:p>
      <w:pPr>
        <w:spacing w:after="0" w:line="64"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Gross margin in the first quarter of fiscal 2011 was also negatively impacted by low margins in our WiMAX contracts and by geographic and product mix issues.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4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October 2, 2009</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4"/>
              </w:rPr>
              <w:t>percentages)</w:t>
            </w:r>
          </w:p>
        </w:tc>
        <w:tc>
          <w:tcPr>
            <w:tcW w:w="142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 millions, except</w:t>
            </w: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109.1</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120.0</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73"/>
              <w:spacing w:after="0"/>
              <w:rPr>
                <w:sz w:val="20"/>
                <w:szCs w:val="20"/>
                <w:color w:val="auto"/>
              </w:rPr>
            </w:pPr>
            <w:r>
              <w:rPr>
                <w:rFonts w:ascii="Arial" w:cs="Arial" w:eastAsia="Arial" w:hAnsi="Arial"/>
                <w:sz w:val="18"/>
                <w:szCs w:val="18"/>
                <w:color w:val="auto"/>
              </w:rPr>
              <w:t>10.7</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3"/>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Research and development (“R&amp;D”) expenses were $11.1 million in the first quarter of fiscal 2011 compared with $10.7 million in the first quarter of fiscal 2010. As a percentage of revenue, these expenses increased to 10.2% in the first quarter of fiscal 2011 from 8.9% in the first quarter of fiscal 2010 due to 9.1% lower revenue and a 3.7% increase in spending. The increase in R&amp;D spending in the first quarter of fiscal 2011 compared with the first quarter of fiscal 2010 was primarily attributable to investments in new product innovation.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4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October 2, 2009</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4"/>
              </w:rPr>
              <w:t>percentages)</w:t>
            </w:r>
          </w:p>
        </w:tc>
        <w:tc>
          <w:tcPr>
            <w:tcW w:w="142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(In millions, except</w:t>
            </w: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109.1</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120.0</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73"/>
              <w:spacing w:after="0"/>
              <w:rPr>
                <w:sz w:val="20"/>
                <w:szCs w:val="20"/>
                <w:color w:val="auto"/>
              </w:rPr>
            </w:pPr>
            <w:r>
              <w:rPr>
                <w:rFonts w:ascii="Arial" w:cs="Arial" w:eastAsia="Arial" w:hAnsi="Arial"/>
                <w:sz w:val="18"/>
                <w:szCs w:val="18"/>
                <w:color w:val="auto"/>
              </w:rPr>
              <w:t>30.8</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13"/>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significant increases and decreases to our selling and administrative expenses comparing the first quarter of fiscal 2011 with the first quarter of fiscal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4120" w:type="dxa"/>
            <w:vAlign w:val="bottom"/>
            <w:gridSpan w:val="4"/>
          </w:tcPr>
          <w:p>
            <w:pPr>
              <w:ind w:left="2720"/>
              <w:spacing w:after="0"/>
              <w:rPr>
                <w:sz w:val="20"/>
                <w:szCs w:val="20"/>
                <w:color w:val="auto"/>
              </w:rPr>
            </w:pPr>
            <w:r>
              <w:rPr>
                <w:rFonts w:ascii="Arial" w:cs="Arial" w:eastAsia="Arial" w:hAnsi="Arial"/>
                <w:sz w:val="14"/>
                <w:szCs w:val="14"/>
                <w:b w:val="1"/>
                <w:bCs w:val="1"/>
                <w:color w:val="auto"/>
              </w:rPr>
              <w:t>Increase/(Decrease)</w:t>
            </w:r>
          </w:p>
        </w:tc>
      </w:tr>
      <w:tr>
        <w:trPr>
          <w:trHeight w:val="142"/>
        </w:trPr>
        <w:tc>
          <w:tcPr>
            <w:tcW w:w="7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Decrease in spending on information technology</w:t>
            </w:r>
          </w:p>
        </w:tc>
        <w:tc>
          <w:tcPr>
            <w:tcW w:w="286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Decrease in salaries and wages due to lower employment levels</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in commissions paid to sales agents</w:t>
            </w:r>
          </w:p>
        </w:tc>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Other, net</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r>
      <w:tr>
        <w:trPr>
          <w:trHeight w:val="27"/>
        </w:trPr>
        <w:tc>
          <w:tcPr>
            <w:tcW w:w="73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30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7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r>
      <w:tr>
        <w:trPr>
          <w:trHeight w:val="20"/>
        </w:trPr>
        <w:tc>
          <w:tcPr>
            <w:tcW w:w="7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Quarter Ended</w:t>
            </w:r>
          </w:p>
        </w:tc>
        <w:tc>
          <w:tcPr>
            <w:tcW w:w="5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50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October 2, 2009</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4"/>
              </w:rPr>
              <w:t>percentages)</w:t>
            </w:r>
          </w:p>
        </w:tc>
        <w:tc>
          <w:tcPr>
            <w:tcW w:w="142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(In millions, except</w:t>
            </w: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73"/>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140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 of (loss) income before income taxes</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N/M</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40" w:firstLine="222"/>
        <w:spacing w:after="0" w:line="297" w:lineRule="auto"/>
        <w:rPr>
          <w:sz w:val="20"/>
          <w:szCs w:val="20"/>
          <w:color w:val="auto"/>
        </w:rPr>
      </w:pPr>
      <w:r>
        <w:rPr>
          <w:rFonts w:ascii="Arial" w:cs="Arial" w:eastAsia="Arial" w:hAnsi="Arial"/>
          <w:sz w:val="16"/>
          <w:szCs w:val="16"/>
          <w:color w:val="auto"/>
        </w:rPr>
        <w:t>The determination of benefit for income taxes for the first quarter of fiscal 2011 of $5.5 million and provision for income taxes for the first quarter of 2010 of $0.9 million was primarily based on our estimated annual effective tax rate adjusted for losses in separate jurisdictions for which no tax benefit can be recognized. The tax benefit in the first quarter of fiscal 2011 also includes a credit of $1.9 million from the expiring favorable tax ruling granted by the Singapore Economic Development Board which increases the tax rate applied to established local country deferred tax assets. The determination of first quarter fiscal 2011 income tax benefit and first quarter 2010 tax provision reflected tax benefit and expense generated in certain foreign jurisdictions.</w:t>
      </w:r>
    </w:p>
    <w:p>
      <w:pPr>
        <w:spacing w:after="0" w:line="5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Business Segment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1"/>
              </w:rPr>
              <w:t>percentages)</w:t>
            </w:r>
          </w:p>
        </w:tc>
        <w:tc>
          <w:tcPr>
            <w:tcW w:w="14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right"/>
              <w:ind w:right="110"/>
              <w:spacing w:after="0" w:line="142" w:lineRule="exact"/>
              <w:rPr>
                <w:sz w:val="20"/>
                <w:szCs w:val="20"/>
                <w:color w:val="auto"/>
              </w:rPr>
            </w:pPr>
            <w:r>
              <w:rPr>
                <w:rFonts w:ascii="Arial" w:cs="Arial" w:eastAsia="Arial" w:hAnsi="Arial"/>
                <w:sz w:val="14"/>
                <w:szCs w:val="14"/>
                <w:b w:val="1"/>
                <w:bCs w:val="1"/>
                <w:color w:val="auto"/>
                <w:w w:val="95"/>
              </w:rPr>
              <w:t>(In millions, except</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48.0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Segment operating loss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33"/>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93"/>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North America segment revenue decreased by $12.4 million, or 25.8%, in the first quarter of fiscal 2011 compared with the first quarter of fiscal 2010. This decrease in revenue resulted primarily from the economic recession and the continuing credit crisis adversely affecting our North America customers’ expansion.</w:t>
      </w:r>
    </w:p>
    <w:p>
      <w:pPr>
        <w:spacing w:after="0" w:line="73"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North America segment first quarter fiscal 2011 operating loss included $4.8 million of restructuring charges, $3.9 million from the loss on sale of NetBoss assets and $0.7 million for share-based compensation.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North America segment first quarter fiscal 2010 operating loss included $0.8 million for restructuring charges and $1.0 million for share-based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Quarter Ended</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October 2, 2009</w:t>
            </w: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4"/>
              </w:rPr>
              <w:t>percentages)</w:t>
            </w:r>
          </w:p>
        </w:tc>
        <w:tc>
          <w:tcPr>
            <w:tcW w:w="40" w:type="dxa"/>
            <w:vAlign w:val="bottom"/>
          </w:tcPr>
          <w:p>
            <w:pPr>
              <w:spacing w:after="0"/>
              <w:rPr>
                <w:sz w:val="12"/>
                <w:szCs w:val="12"/>
                <w:color w:val="auto"/>
              </w:rPr>
            </w:pPr>
          </w:p>
        </w:tc>
        <w:tc>
          <w:tcPr>
            <w:tcW w:w="13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Increase/(Decrease)</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(In millions, except</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73.5</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72.0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Segment operating loss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33"/>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 of revenue</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73"/>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N/M = Not statistically meaningful</w:t>
      </w:r>
    </w:p>
    <w:p>
      <w:pPr>
        <w:spacing w:after="0" w:line="117"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International segment revenue increased by $1.5 million or 2.1% in the first quarter of fiscal 2011 compared with the first quarter of fiscal 2010. This increase in revenue resulted from a $10.1 million increase in the Europe, Middle East and Russia region partially offsets by a $6.9 million decrease in Africa and $1.7 million decrease in Latin America and Asia Pacific. The economic recession and the continuing credit crisis adversely affecting our customers’ expansion, as well as increased competition from our competitors, particularly in Africa, negatively affected our International segment revenues.</w:t>
      </w:r>
    </w:p>
    <w:p>
      <w:pPr>
        <w:spacing w:after="0" w:line="46"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The International segment first quarter fiscal 2011 operating loss included $0.8 million for restructuring charges and $0.1 million for share-based compensation.</w:t>
      </w:r>
    </w:p>
    <w:p>
      <w:pPr>
        <w:spacing w:after="0" w:line="62" w:lineRule="exact"/>
        <w:rPr>
          <w:sz w:val="20"/>
          <w:szCs w:val="20"/>
          <w:color w:val="auto"/>
        </w:rPr>
      </w:pPr>
    </w:p>
    <w:p>
      <w:pPr>
        <w:ind w:right="140" w:firstLine="222"/>
        <w:spacing w:after="0" w:line="342" w:lineRule="auto"/>
        <w:rPr>
          <w:sz w:val="20"/>
          <w:szCs w:val="20"/>
          <w:color w:val="auto"/>
        </w:rPr>
      </w:pPr>
      <w:r>
        <w:rPr>
          <w:rFonts w:ascii="Arial" w:cs="Arial" w:eastAsia="Arial" w:hAnsi="Arial"/>
          <w:sz w:val="16"/>
          <w:szCs w:val="16"/>
          <w:color w:val="auto"/>
        </w:rPr>
        <w:t>The International segment first quarter fiscal 2010 operating loss resulted primarily from the decline in revenue when compared with levels prior to fiscal 2010 without a corresponding decrease in cost structure and included $0.3 million of restructuring charges and $0.1 million for share-based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ind w:right="80" w:firstLine="215"/>
        <w:spacing w:after="0" w:line="342" w:lineRule="auto"/>
        <w:rPr>
          <w:sz w:val="20"/>
          <w:szCs w:val="20"/>
          <w:color w:val="auto"/>
        </w:rPr>
      </w:pPr>
      <w:r>
        <w:rPr>
          <w:rFonts w:ascii="Arial" w:cs="Arial" w:eastAsia="Arial" w:hAnsi="Arial"/>
          <w:sz w:val="16"/>
          <w:szCs w:val="16"/>
          <w:color w:val="auto"/>
        </w:rPr>
        <w:t>As of October 1, 2010, our principal sources of liquidity consisted of $107.8 million in cash and cash equivalents plus $24.4 million of available credit under our current $40.0 million credit facility with Silicon Valley Bank. Cash flow used in operations for the first quarter of fiscal 2011 totaled $36.8 million.</w:t>
      </w:r>
    </w:p>
    <w:p>
      <w:pPr>
        <w:spacing w:after="0" w:line="16"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Our cash collections in the first quarter of fiscal year 2011 were substantially lower than in the fourth quarter of fiscal year 2010 in part because we had very strong collections in the fourth quarter of fiscal year 2010 compared with revenue in that quarter. In addition, because of operational and manufacturing issues, we had substantial shipments to customers with a large quantity of products shipped in the final month of the quarter. This limited our ability to collect receivables before the quarter end. Cash use in the quarter was caused by losses in the quarter, sequential increases in receivables of approximately</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$13 million and a sequential reduction in accounts payables of $5 million. We expect that cash burn will continue in the second quarter of fiscal year 2011 and should result in a $10 million to $20 million decrease to cash and cash equivalents on our balance sheet.</w:t>
      </w:r>
    </w:p>
    <w:p>
      <w:pPr>
        <w:spacing w:after="0" w:line="76"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We believe that cash on hand and the available line of credit are sufficient to meet our working capital requirements for next 12 months and foreseeable future.</w:t>
      </w:r>
    </w:p>
    <w:p>
      <w:pPr>
        <w:spacing w:after="0" w:line="62" w:lineRule="exact"/>
        <w:rPr>
          <w:sz w:val="20"/>
          <w:szCs w:val="20"/>
          <w:color w:val="auto"/>
        </w:rPr>
      </w:pPr>
    </w:p>
    <w:p>
      <w:pPr>
        <w:jc w:val="both"/>
        <w:ind w:right="60" w:firstLine="215"/>
        <w:spacing w:after="0" w:line="264" w:lineRule="auto"/>
        <w:rPr>
          <w:sz w:val="20"/>
          <w:szCs w:val="20"/>
          <w:color w:val="auto"/>
        </w:rPr>
      </w:pPr>
      <w:r>
        <w:rPr>
          <w:rFonts w:ascii="Arial" w:cs="Arial" w:eastAsia="Arial" w:hAnsi="Arial"/>
          <w:sz w:val="18"/>
          <w:szCs w:val="18"/>
          <w:color w:val="auto"/>
        </w:rPr>
        <w:t>As of October 1, 2010, approximately $52.4 million or 49% of our total cash and cash equivalents was held by entities domiciled in the United States. The remaining balance of $55.4 million or 51% was held by entities outside the United States, primarily in Singapore, and could be subject to additional taxation if it were to be repatriated to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and Repayment of Debt</w:t>
      </w:r>
    </w:p>
    <w:p>
      <w:pPr>
        <w:spacing w:after="0" w:line="117" w:lineRule="exact"/>
        <w:rPr>
          <w:sz w:val="20"/>
          <w:szCs w:val="20"/>
          <w:color w:val="auto"/>
        </w:rPr>
      </w:pPr>
    </w:p>
    <w:p>
      <w:pPr>
        <w:ind w:right="280" w:firstLine="215"/>
        <w:spacing w:after="0" w:line="264" w:lineRule="auto"/>
        <w:rPr>
          <w:sz w:val="20"/>
          <w:szCs w:val="20"/>
          <w:color w:val="auto"/>
        </w:rPr>
      </w:pPr>
      <w:r>
        <w:rPr>
          <w:rFonts w:ascii="Arial" w:cs="Arial" w:eastAsia="Arial" w:hAnsi="Arial"/>
          <w:sz w:val="18"/>
          <w:szCs w:val="18"/>
          <w:color w:val="auto"/>
        </w:rPr>
        <w:t>As of October 1, 2010, we had $24.4 million of credit available under our $40.0 million revolving credit facility with Silicon Valley Bank as mentioned above. The total amount of revolving credit available was $40.0 million less $6.0 million in outstanding short term loans which mature by September 30, 2011, and $9.6 million in outstanding standby letters of credit issued under the facility.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 xml:space="preserve">The commitment of $40.0 million under the facility expires in September 2011 and provides for (1) demand borrowings at the prime rate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(2) fixed term Eurodollar loans for up to six months at LIBOR plus a spread of between 2.00% to 2.75% based on the company’s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ratio and (3) the issuance of standby or commercial letters of credit. The facility contains a minimum liquidity ratio covenant and a minimum profitability covenant and is secured by the company’s assets.</w:t>
      </w:r>
    </w:p>
    <w:p>
      <w:pPr>
        <w:spacing w:after="0" w:line="79" w:lineRule="exact"/>
        <w:rPr>
          <w:sz w:val="20"/>
          <w:szCs w:val="20"/>
          <w:color w:val="auto"/>
        </w:rPr>
      </w:pPr>
    </w:p>
    <w:p>
      <w:pPr>
        <w:jc w:val="both"/>
        <w:ind w:right="80" w:firstLine="225"/>
        <w:spacing w:after="0" w:line="312" w:lineRule="auto"/>
        <w:rPr>
          <w:sz w:val="20"/>
          <w:szCs w:val="20"/>
          <w:color w:val="auto"/>
        </w:rPr>
      </w:pPr>
      <w:r>
        <w:rPr>
          <w:rFonts w:ascii="Arial" w:cs="Arial" w:eastAsia="Arial" w:hAnsi="Arial"/>
          <w:sz w:val="16"/>
          <w:szCs w:val="16"/>
          <w:color w:val="auto"/>
        </w:rPr>
        <w:t>Based on covenants included as part of the credit facility we must maintain, as measured at the last day of each fiscal quarter, (1) no less than a minimum liquidity ratio of 2.50 to 1 (defined as the ratio of total domestic unrestricted cash and cash equivalents plus short-term and long-term marketable securities to total obligations outstanding with the bank) and (2) minimum consolidated EBITDA measured for each fiscal quarter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1800" w:type="dxa"/>
            <w:vAlign w:val="bottom"/>
            <w:gridSpan w:val="4"/>
          </w:tcPr>
          <w:p>
            <w:pPr>
              <w:ind w:left="560"/>
              <w:spacing w:after="0"/>
              <w:rPr>
                <w:sz w:val="20"/>
                <w:szCs w:val="20"/>
                <w:color w:val="auto"/>
              </w:rPr>
            </w:pPr>
            <w:r>
              <w:rPr>
                <w:rFonts w:ascii="Arial" w:cs="Arial" w:eastAsia="Arial" w:hAnsi="Arial"/>
                <w:sz w:val="14"/>
                <w:szCs w:val="14"/>
                <w:color w:val="auto"/>
              </w:rPr>
              <w:t>Minimum EBITDA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Quarter ending October 1, 2010</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Quarter ending December 31, 2010</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Quarter ending April 1, 2011</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Quarter ending July 1, 2011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Each Quarter Thereafter</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October 1, 2010, we were in compliance with these financial covenants.</w:t>
      </w:r>
    </w:p>
    <w:p>
      <w:pPr>
        <w:spacing w:after="0" w:line="117"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Subsequent to October 1, 2010, we negotiated an amendment to our credit facility with Silicon Valley Bank that modifies the liquidity ratio to expand the definition of domestic unrestricted cash to include cash held by our Singapore subsidiary in the U.S. up to a maximum amount of $20.0 million. This expanded definition will increase our available credit under the facility by up to $8.0 million without changing the maximum credit amount of $40.0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Payments</w:t>
      </w:r>
    </w:p>
    <w:p>
      <w:pPr>
        <w:spacing w:after="0" w:line="117" w:lineRule="exact"/>
        <w:rPr>
          <w:sz w:val="20"/>
          <w:szCs w:val="20"/>
          <w:color w:val="auto"/>
        </w:rPr>
      </w:pPr>
    </w:p>
    <w:p>
      <w:pPr>
        <w:ind w:right="480" w:firstLine="222"/>
        <w:spacing w:after="0" w:line="312" w:lineRule="auto"/>
        <w:rPr>
          <w:sz w:val="20"/>
          <w:szCs w:val="20"/>
          <w:color w:val="auto"/>
        </w:rPr>
      </w:pPr>
      <w:r>
        <w:rPr>
          <w:rFonts w:ascii="Arial" w:cs="Arial" w:eastAsia="Arial" w:hAnsi="Arial"/>
          <w:sz w:val="16"/>
          <w:szCs w:val="16"/>
          <w:color w:val="auto"/>
        </w:rPr>
        <w:t>We have a liability for restructuring activities totaling $7.4 million as of October 1, 2010, of which $7.2 million is classified as a current liability and expected to be paid out in cash over the next year. Additionally, during the remainder of fiscal 2011, we expect to incur approximately $15 million of additional charges from our restructuring activities. We expect to fund these future payments with available cash and cash flow provided by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Commitments and Contractual Obligations</w:t>
      </w:r>
    </w:p>
    <w:p>
      <w:pPr>
        <w:spacing w:after="0" w:line="121"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The amounts disclosed in our Fiscal 2010 Form 10-K include our commercial commitments and contractual obligations. During the quarter ended October 1, 2010, no material changes occurred in our contractual cash obligations to repay debt, to purchase goods and services and to make payments under operating leases or our commercial commitments and contingent liabilities on outstanding letters of credit, guarantees and other arrangements as disclosed in our Fiscal 2010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620" w:firstLine="225"/>
        <w:spacing w:after="0" w:line="308" w:lineRule="auto"/>
        <w:rPr>
          <w:sz w:val="20"/>
          <w:szCs w:val="20"/>
          <w:color w:val="auto"/>
        </w:rPr>
      </w:pPr>
      <w:r>
        <w:rPr>
          <w:rFonts w:ascii="Arial" w:cs="Arial" w:eastAsia="Arial" w:hAnsi="Arial"/>
          <w:sz w:val="17"/>
          <w:szCs w:val="17"/>
          <w:color w:val="auto"/>
        </w:rPr>
        <w:t>For information about our critical accounting estimates, see the “Critical Accounting Estimates” section of “Item 7. Management’s Discussion and Analysis of Financial Condition and Results of Operations” in our Annual Report on Form 10-K for the fiscal year ended July 2, 2010.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21" w:lineRule="exact"/>
        <w:rPr>
          <w:sz w:val="20"/>
          <w:szCs w:val="20"/>
          <w:color w:val="auto"/>
        </w:rPr>
      </w:pPr>
    </w:p>
    <w:p>
      <w:pPr>
        <w:ind w:right="260" w:firstLine="215"/>
        <w:spacing w:after="0" w:line="264" w:lineRule="auto"/>
        <w:rPr>
          <w:sz w:val="20"/>
          <w:szCs w:val="20"/>
          <w:color w:val="auto"/>
        </w:rPr>
      </w:pPr>
      <w:r>
        <w:rPr>
          <w:rFonts w:ascii="Arial" w:cs="Arial" w:eastAsia="Arial" w:hAnsi="Arial"/>
          <w:sz w:val="18"/>
          <w:szCs w:val="18"/>
          <w:color w:val="auto"/>
        </w:rPr>
        <w:t>As described in “Note B — New Accounting Pronouncements” in the Notes to Condensed Consolidated Financial Statements, there are accounting pronouncements that have recently been issued but have not yet been implemented by us. Note B describes the potential impact that these pronouncements are expected to have on our financial position, results of operations and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117" w:lineRule="exact"/>
        <w:rPr>
          <w:sz w:val="20"/>
          <w:szCs w:val="20"/>
          <w:color w:val="auto"/>
        </w:rPr>
      </w:pPr>
    </w:p>
    <w:p>
      <w:pPr>
        <w:ind w:right="440" w:firstLine="225"/>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Descriptions of our exchange rate risk are incorporated by reference from Part I, Item 1, Financial Statements — Notes to Condensed Consolidated Financial Statements — “Note N” in response to this item.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bank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Cash and Cash Equivalents</w:t>
      </w:r>
    </w:p>
    <w:p>
      <w:pPr>
        <w:spacing w:after="0" w:line="121"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had $107.8 million in total cash and cash equivalents as of October 1, 2010. Cash equivalents totaled $37.3 million as of October 1, 2010.</w:t>
      </w:r>
    </w:p>
    <w:p>
      <w:pPr>
        <w:spacing w:after="0" w:line="129"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October 1, 2010 was two days, and these investments had an average yield of 0.25% per annum. A 10% change in interest rates on our cash and cash equivalents is not expected to have a material impact on our financial position, results of operations or cash flows.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equivalents have been recorded at fair value on our balance sheet.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Exposure on Borrowings</w:t>
      </w:r>
    </w:p>
    <w:p>
      <w:pPr>
        <w:spacing w:after="0" w:line="121"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During the first quarter of fiscal 2011, we had $5.0 million of short-term borrowings outstanding under our previous $70.0 million revolving credit facility that incurred interest at the London Interbank Offered Rate (“LIBOR”) plus 1.50%. During the quarter our weighted average interest rate was 2.48% and we recorded total interest expense of less than $0.1 million on these borrowings.</w:t>
      </w:r>
    </w:p>
    <w:p>
      <w:pPr>
        <w:spacing w:after="0" w:line="73"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On October 1, 2010, we repaid the $5.0 million outstanding under our previous $70.0 million revolving credit facility with the proceeds of a new borrowing of $6.0 million at the prime rate under our new $40.0 million credit facility. As of October 1, 2010 our weighted average interest rate was 3.25%. A 10% change in interest rates on the current borrowings or on future borrowings is not expected to have a material impact on our financial position, results of operations or cash flows since interest on our short-term debt is not material to our overall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79"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Securities Exchange Act of 1934, as amended (the “Exchange Act”)). Based on this evaluation, the Chief Executive Officer and Chief Financial Officer concluded that our disclosure controls and procedures were effective as of October 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our most recently completed fiscal quarter that has materially affected, or is reasonably likely to materially affect, our internal controls over financial reporting.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Descriptions of our legal proceedings are incorporated by reference from Part I, Item 1, Financial Statements — Notes to Condensed Consolidated Financial Statements — “Note P” in response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2010 Form 10-K.</w:t>
      </w:r>
    </w:p>
    <w:p>
      <w:pPr>
        <w:spacing w:after="0" w:line="62" w:lineRule="exact"/>
        <w:rPr>
          <w:sz w:val="20"/>
          <w:szCs w:val="20"/>
          <w:color w:val="auto"/>
        </w:rPr>
      </w:pPr>
    </w:p>
    <w:p>
      <w:pPr>
        <w:jc w:val="both"/>
        <w:ind w:right="400" w:firstLine="222"/>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2010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6"/>
                <w:szCs w:val="16"/>
                <w:color w:val="auto"/>
              </w:rPr>
            </w:pPr>
          </w:p>
        </w:tc>
        <w:tc>
          <w:tcPr>
            <w:tcW w:w="10380" w:type="dxa"/>
            <w:vAlign w:val="bottom"/>
          </w:tcPr>
          <w:p>
            <w:pPr>
              <w:spacing w:after="0" w:line="195" w:lineRule="exact"/>
              <w:rPr>
                <w:sz w:val="20"/>
                <w:szCs w:val="20"/>
                <w:color w:val="auto"/>
              </w:rPr>
            </w:pPr>
            <w:r>
              <w:rPr>
                <w:rFonts w:ascii="Arial" w:cs="Arial" w:eastAsia="Arial" w:hAnsi="Arial"/>
                <w:sz w:val="18"/>
                <w:szCs w:val="18"/>
                <w:color w:val="auto"/>
                <w:w w:val="90"/>
              </w:rPr>
              <w:t>Agreement by and between Aviat Networks, Inc. and the Ramius Group dated as of Sept. 14, 2010 (incorporated by reference to Exhibit 10.1 to</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Report on Form 8-K filed with the Securities and Exchange Commission on September 16, 2010, File No. 001-33278)</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Employment Agreement between Aviat Networks, Inc. and Charles D. Kissner, dated August 1, 2010.</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Loan and Security Agreement between Aviat Networks, Inc., Aviat U.S., Inc., Aviat Networks(S) Pte. Ltd. and Silicon Valley Bank signed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October 1, 2010 (incorporated by reference to Exhibit 10.1 to the Report on Form 8-K filed with the Securities and Exchange Commission 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October 4, 2010, File No. 001-33278)</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13a-14(a)/15d-14(a) Certification of Chief Executive Officer.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13a-14(a)/15d-14(a) Certification of Chief Financial Officer.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3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AVIAT NETWORKS, INC.</w:t>
            </w:r>
          </w:p>
        </w:tc>
        <w:tc>
          <w:tcPr>
            <w:tcW w:w="168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(Registrant)</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November 10, 2010</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J. Russell Mincey</w:t>
            </w:r>
          </w:p>
        </w:tc>
        <w:tc>
          <w:tcPr>
            <w:tcW w:w="168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 Russell Mincey</w:t>
            </w:r>
          </w:p>
        </w:tc>
        <w:tc>
          <w:tcPr>
            <w:tcW w:w="168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 Corporate Controller and</w:t>
            </w:r>
          </w:p>
        </w:tc>
        <w:tc>
          <w:tcPr>
            <w:tcW w:w="16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6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accounting officer and</w:t>
            </w:r>
          </w:p>
        </w:tc>
        <w:tc>
          <w:tcPr>
            <w:tcW w:w="168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duly authorized officer)</w:t>
            </w:r>
          </w:p>
        </w:tc>
        <w:tc>
          <w:tcPr>
            <w:tcW w:w="1680" w:type="dxa"/>
            <w:vAlign w:val="bottom"/>
          </w:tcPr>
          <w:p>
            <w:pPr>
              <w:spacing w:after="0"/>
              <w:rPr>
                <w:sz w:val="20"/>
                <w:szCs w:val="20"/>
                <w:color w:val="auto"/>
              </w:rPr>
            </w:pPr>
          </w:p>
        </w:tc>
      </w:tr>
      <w:tr>
        <w:trPr>
          <w:trHeight w:val="405"/>
        </w:trPr>
        <w:tc>
          <w:tcPr>
            <w:tcW w:w="3620" w:type="dxa"/>
            <w:vAlign w:val="bottom"/>
          </w:tcPr>
          <w:p>
            <w:pPr>
              <w:spacing w:after="0"/>
              <w:rPr>
                <w:sz w:val="24"/>
                <w:szCs w:val="24"/>
                <w:color w:val="auto"/>
              </w:rPr>
            </w:pPr>
          </w:p>
        </w:tc>
        <w:tc>
          <w:tcPr>
            <w:tcW w:w="6120" w:type="dxa"/>
            <w:vAlign w:val="bottom"/>
            <w:gridSpan w:val="2"/>
          </w:tcPr>
          <w:p>
            <w:pPr>
              <w:jc w:val="right"/>
              <w:ind w:right="3850"/>
              <w:spacing w:after="0"/>
              <w:rPr>
                <w:sz w:val="20"/>
                <w:szCs w:val="20"/>
                <w:color w:val="auto"/>
              </w:rPr>
            </w:pPr>
            <w:r>
              <w:rPr>
                <w:rFonts w:ascii="Arial" w:cs="Arial" w:eastAsia="Arial" w:hAnsi="Arial"/>
                <w:sz w:val="18"/>
                <w:szCs w:val="18"/>
                <w:color w:val="auto"/>
              </w:rPr>
              <w:t>27</w:t>
            </w:r>
          </w:p>
        </w:tc>
        <w:tc>
          <w:tcPr>
            <w:tcW w:w="1680" w:type="dxa"/>
            <w:vAlign w:val="bottom"/>
          </w:tcPr>
          <w:p>
            <w:pPr>
              <w:spacing w:after="0"/>
              <w:rPr>
                <w:sz w:val="24"/>
                <w:szCs w:val="24"/>
                <w:color w:val="auto"/>
              </w:rPr>
            </w:pPr>
          </w:p>
        </w:tc>
      </w:tr>
      <w:tr>
        <w:trPr>
          <w:trHeight w:val="226"/>
        </w:trPr>
        <w:tc>
          <w:tcPr>
            <w:tcW w:w="362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jc w:val="center"/>
              <w:ind w:right="932"/>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0380" w:type="dxa"/>
            <w:vAlign w:val="bottom"/>
            <w:vMerge w:val="restart"/>
          </w:tcPr>
          <w:p>
            <w:pPr>
              <w:ind w:left="4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6"/>
                <w:szCs w:val="16"/>
                <w:color w:val="auto"/>
              </w:rPr>
            </w:pPr>
          </w:p>
        </w:tc>
        <w:tc>
          <w:tcPr>
            <w:tcW w:w="10380" w:type="dxa"/>
            <w:vAlign w:val="bottom"/>
          </w:tcPr>
          <w:p>
            <w:pPr>
              <w:spacing w:after="0" w:line="195" w:lineRule="exact"/>
              <w:rPr>
                <w:sz w:val="20"/>
                <w:szCs w:val="20"/>
                <w:color w:val="auto"/>
              </w:rPr>
            </w:pPr>
            <w:r>
              <w:rPr>
                <w:rFonts w:ascii="Arial" w:cs="Arial" w:eastAsia="Arial" w:hAnsi="Arial"/>
                <w:sz w:val="18"/>
                <w:szCs w:val="18"/>
                <w:color w:val="auto"/>
                <w:w w:val="90"/>
              </w:rPr>
              <w:t>Agreement by and between Aviat Networks, Inc. and the Ramius Group dated as of Sept. 14, 2010 (incorporated by reference to Exhibit 10.1 to</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Report on Form 8-K filed with the Securities and Exchange Commission on September 16, 2010, File No. 001-33278)</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Employment Agreement between Aviat Networks, Inc. and Charles D. Kissner, dated August 1, 2010.</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Loan and Security Agreement between Aviat Networks, Inc., Aviat U.S., Inc., Aviat Networks(S) Pte. Ltd. and Silicon Valley Bank signed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October 1, 2010 (incorporated by reference to Exhibit 10.1 to the Report on Form 8-K filed with the Securities and Exchange Commission 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October 4, 2010, File No. 001-33278)</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13a-14(a)/15d-14(a) Certification of Chief Executive Officer.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Rule 13a-14(a)/15d-14(a) Certification of Chief Financial Officer.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5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32205" cy="6343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22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l,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Charles D. Kissner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27778 Stirrup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Altos Hills, CA 94022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Chuck:</w:t>
      </w:r>
    </w:p>
    <w:p>
      <w:pPr>
        <w:spacing w:after="0" w:line="117"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This letter agreement sets forth the terms of your employment with Aviat Networks, Inc. (the “Company”), as well as our understanding with respect to any termination of that employment relationship. This Agreement amends and restates, effective on the date hereof, the Employment Agreement dated June 28, 2010 between the Company and you.</w:t>
      </w:r>
    </w:p>
    <w:p>
      <w:pPr>
        <w:spacing w:after="0" w:line="73" w:lineRule="exact"/>
        <w:rPr>
          <w:sz w:val="20"/>
          <w:szCs w:val="20"/>
          <w:color w:val="auto"/>
        </w:rPr>
      </w:pPr>
    </w:p>
    <w:p>
      <w:pPr>
        <w:ind w:right="40" w:firstLine="233"/>
        <w:spacing w:after="0" w:line="271" w:lineRule="auto"/>
        <w:tabs>
          <w:tab w:leader="none" w:pos="405"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You will be employed by the Company as its Chairman and Chief Executive Officer, reporting to the Company’s Board of Directors (“Board”). This position will be based at our corporate headquarters in Santa Clara, California. You accept employment with the Company on the terms and conditions set forth in this Agreement, and you agree to devote your full business time, energy and skill to your duties at the Company. Your primary responsibilities will be to assume the top leadership of the Company, direct the organization to ensure the attainment of revenue and profit goals, drive optimal return on invested capital and grow shareholder value, subject to the oversight and supervision of the Board. Your current positions as a director of the Company and Chairman of the Board will not be affected by your employment hereunder, except that your compensation under this Agreement will be in lieu of any compensation as a director accruing after your start date. It is understood that the Company will appoint a lead independent director, who will preside over outside-director-only portions of Board meetings.</w:t>
      </w:r>
    </w:p>
    <w:p>
      <w:pPr>
        <w:spacing w:after="0" w:line="70" w:lineRule="exact"/>
        <w:rPr>
          <w:rFonts w:ascii="Arial" w:cs="Arial" w:eastAsia="Arial" w:hAnsi="Arial"/>
          <w:sz w:val="17"/>
          <w:szCs w:val="17"/>
          <w:color w:val="auto"/>
        </w:rPr>
      </w:pPr>
    </w:p>
    <w:p>
      <w:pPr>
        <w:ind w:right="60" w:firstLine="233"/>
        <w:spacing w:after="0" w:line="277" w:lineRule="auto"/>
        <w:tabs>
          <w:tab w:leader="none" w:pos="405"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Your employment with the Company is for no specified term, and may be terminated by you or the Company at any time, with or without cause, subject to the provisions of Paragraphs 4 and 5 below.</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You will be compensated by the Company for your services as follows:</w:t>
      </w:r>
    </w:p>
    <w:p>
      <w:pPr>
        <w:spacing w:after="0" w:line="117" w:lineRule="exact"/>
        <w:rPr>
          <w:rFonts w:ascii="Arial" w:cs="Arial" w:eastAsia="Arial" w:hAnsi="Arial"/>
          <w:sz w:val="18"/>
          <w:szCs w:val="18"/>
          <w:color w:val="auto"/>
        </w:rPr>
      </w:pPr>
    </w:p>
    <w:p>
      <w:pPr>
        <w:ind w:right="440" w:firstLine="458"/>
        <w:spacing w:after="0" w:line="277" w:lineRule="auto"/>
        <w:tabs>
          <w:tab w:leader="none" w:pos="695"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You will be paid a monthly base salary of $57,917 ($695,000 per year), less applicable withholding, in accordance with the Company’s normal payroll procedures. In conjunction with your annual performance review, which will occur at or about the start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Charles D. Kissner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each fiscal year (currently July 1st), your base salary will be reviewed by the Board, and may be subject to adjustment by the Board based upon various factors including, but not limited to, your performance and the Company’s profitability. Your base salary will not be reduced except as part of a salary reduction program that similarly affects all members of the executive staff reporting to the Chief Executive Officer of the Company.</w:t>
      </w:r>
    </w:p>
    <w:p>
      <w:pPr>
        <w:spacing w:after="0" w:line="57" w:lineRule="exact"/>
        <w:rPr>
          <w:sz w:val="20"/>
          <w:szCs w:val="20"/>
          <w:color w:val="auto"/>
        </w:rPr>
      </w:pPr>
    </w:p>
    <w:p>
      <w:pPr>
        <w:ind w:right="360" w:firstLine="458"/>
        <w:spacing w:after="0" w:line="264" w:lineRule="auto"/>
        <w:tabs>
          <w:tab w:leader="none" w:pos="705" w:val="left"/>
        </w:tabs>
        <w:numPr>
          <w:ilvl w:val="2"/>
          <w:numId w:val="11"/>
        </w:numPr>
        <w:rPr>
          <w:rFonts w:ascii="Arial" w:cs="Arial" w:eastAsia="Arial" w:hAnsi="Arial"/>
          <w:sz w:val="18"/>
          <w:szCs w:val="18"/>
          <w:color w:val="auto"/>
        </w:rPr>
      </w:pPr>
      <w:r>
        <w:rPr>
          <w:rFonts w:ascii="Arial" w:cs="Arial" w:eastAsia="Arial" w:hAnsi="Arial"/>
          <w:sz w:val="18"/>
          <w:szCs w:val="18"/>
          <w:u w:val="single" w:color="auto"/>
          <w:color w:val="auto"/>
        </w:rPr>
        <w:t>Annual Incentive Plan</w:t>
      </w:r>
      <w:r>
        <w:rPr>
          <w:rFonts w:ascii="Arial" w:cs="Arial" w:eastAsia="Arial" w:hAnsi="Arial"/>
          <w:sz w:val="18"/>
          <w:szCs w:val="18"/>
          <w:color w:val="auto"/>
        </w:rPr>
        <w:t>: Starting with FY 2011, you will be eligible to participate in the Company’s Annual Incentive Plan, with a target annual bonus of 100% of your annual base salary. The Annual Incentive Plan will be paid (if minimum targets are met) in the calendar year in which the relevant fiscal year ends, promptly after the completion of each fiscal year’s audit.</w:t>
      </w:r>
    </w:p>
    <w:p>
      <w:pPr>
        <w:spacing w:after="0" w:line="73" w:lineRule="exact"/>
        <w:rPr>
          <w:rFonts w:ascii="Arial" w:cs="Arial" w:eastAsia="Arial" w:hAnsi="Arial"/>
          <w:sz w:val="18"/>
          <w:szCs w:val="18"/>
          <w:color w:val="auto"/>
        </w:rPr>
      </w:pPr>
    </w:p>
    <w:p>
      <w:pPr>
        <w:ind w:firstLine="458"/>
        <w:spacing w:after="0" w:line="291" w:lineRule="auto"/>
        <w:tabs>
          <w:tab w:leader="none" w:pos="695" w:val="left"/>
        </w:tabs>
        <w:numPr>
          <w:ilvl w:val="2"/>
          <w:numId w:val="11"/>
        </w:numPr>
        <w:rPr>
          <w:rFonts w:ascii="Arial" w:cs="Arial" w:eastAsia="Arial" w:hAnsi="Arial"/>
          <w:sz w:val="16"/>
          <w:szCs w:val="16"/>
          <w:color w:val="auto"/>
        </w:rPr>
      </w:pPr>
      <w:r>
        <w:rPr>
          <w:rFonts w:ascii="Arial" w:cs="Arial" w:eastAsia="Arial" w:hAnsi="Arial"/>
          <w:sz w:val="16"/>
          <w:szCs w:val="16"/>
          <w:u w:val="single" w:color="auto"/>
          <w:color w:val="auto"/>
        </w:rPr>
        <w:t>Long-Term Incentive Program</w:t>
      </w:r>
      <w:r>
        <w:rPr>
          <w:rFonts w:ascii="Arial" w:cs="Arial" w:eastAsia="Arial" w:hAnsi="Arial"/>
          <w:sz w:val="16"/>
          <w:szCs w:val="16"/>
          <w:color w:val="auto"/>
        </w:rPr>
        <w:t>: Starting with FY 2011, you will be eligible to participate in the Company’s Long-Term Incentive Program as defined by the Board. The GAAP value of your initial award, as determined by the Board in its reasonable discretion, will be $1,400,000. The expected structure is</w:t>
      </w:r>
    </w:p>
    <w:p>
      <w:pPr>
        <w:jc w:val="both"/>
        <w:ind w:right="280" w:firstLine="8"/>
        <w:spacing w:after="0" w:line="254"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one-third of such value will be represented by options with a 3-year vesting period (50%/25%/25%), (ii) one-third of such value will be represented by performance shares subject to vesting based on achievement of Company financial performance criteria for the three-year period ending at the end of FY 2013, and (iii) one-third of such value will be represented by restricted stock with a 3-year vesting period (33⅓%/33⅓%/33⅓%). The structure for future periods is subject to determination by the Board.</w:t>
      </w:r>
    </w:p>
    <w:p>
      <w:pPr>
        <w:spacing w:after="0" w:line="81" w:lineRule="exact"/>
        <w:rPr>
          <w:rFonts w:ascii="Arial" w:cs="Arial" w:eastAsia="Arial" w:hAnsi="Arial"/>
          <w:sz w:val="18"/>
          <w:szCs w:val="18"/>
          <w:color w:val="auto"/>
        </w:rPr>
      </w:pPr>
    </w:p>
    <w:p>
      <w:pPr>
        <w:ind w:right="200" w:firstLine="458"/>
        <w:spacing w:after="0" w:line="312" w:lineRule="auto"/>
        <w:tabs>
          <w:tab w:leader="none" w:pos="705"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You will have the right, on the same basis as other employees of the Company, to participate in and to receive benefits under any Company group medical, dental, life, disability or other group insurance plans, as well as under the Company’s business expense and travel reimbursement, educational assistance, holiday, and other benefit plans and policies. You will also be eligible to participate in the Company’s 401(k) plan.</w:t>
      </w:r>
    </w:p>
    <w:p>
      <w:pPr>
        <w:spacing w:after="0" w:line="38" w:lineRule="exact"/>
        <w:rPr>
          <w:rFonts w:ascii="Arial" w:cs="Arial" w:eastAsia="Arial" w:hAnsi="Arial"/>
          <w:sz w:val="16"/>
          <w:szCs w:val="16"/>
          <w:color w:val="auto"/>
        </w:rPr>
      </w:pPr>
    </w:p>
    <w:p>
      <w:pPr>
        <w:ind w:right="260" w:firstLine="458"/>
        <w:spacing w:after="0" w:line="277" w:lineRule="auto"/>
        <w:tabs>
          <w:tab w:leader="none" w:pos="695"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Commencing on your start date, you will accrue paid vacation in accordance with the Company’s vacation policy at the rate of 5 weeks per year. However, the number of accrued vacation hours at any one time shall not exceed 160 hours.</w:t>
      </w:r>
    </w:p>
    <w:p>
      <w:pPr>
        <w:spacing w:after="0" w:line="62" w:lineRule="exact"/>
        <w:rPr>
          <w:rFonts w:ascii="Arial" w:cs="Arial" w:eastAsia="Arial" w:hAnsi="Arial"/>
          <w:sz w:val="18"/>
          <w:szCs w:val="18"/>
          <w:color w:val="auto"/>
        </w:rPr>
      </w:pPr>
    </w:p>
    <w:p>
      <w:pPr>
        <w:ind w:right="260" w:firstLine="233"/>
        <w:spacing w:after="0" w:line="291" w:lineRule="auto"/>
        <w:tabs>
          <w:tab w:leader="none" w:pos="405"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Voluntary Termination</w:t>
      </w:r>
      <w:r>
        <w:rPr>
          <w:rFonts w:ascii="Arial" w:cs="Arial" w:eastAsia="Arial" w:hAnsi="Arial"/>
          <w:sz w:val="16"/>
          <w:szCs w:val="16"/>
          <w:color w:val="auto"/>
        </w:rPr>
        <w:t>. In the event that you voluntarily resign from your employment with the Company (other than for Good Reason as defined below), you will be entitled to no compensation or benefits from the Company other than those earned under Paragraph 3 through the date of your termination. (For purposes of this Agreement, no part of (i) the Annual Incentive Plan for the year in which your termination occurs, (ii) the performance shares of the multi-year period in which your termination occurs or (iii) unvested options or restricted shares will be deemed earned.) You agree that if you voluntarily terminate your employment with the Company for any reason, you will provide the Company with at least 10 business days’ written notice of your resignation. The Company shall have the option, in its sole discretion, to make your resignation effective at any time prior to the end of such notice period, provided the Company pays you an amount equal to the base salary you would have earned through the end of the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Charles D. Kissner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left="420" w:hanging="187"/>
        <w:spacing w:after="0"/>
        <w:tabs>
          <w:tab w:leader="none" w:pos="42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Your employment may also be terminated under the circumstances set forth below.</w:t>
      </w:r>
    </w:p>
    <w:p>
      <w:pPr>
        <w:spacing w:after="0" w:line="117" w:lineRule="exact"/>
        <w:rPr>
          <w:rFonts w:ascii="Arial" w:cs="Arial" w:eastAsia="Arial" w:hAnsi="Arial"/>
          <w:sz w:val="18"/>
          <w:szCs w:val="18"/>
          <w:color w:val="auto"/>
        </w:rPr>
      </w:pPr>
    </w:p>
    <w:p>
      <w:pPr>
        <w:ind w:right="40" w:firstLine="458"/>
        <w:spacing w:after="0" w:line="288" w:lineRule="auto"/>
        <w:tabs>
          <w:tab w:leader="none" w:pos="695" w:val="left"/>
        </w:tabs>
        <w:numPr>
          <w:ilvl w:val="2"/>
          <w:numId w:val="13"/>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The Company may terminate your employment at any time for cause (as described below). If your employment is terminated by the Company for cause, you shall be entitled to no compensation or benefits from the Company other than those earned under Paragraph 3 through the date of your termination. For purposes of this Agreement, a termination for “cause” occurs if you are terminated for any of the following reasons:</w:t>
      </w:r>
    </w:p>
    <w:p>
      <w:pPr>
        <w:ind w:right="80" w:firstLine="8"/>
        <w:spacing w:after="0" w:line="281" w:lineRule="auto"/>
        <w:tabs>
          <w:tab w:leader="none" w:pos="2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act of misconduct or dishonesty by you in the performance of your duties under this Agreement; (ii) any willful failure by you to attend to your duties under this Agreement; (iii) any material breach of this Agreement; provided, however, that for any alleged failure or breach under sub-sections (ii) or</w:t>
      </w:r>
    </w:p>
    <w:p>
      <w:pPr>
        <w:spacing w:after="0" w:line="1" w:lineRule="exact"/>
        <w:rPr>
          <w:rFonts w:ascii="Arial" w:cs="Arial" w:eastAsia="Arial" w:hAnsi="Arial"/>
          <w:sz w:val="16"/>
          <w:szCs w:val="16"/>
          <w:color w:val="auto"/>
        </w:rPr>
      </w:pPr>
    </w:p>
    <w:p>
      <w:pPr>
        <w:ind w:right="120" w:firstLine="8"/>
        <w:spacing w:after="0" w:line="254" w:lineRule="auto"/>
        <w:tabs>
          <w:tab w:leader="none" w:pos="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above, the Board first provides you written notice setting forth with reasonable specificity the reasons that the Board believes you have committed such alleged failure or breach, and provides you thirty (30) days to cure such alleged failure or breach; (iv) your conviction of (or pleading guilty or nolo contendere to) any felony or misdemeanor involving theft, embezzlement, dishonesty or moral turpitude; or (v) any misconduct resulting in material harm to the Company’s business or reputation.</w:t>
      </w:r>
    </w:p>
    <w:p>
      <w:pPr>
        <w:spacing w:after="0" w:line="81" w:lineRule="exact"/>
        <w:rPr>
          <w:rFonts w:ascii="Arial" w:cs="Arial" w:eastAsia="Arial" w:hAnsi="Arial"/>
          <w:sz w:val="18"/>
          <w:szCs w:val="18"/>
          <w:color w:val="auto"/>
        </w:rPr>
      </w:pPr>
    </w:p>
    <w:p>
      <w:pPr>
        <w:ind w:right="80" w:firstLine="458"/>
        <w:spacing w:after="0" w:line="272" w:lineRule="auto"/>
        <w:tabs>
          <w:tab w:leader="none" w:pos="705" w:val="left"/>
        </w:tabs>
        <w:numPr>
          <w:ilvl w:val="2"/>
          <w:numId w:val="15"/>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Upon Death or Disability</w:t>
      </w:r>
      <w:r>
        <w:rPr>
          <w:rFonts w:ascii="Arial" w:cs="Arial" w:eastAsia="Arial" w:hAnsi="Arial"/>
          <w:sz w:val="17"/>
          <w:szCs w:val="17"/>
          <w:color w:val="auto"/>
        </w:rPr>
        <w:t>: The Company may terminate your employment without cause at any time. If your employment is terminated by the Company without cause or by reason of death or any physical or mental incapacity which has prevented and/or will prevent you from performing your then-current duties under this Agreement for more than three consecutive months, and you (or your estate or personal representative, as applicable) sign a general release of known and unknown claims in a form satisfactory to the Company within sixty (60) days of the termination of your employment (or such shorter period as is necessary to comply with the following clause), which must be valid and enforceable no later than the ninetieth (90th) day after your termination, and you fully comply with your obligations under Paragraphs 6, 7 and 9 below, you (or your estate or personal representative, as applicable) will receive the following severance benefits:</w:t>
      </w:r>
    </w:p>
    <w:p>
      <w:pPr>
        <w:spacing w:after="0" w:line="69" w:lineRule="exact"/>
        <w:rPr>
          <w:rFonts w:ascii="Arial" w:cs="Arial" w:eastAsia="Arial" w:hAnsi="Arial"/>
          <w:sz w:val="17"/>
          <w:szCs w:val="17"/>
          <w:color w:val="auto"/>
        </w:rPr>
      </w:pPr>
    </w:p>
    <w:p>
      <w:pPr>
        <w:ind w:right="680" w:firstLine="683"/>
        <w:spacing w:after="0" w:line="277" w:lineRule="auto"/>
        <w:tabs>
          <w:tab w:leader="none" w:pos="890" w:val="left"/>
        </w:tabs>
        <w:numPr>
          <w:ilvl w:val="3"/>
          <w:numId w:val="15"/>
        </w:numPr>
        <w:rPr>
          <w:rFonts w:ascii="Arial" w:cs="Arial" w:eastAsia="Arial" w:hAnsi="Arial"/>
          <w:sz w:val="18"/>
          <w:szCs w:val="18"/>
          <w:color w:val="auto"/>
        </w:rPr>
      </w:pPr>
      <w:r>
        <w:rPr>
          <w:rFonts w:ascii="Arial" w:cs="Arial" w:eastAsia="Arial" w:hAnsi="Arial"/>
          <w:sz w:val="18"/>
          <w:szCs w:val="18"/>
          <w:color w:val="auto"/>
        </w:rPr>
        <w:t>all compensation and benefits under Paragraph 3 above that is earned but unpaid through the date of termination, to be paid as and when otherwise due;</w:t>
      </w:r>
    </w:p>
    <w:p>
      <w:pPr>
        <w:spacing w:after="0" w:line="62" w:lineRule="exact"/>
        <w:rPr>
          <w:rFonts w:ascii="Arial" w:cs="Arial" w:eastAsia="Arial" w:hAnsi="Arial"/>
          <w:sz w:val="18"/>
          <w:szCs w:val="18"/>
          <w:color w:val="auto"/>
        </w:rPr>
      </w:pPr>
    </w:p>
    <w:p>
      <w:pPr>
        <w:jc w:val="both"/>
        <w:ind w:firstLine="683"/>
        <w:spacing w:after="0" w:line="259" w:lineRule="auto"/>
        <w:tabs>
          <w:tab w:leader="none" w:pos="940" w:val="left"/>
        </w:tabs>
        <w:numPr>
          <w:ilvl w:val="3"/>
          <w:numId w:val="15"/>
        </w:numPr>
        <w:rPr>
          <w:rFonts w:ascii="Arial" w:cs="Arial" w:eastAsia="Arial" w:hAnsi="Arial"/>
          <w:sz w:val="18"/>
          <w:szCs w:val="18"/>
          <w:color w:val="auto"/>
        </w:rPr>
      </w:pPr>
      <w:r>
        <w:rPr>
          <w:rFonts w:ascii="Arial" w:cs="Arial" w:eastAsia="Arial" w:hAnsi="Arial"/>
          <w:sz w:val="18"/>
          <w:szCs w:val="18"/>
          <w:color w:val="auto"/>
        </w:rPr>
        <w:t xml:space="preserve">severance payments at your final base salary rate for a period (the “Severance Period”) starting on the date of your termination and ending on the later of (i) the 1st anniversary of the date your termination and (ii) June 28, 2012; such payments will be subject to applicable withholding and made monthly commencing as of the effective date of your release;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payment otherwise due under this clause (ii) prior to the 90th day after your termination shall instead be paid, without interest, on such 90th day;</w:t>
      </w:r>
    </w:p>
    <w:p>
      <w:pPr>
        <w:spacing w:after="0" w:line="78" w:lineRule="exact"/>
        <w:rPr>
          <w:rFonts w:ascii="Arial" w:cs="Arial" w:eastAsia="Arial" w:hAnsi="Arial"/>
          <w:sz w:val="18"/>
          <w:szCs w:val="18"/>
          <w:color w:val="auto"/>
        </w:rPr>
      </w:pPr>
    </w:p>
    <w:p>
      <w:pPr>
        <w:ind w:right="60" w:firstLine="683"/>
        <w:spacing w:after="0" w:line="264" w:lineRule="auto"/>
        <w:tabs>
          <w:tab w:leader="none" w:pos="990" w:val="left"/>
        </w:tabs>
        <w:numPr>
          <w:ilvl w:val="3"/>
          <w:numId w:val="15"/>
        </w:numPr>
        <w:rPr>
          <w:rFonts w:ascii="Arial" w:cs="Arial" w:eastAsia="Arial" w:hAnsi="Arial"/>
          <w:sz w:val="18"/>
          <w:szCs w:val="18"/>
          <w:color w:val="auto"/>
        </w:rPr>
      </w:pPr>
      <w:r>
        <w:rPr>
          <w:rFonts w:ascii="Arial" w:cs="Arial" w:eastAsia="Arial" w:hAnsi="Arial"/>
          <w:sz w:val="18"/>
          <w:szCs w:val="18"/>
          <w:color w:val="auto"/>
        </w:rPr>
        <w:t>payment of the premiums necessary to continue your group health insurance under COBRA (or to purchase other comparable health insurance coverage on an individual basis if you are no longer eligible for COBRA coverage) until the earlier of (x) the end of the Severance Period; or (y) the date you first became eligible to participate in another employer’s group health insurance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Charles D. Kissner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right="200" w:firstLine="683"/>
        <w:spacing w:after="0" w:line="25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prorated portion of any Annual Incentive Plan bonus that you would have earned, if any, during the Annual Incentive Plan period in which your employment terminates (the pro-ration shall be equal to the percentage of that bonus period that you are actually employed by the Company). Your Annual Incentive Plan bonus, on which the proration will be based, shall be computed in a manner consistent with the computation of bonuses for other senior level executives, and the prorated bonus will be payable at the time that such Annual Incentive Plan bonuses, if any, are paid to continuing Company employees; and</w:t>
      </w:r>
    </w:p>
    <w:p>
      <w:pPr>
        <w:spacing w:after="0" w:line="80" w:lineRule="exact"/>
        <w:rPr>
          <w:rFonts w:ascii="Arial" w:cs="Arial" w:eastAsia="Arial" w:hAnsi="Arial"/>
          <w:sz w:val="18"/>
          <w:szCs w:val="18"/>
          <w:color w:val="auto"/>
        </w:rPr>
      </w:pPr>
    </w:p>
    <w:p>
      <w:pPr>
        <w:ind w:right="120" w:firstLine="683"/>
        <w:spacing w:after="0" w:line="257" w:lineRule="auto"/>
        <w:tabs>
          <w:tab w:leader="none" w:pos="9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any stock options or time-vesting restricted shares granted to you by the Company, you will cease vesting upon your termination date; however, for options granted subsequent to the date of this Agreement, you will be entitled to purchase any vested shares of stock that are subject to those options until the earlier of (x) twelve (12) months following your termination date, or (y) the date on which the applicable option(s) expire(s). Notwithstanding the provisions of this Paragraph 5(b)(v), the Board may in its sole discretion provide for additional vesting of restricted shares, options and/or performance shares upon termination under this Paragraph 5(b).</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will not be required to mitigate the severance payments and benefits described in Paragraphs 5(b)(ii) — (v) above by seeking employment or otherwise, and there shall be no offset against amounts due you under Paragraphs 5(b)(ii) — (v) on account of your subsequent employment (except as provided in Paragraph 5(b)(iii) above and in Paragraph 7(c) below). Except as expressly set forth in this Paragraph 5(b), your Company stock options, restricted shares and performance shares will continue to be subject to and governed by the Company’s 2007 Stock Equity Plan (the “Plan”) and the applicable stock option, restricted stock and performance share agreements between you and the Company. Nothing in this Paragraph 5(b) shall affect your rights under any applicable Company disability plan; provided, however, that your severance payments will be offset by any disability income payments received by you so that the total monthly severance and disability income payments during your severance period shall not exceed your then-current base salary.</w:t>
      </w:r>
    </w:p>
    <w:p>
      <w:pPr>
        <w:spacing w:after="0" w:line="59" w:lineRule="exact"/>
        <w:rPr>
          <w:sz w:val="20"/>
          <w:szCs w:val="20"/>
          <w:color w:val="auto"/>
        </w:rPr>
      </w:pPr>
    </w:p>
    <w:p>
      <w:pPr>
        <w:ind w:right="40" w:firstLine="458"/>
        <w:spacing w:after="0" w:line="273" w:lineRule="auto"/>
        <w:tabs>
          <w:tab w:leader="none" w:pos="69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Resignation for Good Reason</w:t>
      </w:r>
      <w:r>
        <w:rPr>
          <w:rFonts w:ascii="Arial" w:cs="Arial" w:eastAsia="Arial" w:hAnsi="Arial"/>
          <w:sz w:val="17"/>
          <w:szCs w:val="17"/>
          <w:color w:val="auto"/>
        </w:rPr>
        <w:t>: If you resign from your employment with the Company for Good Reason (as defined in this Paragraph 5(c)), and you sign a general release of known and unknown claims in a form satisfactory to the Company within sixty (60) days of the termination of your employment (or such shorter period as is necessary to comply with the following clause) which becomes valid and enforceable no later than the ninetieth (90th) day after your termination, and you fully comply with your obligations under Paragraphs 6, 7 and 9 below, you shall receive the severance benefits described in Paragraph 5(b) above. For purposes of this Paragraph 5(c), “Good Reason” means any of the following conditions, which condition(s) remain in effect 30 days after written notice from you to the Board of said condition(s):</w:t>
      </w:r>
    </w:p>
    <w:p>
      <w:pPr>
        <w:spacing w:after="0" w:line="70" w:lineRule="exact"/>
        <w:rPr>
          <w:rFonts w:ascii="Arial" w:cs="Arial" w:eastAsia="Arial" w:hAnsi="Arial"/>
          <w:sz w:val="17"/>
          <w:szCs w:val="17"/>
          <w:color w:val="auto"/>
        </w:rPr>
      </w:pPr>
    </w:p>
    <w:p>
      <w:pPr>
        <w:ind w:right="120" w:firstLine="683"/>
        <w:spacing w:after="0" w:line="277" w:lineRule="auto"/>
        <w:tabs>
          <w:tab w:leader="none" w:pos="8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material reduction in your then-current base salary or annual target bonus (expressed as a percentage of your then-current base salary), without your written consent expressly waiving the benefits of this paragraph 5(c);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Charles D. Kissner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(ii) a material reduction in your employee benefits taken as a whole without your written consent expressly waiving the benefits of this paragraph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5(c); or</w:t>
      </w:r>
    </w:p>
    <w:p>
      <w:pPr>
        <w:spacing w:after="0" w:line="103" w:lineRule="exact"/>
        <w:rPr>
          <w:sz w:val="20"/>
          <w:szCs w:val="20"/>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material reduction in your responsibilities without your written consent expressly waiving the benefits of this paragraph 5(c); or</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material breach by the Company of any material provision of this Agreement; or</w:t>
      </w:r>
    </w:p>
    <w:p>
      <w:pPr>
        <w:spacing w:after="0" w:line="117" w:lineRule="exact"/>
        <w:rPr>
          <w:rFonts w:ascii="Arial" w:cs="Arial" w:eastAsia="Arial" w:hAnsi="Arial"/>
          <w:sz w:val="18"/>
          <w:szCs w:val="18"/>
          <w:color w:val="auto"/>
        </w:rPr>
      </w:pPr>
    </w:p>
    <w:p>
      <w:pPr>
        <w:ind w:right="500" w:firstLine="683"/>
        <w:spacing w:after="0" w:line="277" w:lineRule="auto"/>
        <w:tabs>
          <w:tab w:leader="none" w:pos="9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requirement that you relocate your Company office to a location more than thirty-five (35) miles from your then-current Company office location without your written consent expressly waiving the benefits of this paragraph 5(c).</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foregoing condition(s) shall not constitute “Good Reason” if you do not provide the Board with the written notice described above within 45 days after you first become aware of the condition(s).</w:t>
      </w:r>
    </w:p>
    <w:p>
      <w:pPr>
        <w:spacing w:after="0" w:line="62" w:lineRule="exact"/>
        <w:rPr>
          <w:sz w:val="20"/>
          <w:szCs w:val="20"/>
          <w:color w:val="auto"/>
        </w:rPr>
      </w:pPr>
    </w:p>
    <w:p>
      <w:pPr>
        <w:ind w:right="720" w:firstLine="233"/>
        <w:spacing w:after="0" w:line="277" w:lineRule="auto"/>
        <w:tabs>
          <w:tab w:leader="none" w:pos="40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Confidential and Proprietary Information</w:t>
      </w:r>
      <w:r>
        <w:rPr>
          <w:rFonts w:ascii="Arial" w:cs="Arial" w:eastAsia="Arial" w:hAnsi="Arial"/>
          <w:sz w:val="18"/>
          <w:szCs w:val="18"/>
          <w:color w:val="auto"/>
        </w:rPr>
        <w:t>: As a condition of your employment, you agree to sign and abide by the Company’s standard form of Invention, Authorship, Proprietary and Confidential Information Agreement.</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Termination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20" w:firstLine="458"/>
        <w:spacing w:after="0" w:line="259" w:lineRule="auto"/>
        <w:tabs>
          <w:tab w:leader="none" w:pos="6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You agree that all property, including, without limitation, all equipment, proprietary information, documents, books, records, reports, notes, contracts, lists, computer disks (and other computer-generated files and data), and copies thereof, created on any medium and furnished to, obtained by, or prepared by you in the course of or incident to your employment, belongs to the Company and shall be returned to the Company promptly upon any termination of your employment.</w:t>
      </w:r>
    </w:p>
    <w:p>
      <w:pPr>
        <w:spacing w:after="0" w:line="78" w:lineRule="exact"/>
        <w:rPr>
          <w:rFonts w:ascii="Arial" w:cs="Arial" w:eastAsia="Arial" w:hAnsi="Arial"/>
          <w:sz w:val="18"/>
          <w:szCs w:val="18"/>
          <w:color w:val="auto"/>
        </w:rPr>
      </w:pPr>
    </w:p>
    <w:p>
      <w:pPr>
        <w:ind w:right="240" w:firstLine="458"/>
        <w:spacing w:after="0" w:line="277" w:lineRule="auto"/>
        <w:tabs>
          <w:tab w:leader="none" w:pos="705"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Upon your termination for any reason, and as a condition of your receipt of any severance benefits hereunder, you will promptly resign in writing from all offices and directorships then held with the Company or any affiliate of the Company.</w:t>
      </w:r>
    </w:p>
    <w:p>
      <w:pPr>
        <w:spacing w:after="0" w:line="62" w:lineRule="exact"/>
        <w:rPr>
          <w:rFonts w:ascii="Arial" w:cs="Arial" w:eastAsia="Arial" w:hAnsi="Arial"/>
          <w:sz w:val="18"/>
          <w:szCs w:val="18"/>
          <w:color w:val="auto"/>
        </w:rPr>
      </w:pPr>
    </w:p>
    <w:p>
      <w:pPr>
        <w:jc w:val="both"/>
        <w:ind w:firstLine="458"/>
        <w:spacing w:after="0" w:line="259" w:lineRule="auto"/>
        <w:tabs>
          <w:tab w:leader="none" w:pos="6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Following the termination of your employment with the Company for any reason, you shall fully cooperate with the Company in all matters relating to the winding up of pending work on behalf of the Company and the orderly transfer of work to other employees of the Company. You shall also cooperate in the defense of any action brought by any third party against the Company. The Company shall pay you for your time incurred to comply with this provision at a reasonable per diem or per hour rate.</w:t>
      </w:r>
    </w:p>
    <w:p>
      <w:pPr>
        <w:spacing w:after="0" w:line="78" w:lineRule="exact"/>
        <w:rPr>
          <w:rFonts w:ascii="Arial" w:cs="Arial" w:eastAsia="Arial" w:hAnsi="Arial"/>
          <w:sz w:val="18"/>
          <w:szCs w:val="18"/>
          <w:color w:val="auto"/>
        </w:rPr>
      </w:pPr>
    </w:p>
    <w:p>
      <w:pPr>
        <w:ind w:left="420" w:hanging="187"/>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Limitation of Payments and Benefits</w:t>
      </w:r>
      <w:r>
        <w:rPr>
          <w:rFonts w:ascii="Arial" w:cs="Arial" w:eastAsia="Arial" w:hAnsi="Arial"/>
          <w:sz w:val="18"/>
          <w:szCs w:val="18"/>
          <w:color w:val="auto"/>
        </w:rPr>
        <w:t>.</w:t>
      </w:r>
    </w:p>
    <w:p>
      <w:pPr>
        <w:spacing w:after="0" w:line="117" w:lineRule="exact"/>
        <w:rPr>
          <w:sz w:val="20"/>
          <w:szCs w:val="20"/>
          <w:color w:val="auto"/>
        </w:rPr>
      </w:pPr>
    </w:p>
    <w:p>
      <w:pPr>
        <w:ind w:firstLine="447"/>
        <w:spacing w:after="0" w:line="342" w:lineRule="auto"/>
        <w:rPr>
          <w:sz w:val="20"/>
          <w:szCs w:val="20"/>
          <w:color w:val="auto"/>
        </w:rPr>
      </w:pPr>
      <w:r>
        <w:rPr>
          <w:rFonts w:ascii="Arial" w:cs="Arial" w:eastAsia="Arial" w:hAnsi="Arial"/>
          <w:sz w:val="16"/>
          <w:szCs w:val="16"/>
          <w:color w:val="auto"/>
        </w:rPr>
        <w:t>To the extent that any of the payments and benefits provided for in this Agreement or otherwise payable to you (the “Payments”) constitute “parachute payments” within the meaning of Section 280G of the Internal Revenue Code of 1986, as amended (the “Code”), the amount of such Payments shall be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Charles D. Kissner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03" w:lineRule="exact"/>
        <w:rPr>
          <w:sz w:val="20"/>
          <w:szCs w:val="20"/>
          <w:color w:val="auto"/>
        </w:rPr>
      </w:pPr>
    </w:p>
    <w:p>
      <w:pPr>
        <w:ind w:left="700" w:hanging="24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full amount of the Payments, or</w:t>
      </w:r>
    </w:p>
    <w:p>
      <w:pPr>
        <w:spacing w:after="0" w:line="117" w:lineRule="exact"/>
        <w:rPr>
          <w:rFonts w:ascii="Arial" w:cs="Arial" w:eastAsia="Arial" w:hAnsi="Arial"/>
          <w:sz w:val="18"/>
          <w:szCs w:val="18"/>
          <w:color w:val="auto"/>
        </w:rPr>
      </w:pPr>
    </w:p>
    <w:p>
      <w:pPr>
        <w:ind w:right="40" w:firstLine="458"/>
        <w:spacing w:after="0" w:line="277"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reduced amount that would result in no portion of the Payments being subject to the excise tax imposed pursuant to Section 4999 of the Code (the “Excise Tax”),</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results in the receipt by you, on an after-tax basis, of the greatest amount of benefit. In the event that any Excise Tax is imposed on the Payments, you will be fully responsible for the payment of any and all Excise Tax, and the Company will not be obligated to pay all or any portion of any Excise Tax.</w:t>
      </w:r>
    </w:p>
    <w:p>
      <w:pPr>
        <w:spacing w:after="0" w:line="57" w:lineRule="exact"/>
        <w:rPr>
          <w:sz w:val="20"/>
          <w:szCs w:val="20"/>
          <w:color w:val="auto"/>
        </w:rPr>
      </w:pPr>
    </w:p>
    <w:p>
      <w:pPr>
        <w:ind w:left="420" w:hanging="187"/>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Other Activities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58"/>
        <w:spacing w:after="0" w:line="273" w:lineRule="auto"/>
        <w:tabs>
          <w:tab w:leader="none" w:pos="695" w:val="left"/>
        </w:tabs>
        <w:numPr>
          <w:ilvl w:val="1"/>
          <w:numId w:val="21"/>
        </w:numPr>
        <w:rPr>
          <w:rFonts w:ascii="Arial" w:cs="Arial" w:eastAsia="Arial" w:hAnsi="Arial"/>
          <w:sz w:val="17"/>
          <w:szCs w:val="17"/>
          <w:color w:val="auto"/>
        </w:rPr>
      </w:pPr>
      <w:r>
        <w:rPr>
          <w:rFonts w:ascii="Arial" w:cs="Arial" w:eastAsia="Arial" w:hAnsi="Arial"/>
          <w:sz w:val="17"/>
          <w:szCs w:val="17"/>
          <w:color w:val="auto"/>
        </w:rPr>
        <w:t>In order to protect the Company’s valuable proprietary information, you agree that during your employment and for the period, if any, during which severance payments at your final base salary rate are payable under Paragraph 5(b) or 5(c) above, you will not, as a compensated or uncompensated officer, director, consultant, advisor, partner, joint venturer, investor, independent contractor, employee, for your own account or otherwise, provide to any person or entity in competition with the Company any labor, services, advice or assistance regarding the design, manufacture, distribution (directly or indirectly) or integration of any digital microwave products substantially similar to then-current Company products in form, fit, or function and used in terrestrial microwave point-to-point telecommunications networks anywhere in the world.</w:t>
      </w:r>
    </w:p>
    <w:p>
      <w:pPr>
        <w:spacing w:after="0" w:line="70" w:lineRule="exact"/>
        <w:rPr>
          <w:rFonts w:ascii="Arial" w:cs="Arial" w:eastAsia="Arial" w:hAnsi="Arial"/>
          <w:sz w:val="17"/>
          <w:szCs w:val="17"/>
          <w:color w:val="auto"/>
        </w:rPr>
      </w:pPr>
    </w:p>
    <w:p>
      <w:pPr>
        <w:ind w:right="120" w:firstLine="458"/>
        <w:spacing w:after="0" w:line="279" w:lineRule="auto"/>
        <w:tabs>
          <w:tab w:leader="none" w:pos="698" w:val="left"/>
        </w:tabs>
        <w:numPr>
          <w:ilvl w:val="1"/>
          <w:numId w:val="21"/>
        </w:numPr>
        <w:rPr>
          <w:rFonts w:ascii="Arial" w:cs="Arial" w:eastAsia="Arial" w:hAnsi="Arial"/>
          <w:sz w:val="17"/>
          <w:szCs w:val="17"/>
          <w:color w:val="auto"/>
        </w:rPr>
      </w:pPr>
      <w:r>
        <w:rPr>
          <w:rFonts w:ascii="Arial" w:cs="Arial" w:eastAsia="Arial" w:hAnsi="Arial"/>
          <w:sz w:val="17"/>
          <w:szCs w:val="17"/>
          <w:color w:val="auto"/>
        </w:rPr>
        <w:t>You agree that for a period of eighteen (18) months following the termination of your employment with the Company for any reason, you will not, as a compensated or uncompensated officer, director, consultant, advisor, partner, joint venturer, investor, independent contractor, employee, for your own account or otherwise, solicit any individual who is, or within six (6) months prior to the time of solicitation was, an employee of the Company or any subsidiary of the Company to leave his or her employment with the Company or any subsidiary of the Company.</w:t>
      </w:r>
    </w:p>
    <w:p>
      <w:pPr>
        <w:spacing w:after="0" w:line="63" w:lineRule="exact"/>
        <w:rPr>
          <w:rFonts w:ascii="Arial" w:cs="Arial" w:eastAsia="Arial" w:hAnsi="Arial"/>
          <w:sz w:val="17"/>
          <w:szCs w:val="17"/>
          <w:color w:val="auto"/>
        </w:rPr>
      </w:pPr>
    </w:p>
    <w:p>
      <w:pPr>
        <w:ind w:firstLine="458"/>
        <w:spacing w:after="0" w:line="257" w:lineRule="auto"/>
        <w:tabs>
          <w:tab w:leader="none" w:pos="688" w:val="left"/>
        </w:tabs>
        <w:numPr>
          <w:ilvl w:val="1"/>
          <w:numId w:val="21"/>
        </w:numPr>
        <w:rPr>
          <w:rFonts w:ascii="Arial" w:cs="Arial" w:eastAsia="Arial" w:hAnsi="Arial"/>
          <w:sz w:val="18"/>
          <w:szCs w:val="18"/>
          <w:color w:val="auto"/>
        </w:rPr>
      </w:pPr>
      <w:r>
        <w:rPr>
          <w:rFonts w:ascii="Arial" w:cs="Arial" w:eastAsia="Arial" w:hAnsi="Arial"/>
          <w:sz w:val="18"/>
          <w:szCs w:val="18"/>
          <w:color w:val="auto"/>
        </w:rPr>
        <w:t>You acknowledge and agree that the restrictions contained in this Paragraph 9 are reasonable and necessary, as there is a significant risk that your provision of labor, services, advice or assistance to any of those competitors could result in the disclosure of the Company’s proprietary information. You further acknowledge and agree that the restrictions contained in this Paragraph 9 will not preclude you from engaging in any trade, business or profession that you are qualified to engage in. In the event of your breach of this Paragraph 9, the Company shall not be obligated to provide you with any further severance payments or benefits subsequent to such breach.</w:t>
      </w:r>
    </w:p>
    <w:p>
      <w:pPr>
        <w:spacing w:after="0" w:line="80" w:lineRule="exact"/>
        <w:rPr>
          <w:rFonts w:ascii="Arial" w:cs="Arial" w:eastAsia="Arial" w:hAnsi="Arial"/>
          <w:sz w:val="18"/>
          <w:szCs w:val="18"/>
          <w:color w:val="auto"/>
        </w:rPr>
      </w:pPr>
    </w:p>
    <w:p>
      <w:pPr>
        <w:ind w:left="500" w:hanging="267"/>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agree that any dispute arising out of or relating to this Agreement, the parties’ employment relationship or the</w:t>
      </w:r>
    </w:p>
    <w:p>
      <w:pPr>
        <w:spacing w:after="0" w:line="34" w:lineRule="exact"/>
        <w:rPr>
          <w:rFonts w:ascii="Arial" w:cs="Arial" w:eastAsia="Arial" w:hAnsi="Arial"/>
          <w:sz w:val="17"/>
          <w:szCs w:val="17"/>
          <w:color w:val="auto"/>
        </w:rPr>
      </w:pPr>
    </w:p>
    <w:p>
      <w:pPr>
        <w:ind w:right="80"/>
        <w:spacing w:after="0" w:line="323" w:lineRule="auto"/>
        <w:rPr>
          <w:rFonts w:ascii="Arial" w:cs="Arial" w:eastAsia="Arial" w:hAnsi="Arial"/>
          <w:sz w:val="17"/>
          <w:szCs w:val="17"/>
          <w:color w:val="auto"/>
        </w:rPr>
      </w:pPr>
      <w:r>
        <w:rPr>
          <w:rFonts w:ascii="Arial" w:cs="Arial" w:eastAsia="Arial" w:hAnsi="Arial"/>
          <w:sz w:val="16"/>
          <w:szCs w:val="16"/>
          <w:color w:val="auto"/>
        </w:rPr>
        <w:t>termination of that relationship for any reason, shall settled by arbitration before a single arbitrator in the area of the Company’s headquarters in accordance with the rules of the American Arbitration Association. The arbitrator’s decision will be final and binding on the Company and you. If the Company and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Charles D. Kissner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cannot agree on the arbitrator within thirty (30) days after either party’s request for arbitration, the arbitrator will be selected by, or in accordance with a procedure established by, the senior officer of the office of the American Arbitration Association nearest the Company’s headquarters. The prevailing party will be entitled to reimbursement from the non-prevailing party for the prevailing party’s reasonable fees and expenses of the prevailing party’s counsel, and the non-prevailing party will bear the cost of the non-prevailing party’s counsel, in connection with any such dispute. The Company shall bear all filing fees and costs of the American Arbitration Association and the fees and expenses of the arbitrator. Notwithstanding this Paragraph 10, the Company may bring an action for injunctive relief in any court of competent jurisdiction.</w:t>
      </w:r>
    </w:p>
    <w:p>
      <w:pPr>
        <w:spacing w:after="0" w:line="70" w:lineRule="exact"/>
        <w:rPr>
          <w:sz w:val="20"/>
          <w:szCs w:val="20"/>
          <w:color w:val="auto"/>
        </w:rPr>
      </w:pPr>
    </w:p>
    <w:p>
      <w:pPr>
        <w:ind w:firstLine="233"/>
        <w:spacing w:after="0" w:line="259" w:lineRule="auto"/>
        <w:tabs>
          <w:tab w:leader="none" w:pos="48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Internal Revenue Code</w:t>
      </w:r>
      <w:r>
        <w:rPr>
          <w:rFonts w:ascii="Arial" w:cs="Arial" w:eastAsia="Arial" w:hAnsi="Arial"/>
          <w:sz w:val="18"/>
          <w:szCs w:val="18"/>
          <w:color w:val="auto"/>
        </w:rPr>
        <w:t>. This Agreement is intended to comply with, or otherwise be exempt from Section 409A of the Code and the rules and regulations promulgated thereunder (collectively, “Section 409A”). However, the Company has not made and is making no representation to you relating to the tax treatment of any payment pursuant to this Agreement under Section 409A and the corresponding provisions of any applicable State income tax laws.</w:t>
      </w:r>
    </w:p>
    <w:p>
      <w:pPr>
        <w:spacing w:after="0" w:line="79" w:lineRule="exact"/>
        <w:rPr>
          <w:sz w:val="20"/>
          <w:szCs w:val="20"/>
          <w:color w:val="auto"/>
        </w:rPr>
      </w:pPr>
    </w:p>
    <w:p>
      <w:pPr>
        <w:ind w:right="300" w:firstLine="225"/>
        <w:spacing w:after="0" w:line="285" w:lineRule="auto"/>
        <w:rPr>
          <w:sz w:val="20"/>
          <w:szCs w:val="20"/>
          <w:color w:val="auto"/>
        </w:rPr>
      </w:pPr>
      <w:r>
        <w:rPr>
          <w:rFonts w:ascii="Arial" w:cs="Arial" w:eastAsia="Arial" w:hAnsi="Arial"/>
          <w:sz w:val="16"/>
          <w:szCs w:val="16"/>
          <w:color w:val="auto"/>
        </w:rPr>
        <w:t>Notwithstanding anything to the contrary in this Agreement, any payments or benefits due hereunder upon a termination of employment which are a “deferral of compensation” within the meaning of Section 409A shall only be payable or provided to you upon a “separation from service” as defined for purposes of Section 409A. In addition, if you are a “specified employee” as determined pursuant to Section 409A as of the date of your separation from service, as so defined, and if any payments or entitlements provided for in this Agreement constitute a “deferral of compensation” within the meaning of Section 409A and cannot be paid or provided in the manner provided herein without subjecting you to additional tax, interest or penalties under</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Section 409A, then any such payment or entitlement which is otherwise payable during the first six months following your separation from service shall be paid or provided to you in a lump sum on the earlier of (i) the first business day of the seventh calendar month immediately following the month in which your separation from service occurs and (ii) the date of your death. To the extent required to satisfy the provisions of the foregoing sentence with respect to any benefit to be provided in-kind, the Company shall bill you, and you shall promptly pay, the value for tax purposes of any such benefit and the Company shall therefore promptly refund the amount so paid by you as soon as allowed by the foregoing sentence.</w:t>
      </w:r>
    </w:p>
    <w:p>
      <w:pPr>
        <w:spacing w:after="0" w:line="7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For purposes of Section 409A, the right to a series of installment payments under this Agreement shall be treated as a right to a series of separate payments. With respect to any reimbursement of your expenses, or any provision of in-kind benefits to you, as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 providing for the reimbursement of expenses referred to in Section 105(b) of the Code; (2) the reimbursement of an eligible expense shall be made no later than the end of the year after the year in which such expense was incurred; and (3) the right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Charles D. Kissner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reimbursement or in-kind benefits shall not be subject to liquidation or exchange for another benefit.</w:t>
      </w:r>
    </w:p>
    <w:p>
      <w:pPr>
        <w:spacing w:after="0" w:line="117" w:lineRule="exact"/>
        <w:rPr>
          <w:sz w:val="20"/>
          <w:szCs w:val="20"/>
          <w:color w:val="auto"/>
        </w:rPr>
      </w:pPr>
    </w:p>
    <w:p>
      <w:pPr>
        <w:ind w:right="260" w:firstLine="233"/>
        <w:spacing w:after="0" w:line="342" w:lineRule="auto"/>
        <w:tabs>
          <w:tab w:leader="none" w:pos="495"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deemed invalid, illegal or unenforceable, such provision shall be modified so as to make it valid, legal and enforceable, and the validity, legality and enforceability of the remaining provisions of this Agreement shall not in any way be affected.</w:t>
      </w:r>
    </w:p>
    <w:p>
      <w:pPr>
        <w:spacing w:after="0" w:line="15" w:lineRule="exact"/>
        <w:rPr>
          <w:rFonts w:ascii="Arial" w:cs="Arial" w:eastAsia="Arial" w:hAnsi="Arial"/>
          <w:sz w:val="16"/>
          <w:szCs w:val="16"/>
          <w:color w:val="auto"/>
        </w:rPr>
      </w:pPr>
    </w:p>
    <w:p>
      <w:pPr>
        <w:ind w:right="320" w:firstLine="233"/>
        <w:spacing w:after="0" w:line="277" w:lineRule="auto"/>
        <w:tabs>
          <w:tab w:leader="none" w:pos="49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Applicable Withholding</w:t>
      </w:r>
      <w:r>
        <w:rPr>
          <w:rFonts w:ascii="Arial" w:cs="Arial" w:eastAsia="Arial" w:hAnsi="Arial"/>
          <w:sz w:val="18"/>
          <w:szCs w:val="18"/>
          <w:color w:val="auto"/>
        </w:rPr>
        <w:t>. All salary, bonus, severance and other payments identified in this Agreement are subject to applicable withholding by the Company.</w:t>
      </w:r>
    </w:p>
    <w:p>
      <w:pPr>
        <w:spacing w:after="0" w:line="62" w:lineRule="exact"/>
        <w:rPr>
          <w:rFonts w:ascii="Arial" w:cs="Arial" w:eastAsia="Arial" w:hAnsi="Arial"/>
          <w:sz w:val="18"/>
          <w:szCs w:val="18"/>
          <w:color w:val="auto"/>
        </w:rPr>
      </w:pPr>
    </w:p>
    <w:p>
      <w:pPr>
        <w:ind w:right="300" w:firstLine="233"/>
        <w:spacing w:after="0" w:line="277" w:lineRule="auto"/>
        <w:tabs>
          <w:tab w:leader="none" w:pos="49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In view of the personal nature of the services to be performed under this Agreement by you, you cannot assign or transfer any of your obligations under this Agreement.</w:t>
      </w:r>
    </w:p>
    <w:p>
      <w:pPr>
        <w:spacing w:after="0" w:line="62" w:lineRule="exact"/>
        <w:rPr>
          <w:rFonts w:ascii="Arial" w:cs="Arial" w:eastAsia="Arial" w:hAnsi="Arial"/>
          <w:sz w:val="18"/>
          <w:szCs w:val="18"/>
          <w:color w:val="auto"/>
        </w:rPr>
      </w:pPr>
    </w:p>
    <w:p>
      <w:pPr>
        <w:ind w:firstLine="233"/>
        <w:spacing w:after="0" w:line="257" w:lineRule="auto"/>
        <w:tabs>
          <w:tab w:leader="none" w:pos="49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agreements referred to above constitute the entire agreement between you and the Company regarding the terms and conditions of your employment, and they supersede all prior negotiations, representations or agreements between you and the Company regarding your employment, whether written or oral. This Agreement sets forth our entire agreement regarding the Company’s obligation to provide you with severance benefits upon any termination of your employment, and you shall not be entitled to receive any other severance benefits from the Company pursuant to any Company severance plan, policy or practice.</w:t>
      </w:r>
    </w:p>
    <w:p>
      <w:pPr>
        <w:spacing w:after="0" w:line="80" w:lineRule="exact"/>
        <w:rPr>
          <w:rFonts w:ascii="Arial" w:cs="Arial" w:eastAsia="Arial" w:hAnsi="Arial"/>
          <w:sz w:val="18"/>
          <w:szCs w:val="18"/>
          <w:color w:val="auto"/>
        </w:rPr>
      </w:pPr>
    </w:p>
    <w:p>
      <w:pPr>
        <w:ind w:right="580" w:firstLine="233"/>
        <w:spacing w:after="0" w:line="277" w:lineRule="auto"/>
        <w:tabs>
          <w:tab w:leader="none" w:pos="49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California, without reference to principles of conflicts of laws.</w:t>
      </w:r>
    </w:p>
    <w:p>
      <w:pPr>
        <w:spacing w:after="0" w:line="62" w:lineRule="exact"/>
        <w:rPr>
          <w:rFonts w:ascii="Arial" w:cs="Arial" w:eastAsia="Arial" w:hAnsi="Arial"/>
          <w:sz w:val="18"/>
          <w:szCs w:val="18"/>
          <w:color w:val="auto"/>
        </w:rPr>
      </w:pPr>
    </w:p>
    <w:p>
      <w:pPr>
        <w:ind w:right="20" w:firstLine="233"/>
        <w:spacing w:after="0" w:line="277" w:lineRule="auto"/>
        <w:tabs>
          <w:tab w:leader="none" w:pos="495"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This Agreement may only be modified or amended by a supplemental written agreement signed by you and an authorized representative of the Board.</w:t>
      </w:r>
    </w:p>
    <w:p>
      <w:pPr>
        <w:spacing w:after="0" w:line="62" w:lineRule="exact"/>
        <w:rPr>
          <w:rFonts w:ascii="Arial" w:cs="Arial" w:eastAsia="Arial" w:hAnsi="Arial"/>
          <w:sz w:val="18"/>
          <w:szCs w:val="18"/>
          <w:color w:val="auto"/>
        </w:rPr>
      </w:pPr>
    </w:p>
    <w:p>
      <w:pPr>
        <w:ind w:right="480" w:firstLine="233"/>
        <w:spacing w:after="0" w:line="291" w:lineRule="auto"/>
        <w:tabs>
          <w:tab w:leader="none" w:pos="495"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Legal Fees</w:t>
      </w:r>
      <w:r>
        <w:rPr>
          <w:rFonts w:ascii="Arial" w:cs="Arial" w:eastAsia="Arial" w:hAnsi="Arial"/>
          <w:sz w:val="16"/>
          <w:szCs w:val="16"/>
          <w:color w:val="auto"/>
        </w:rPr>
        <w:t>. The Company will reimburse you for the reasonable fees and expenses of your attorney in connection with the negotiation of this Agreement, up to a maximum of $7,000 unless otherwise agreed in writing by the Chairman of the Company’s Compensation Committee, within thirty</w:t>
      </w: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days after your start date, subject to the Company’s expense reimbursement policies and procedures.</w:t>
      </w:r>
    </w:p>
    <w:p>
      <w:pPr>
        <w:spacing w:after="0" w:line="102" w:lineRule="exact"/>
        <w:rPr>
          <w:rFonts w:ascii="Arial" w:cs="Arial" w:eastAsia="Arial" w:hAnsi="Arial"/>
          <w:sz w:val="18"/>
          <w:szCs w:val="18"/>
          <w:color w:val="auto"/>
        </w:rPr>
      </w:pPr>
    </w:p>
    <w:p>
      <w:pPr>
        <w:ind w:right="380" w:firstLine="233"/>
        <w:spacing w:after="0" w:line="342" w:lineRule="auto"/>
        <w:tabs>
          <w:tab w:leader="none" w:pos="495"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Indemnification, Advancement, Insurance</w:t>
      </w:r>
      <w:r>
        <w:rPr>
          <w:rFonts w:ascii="Arial" w:cs="Arial" w:eastAsia="Arial" w:hAnsi="Arial"/>
          <w:sz w:val="16"/>
          <w:szCs w:val="16"/>
          <w:color w:val="auto"/>
        </w:rPr>
        <w:t>. You will be entitled to indemnification and advancement in accordance with the Company’s bylaws as currently in effect. The Company will provide reasonable directors’ and officers’ insurance coverage for its directors and officers, including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Charles D. Kissner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03" w:lineRule="exact"/>
        <w:rPr>
          <w:sz w:val="20"/>
          <w:szCs w:val="20"/>
          <w:color w:val="auto"/>
        </w:rPr>
      </w:pPr>
    </w:p>
    <w:p>
      <w:pPr>
        <w:ind w:right="959" w:firstLine="225"/>
        <w:spacing w:after="0" w:line="402" w:lineRule="auto"/>
        <w:rPr>
          <w:sz w:val="20"/>
          <w:szCs w:val="20"/>
          <w:color w:val="auto"/>
        </w:rPr>
      </w:pPr>
      <w:r>
        <w:rPr>
          <w:rFonts w:ascii="Arial" w:cs="Arial" w:eastAsia="Arial" w:hAnsi="Arial"/>
          <w:sz w:val="18"/>
          <w:szCs w:val="18"/>
          <w:color w:val="auto"/>
        </w:rPr>
        <w:t>Please sign and date this letter on the spaces provided below to acknowledge your acceptance of the terms of this Agreement. Sincerely,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Aviat Networks,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Thomas L. Cronan III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Thomas L. Cronan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52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Sr. VP &amp; CFO</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 agree to and accept employment with Aviat Networks, Inc. on the terms and conditions set forth in this Agreement.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Charles D. Kissner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D. Kissner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Charles D. Kissner, Chief Executive Officer and Chairman of the Board of Aviat Networks, Inc., certify that:</w:t>
      </w:r>
    </w:p>
    <w:p>
      <w:pPr>
        <w:spacing w:after="0" w:line="11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October 1, 2010, of Aviat Networks, Inc.;</w:t>
      </w:r>
    </w:p>
    <w:p>
      <w:pPr>
        <w:spacing w:after="0" w:line="130"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18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Date: November 10, 2010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D. Kissner</w:t>
            </w:r>
          </w:p>
        </w:tc>
      </w:tr>
      <w:tr>
        <w:trPr>
          <w:trHeight w:val="195"/>
        </w:trPr>
        <w:tc>
          <w:tcPr>
            <w:tcW w:w="52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Name: Charles D. Kissner</w:t>
            </w:r>
          </w:p>
        </w:tc>
      </w:tr>
      <w:tr>
        <w:trPr>
          <w:trHeight w:val="216"/>
        </w:trPr>
        <w:tc>
          <w:tcPr>
            <w:tcW w:w="52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230"/>
        </w:trPr>
        <w:tc>
          <w:tcPr>
            <w:tcW w:w="5260" w:type="dxa"/>
            <w:vAlign w:val="bottom"/>
          </w:tcPr>
          <w:p>
            <w:pPr>
              <w:spacing w:after="0"/>
              <w:rPr>
                <w:sz w:val="20"/>
                <w:szCs w:val="20"/>
                <w:color w:val="auto"/>
              </w:rPr>
            </w:pPr>
          </w:p>
        </w:tc>
        <w:tc>
          <w:tcPr>
            <w:tcW w:w="4520" w:type="dxa"/>
            <w:vAlign w:val="bottom"/>
          </w:tcPr>
          <w:p>
            <w:pPr>
              <w:ind w:left="580"/>
              <w:spacing w:after="0"/>
              <w:rPr>
                <w:sz w:val="20"/>
                <w:szCs w:val="20"/>
                <w:color w:val="auto"/>
              </w:rPr>
            </w:pPr>
            <w:r>
              <w:rPr>
                <w:rFonts w:ascii="Arial" w:cs="Arial" w:eastAsia="Arial" w:hAnsi="Arial"/>
                <w:sz w:val="18"/>
                <w:szCs w:val="18"/>
                <w:color w:val="auto"/>
              </w:rPr>
              <w:t>and Chairman of the Board</w:t>
            </w:r>
          </w:p>
        </w:tc>
      </w:tr>
    </w:tbl>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 Cronan III, Senior Vice President and Chief Financial Officer of Aviat Networks, Inc., certify that:</w:t>
      </w:r>
    </w:p>
    <w:p>
      <w:pPr>
        <w:spacing w:after="0" w:line="11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October 1, 2010, of Aviat Networks, Inc.;</w:t>
      </w:r>
    </w:p>
    <w:p>
      <w:pPr>
        <w:spacing w:after="0" w:line="130"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56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18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Date: November 10, 2010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L. Cronan III</w:t>
            </w:r>
          </w:p>
        </w:tc>
      </w:tr>
      <w:tr>
        <w:trPr>
          <w:trHeight w:val="195"/>
        </w:trPr>
        <w:tc>
          <w:tcPr>
            <w:tcW w:w="52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Name: Thomas L. Cronan III</w:t>
            </w:r>
          </w:p>
        </w:tc>
      </w:tr>
      <w:tr>
        <w:trPr>
          <w:trHeight w:val="216"/>
        </w:trPr>
        <w:tc>
          <w:tcPr>
            <w:tcW w:w="52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Title:  Senior Vice President</w:t>
            </w:r>
          </w:p>
        </w:tc>
      </w:tr>
      <w:tr>
        <w:trPr>
          <w:trHeight w:val="230"/>
        </w:trPr>
        <w:tc>
          <w:tcPr>
            <w:tcW w:w="5260" w:type="dxa"/>
            <w:vAlign w:val="bottom"/>
          </w:tcPr>
          <w:p>
            <w:pPr>
              <w:spacing w:after="0"/>
              <w:rPr>
                <w:sz w:val="20"/>
                <w:szCs w:val="20"/>
                <w:color w:val="auto"/>
              </w:rPr>
            </w:pPr>
          </w:p>
        </w:tc>
        <w:tc>
          <w:tcPr>
            <w:tcW w:w="4520" w:type="dxa"/>
            <w:vAlign w:val="bottom"/>
          </w:tcPr>
          <w:p>
            <w:pPr>
              <w:ind w:left="580"/>
              <w:spacing w:after="0"/>
              <w:rPr>
                <w:sz w:val="20"/>
                <w:szCs w:val="20"/>
                <w:color w:val="auto"/>
              </w:rPr>
            </w:pPr>
            <w:r>
              <w:rPr>
                <w:rFonts w:ascii="Arial" w:cs="Arial" w:eastAsia="Arial" w:hAnsi="Arial"/>
                <w:sz w:val="18"/>
                <w:szCs w:val="18"/>
                <w:color w:val="auto"/>
              </w:rPr>
              <w:t>and Chief Financial Officer</w:t>
            </w:r>
          </w:p>
        </w:tc>
      </w:tr>
    </w:tbl>
    <w:p>
      <w:pPr>
        <w:sectPr>
          <w:pgSz w:w="11900" w:h="16838" w:orient="portrait"/>
          <w:cols w:equalWidth="0" w:num="1">
            <w:col w:w="11420"/>
          </w:cols>
          <w:pgMar w:left="240" w:top="553"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October 1, 2010, as filed with the Securities and Exchange Commission on the date hereof (the “Report”), we, Charles D. Kissner, Chief Executive Officer and Chairman of the Board of Aviat Networks, and Thomas L. Cronan III, Senior Vice President and Chief Financial Officer of Aviat Networks, hereby certify, pursuant to Section 906 of the Sarbanes-Oxley Act of 2002, 18 U.S.C. §1350, that:</w:t>
      </w:r>
    </w:p>
    <w:p>
      <w:pPr>
        <w:spacing w:after="0" w:line="7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28" w:lineRule="exact"/>
        <w:rPr>
          <w:rFonts w:ascii="Arial" w:cs="Arial" w:eastAsia="Arial" w:hAnsi="Arial"/>
          <w:sz w:val="17"/>
          <w:szCs w:val="17"/>
          <w:color w:val="auto"/>
        </w:rPr>
      </w:pPr>
    </w:p>
    <w:p>
      <w:pPr>
        <w:ind w:left="340" w:right="10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Date: November 10, 2010</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D. Kissner</w:t>
            </w:r>
          </w:p>
        </w:tc>
      </w:tr>
      <w:tr>
        <w:trPr>
          <w:trHeight w:val="195"/>
        </w:trPr>
        <w:tc>
          <w:tcPr>
            <w:tcW w:w="5260" w:type="dxa"/>
            <w:vAlign w:val="bottom"/>
          </w:tcPr>
          <w:p>
            <w:pPr>
              <w:spacing w:after="0"/>
              <w:rPr>
                <w:sz w:val="16"/>
                <w:szCs w:val="16"/>
                <w:color w:val="auto"/>
              </w:rPr>
            </w:pPr>
          </w:p>
        </w:tc>
        <w:tc>
          <w:tcPr>
            <w:tcW w:w="4520" w:type="dxa"/>
            <w:vAlign w:val="bottom"/>
            <w:gridSpan w:val="2"/>
          </w:tcPr>
          <w:p>
            <w:pPr>
              <w:spacing w:after="0" w:line="195" w:lineRule="exact"/>
              <w:rPr>
                <w:sz w:val="20"/>
                <w:szCs w:val="20"/>
                <w:color w:val="auto"/>
              </w:rPr>
            </w:pPr>
            <w:r>
              <w:rPr>
                <w:rFonts w:ascii="Arial" w:cs="Arial" w:eastAsia="Arial" w:hAnsi="Arial"/>
                <w:sz w:val="18"/>
                <w:szCs w:val="18"/>
                <w:color w:val="auto"/>
              </w:rPr>
              <w:t>Name: Charles D. Kissner</w:t>
            </w:r>
          </w:p>
        </w:tc>
      </w:tr>
      <w:tr>
        <w:trPr>
          <w:trHeight w:val="216"/>
        </w:trPr>
        <w:tc>
          <w:tcPr>
            <w:tcW w:w="5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5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and Chairman of the Board</w:t>
            </w:r>
          </w:p>
        </w:tc>
      </w:tr>
      <w:tr>
        <w:trPr>
          <w:trHeight w:val="648"/>
        </w:trPr>
        <w:tc>
          <w:tcPr>
            <w:tcW w:w="5260" w:type="dxa"/>
            <w:vAlign w:val="bottom"/>
          </w:tcPr>
          <w:p>
            <w:pPr>
              <w:spacing w:after="0"/>
              <w:rPr>
                <w:sz w:val="20"/>
                <w:szCs w:val="20"/>
                <w:color w:val="auto"/>
              </w:rPr>
            </w:pPr>
            <w:r>
              <w:rPr>
                <w:rFonts w:ascii="Arial" w:cs="Arial" w:eastAsia="Arial" w:hAnsi="Arial"/>
                <w:sz w:val="18"/>
                <w:szCs w:val="18"/>
                <w:color w:val="auto"/>
              </w:rPr>
              <w:t>Date: November 10, 2010</w:t>
            </w:r>
          </w:p>
        </w:tc>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L. Cronan III</w:t>
            </w:r>
          </w:p>
        </w:tc>
      </w:tr>
      <w:tr>
        <w:trPr>
          <w:trHeight w:val="195"/>
        </w:trPr>
        <w:tc>
          <w:tcPr>
            <w:tcW w:w="5260" w:type="dxa"/>
            <w:vAlign w:val="bottom"/>
          </w:tcPr>
          <w:p>
            <w:pPr>
              <w:spacing w:after="0"/>
              <w:rPr>
                <w:sz w:val="16"/>
                <w:szCs w:val="16"/>
                <w:color w:val="auto"/>
              </w:rPr>
            </w:pPr>
          </w:p>
        </w:tc>
        <w:tc>
          <w:tcPr>
            <w:tcW w:w="4520" w:type="dxa"/>
            <w:vAlign w:val="bottom"/>
            <w:gridSpan w:val="2"/>
          </w:tcPr>
          <w:p>
            <w:pPr>
              <w:spacing w:after="0" w:line="195" w:lineRule="exact"/>
              <w:rPr>
                <w:sz w:val="20"/>
                <w:szCs w:val="20"/>
                <w:color w:val="auto"/>
              </w:rPr>
            </w:pPr>
            <w:r>
              <w:rPr>
                <w:rFonts w:ascii="Arial" w:cs="Arial" w:eastAsia="Arial" w:hAnsi="Arial"/>
                <w:sz w:val="18"/>
                <w:szCs w:val="18"/>
                <w:color w:val="auto"/>
              </w:rPr>
              <w:t>Name: Thomas L. Cronan III</w:t>
            </w:r>
          </w:p>
        </w:tc>
      </w:tr>
      <w:tr>
        <w:trPr>
          <w:trHeight w:val="216"/>
        </w:trPr>
        <w:tc>
          <w:tcPr>
            <w:tcW w:w="52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30"/>
        </w:trPr>
        <w:tc>
          <w:tcPr>
            <w:tcW w:w="5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lvl w:ilvl="1">
      <w:lvlJc w:val="left"/>
      <w:lvlText w:val="(%2)"/>
      <w:numFmt w:val="lowerLetter"/>
      <w:start w:val="1"/>
    </w:lvl>
  </w:abstractNum>
  <w:abstractNum w:abstractNumId="10">
    <w:nsid w:val="7C83E4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1">
    <w:nsid w:val="257130A3"/>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4"/>
    </w:lvl>
  </w:abstractNum>
  <w:abstractNum w:abstractNumId="12">
    <w:nsid w:val="62BBD95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3">
    <w:nsid w:val="436C612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
    <w:nsid w:val="628C895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5">
    <w:nsid w:val="333AB105"/>
    <w:multiLevelType w:val="hybridMultilevel"/>
    <w:lvl w:ilvl="0">
      <w:lvlJc w:val="left"/>
      <w:lvlText w:val="(%1)"/>
      <w:numFmt w:val="lowerRoman"/>
      <w:start w:val="4"/>
    </w:lvl>
  </w:abstractNum>
  <w:abstractNum w:abstractNumId="16">
    <w:nsid w:val="721DA317"/>
    <w:multiLevelType w:val="hybridMultilevel"/>
    <w:lvl w:ilvl="0">
      <w:lvlJc w:val="left"/>
      <w:lvlText w:val="(%1)"/>
      <w:numFmt w:val="lowerLetter"/>
      <w:start w:val="3"/>
    </w:lvl>
    <w:lvl w:ilvl="1">
      <w:lvlJc w:val="left"/>
      <w:lvlText w:val="(%2)"/>
      <w:numFmt w:val="lowerLetter"/>
      <w:start w:val="9"/>
    </w:lvl>
  </w:abstractNum>
  <w:abstractNum w:abstractNumId="17">
    <w:nsid w:val="2443A858"/>
    <w:multiLevelType w:val="hybridMultilevel"/>
    <w:lvl w:ilvl="0">
      <w:lvlJc w:val="left"/>
      <w:lvlText w:val="(%1)"/>
      <w:numFmt w:val="lowerRoman"/>
      <w:start w:val="3"/>
    </w:lvl>
  </w:abstractNum>
  <w:abstractNum w:abstractNumId="18">
    <w:nsid w:val="2D1D5AE9"/>
    <w:multiLevelType w:val="hybridMultilevel"/>
    <w:lvl w:ilvl="0">
      <w:lvlJc w:val="left"/>
      <w:lvlText w:val="%1."/>
      <w:numFmt w:val="decimal"/>
      <w:start w:val="6"/>
    </w:lvl>
    <w:lvl w:ilvl="1">
      <w:lvlJc w:val="left"/>
      <w:lvlText w:val="(%2)"/>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9"/>
    </w:lvl>
    <w:lvl w:ilvl="1">
      <w:lvlJc w:val="left"/>
      <w:lvlText w:val="(%2)"/>
      <w:numFmt w:val="lowerLetter"/>
      <w:start w:val="1"/>
    </w:lvl>
  </w:abstractNum>
  <w:abstractNum w:abstractNumId="21">
    <w:nsid w:val="8EDBDAB"/>
    <w:multiLevelType w:val="hybridMultilevel"/>
    <w:lvl w:ilvl="0">
      <w:lvlJc w:val="left"/>
      <w:lvlText w:val="%1."/>
      <w:numFmt w:val="decimal"/>
      <w:start w:val="11"/>
    </w:lvl>
  </w:abstractNum>
  <w:abstractNum w:abstractNumId="22">
    <w:nsid w:val="79838CB2"/>
    <w:multiLevelType w:val="hybridMultilevel"/>
    <w:lvl w:ilvl="0">
      <w:lvlJc w:val="left"/>
      <w:lvlText w:val="%1"/>
      <w:numFmt w:val="decimal"/>
      <w:start w:val="1"/>
    </w:lvl>
    <w:lvl w:ilvl="1">
      <w:lvlJc w:val="left"/>
      <w:lvlText w:val="%2."/>
      <w:numFmt w:val="decimal"/>
      <w:start w:val="12"/>
    </w:lvl>
  </w:abstractNum>
  <w:abstractNum w:abstractNumId="23">
    <w:nsid w:val="4353D0CD"/>
    <w:multiLevelType w:val="hybridMultilevel"/>
    <w:lvl w:ilvl="0">
      <w:lvlJc w:val="left"/>
      <w:lvlText w:val="(%1)"/>
      <w:numFmt w:val="decimal"/>
      <w:start w:val="30"/>
    </w:lvl>
    <w:lvl w:ilvl="1">
      <w:lvlJc w:val="left"/>
      <w:lvlText w:val="%2."/>
      <w:numFmt w:val="decimal"/>
      <w:start w:val="19"/>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2019-12-11T03:57:37Z</dcterms:created>
  <dcterms:modified xsi:type="dcterms:W3CDTF">2019-12-11T03:57:37Z</dcterms:modified>
</cp:coreProperties>
</file>