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206375</wp:posOffset>
            </wp:positionH>
            <wp:positionV relativeFrom="page">
              <wp:posOffset>346075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370840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w:t>
      </w:r>
    </w:p>
    <w:p>
      <w:pPr>
        <w:spacing w:after="0" w:line="37" w:lineRule="exact"/>
        <w:rPr>
          <w:sz w:val="24"/>
          <w:szCs w:val="24"/>
          <w:color w:val="auto"/>
        </w:rPr>
      </w:pPr>
    </w:p>
    <w:p>
      <w:pPr>
        <w:ind w:left="26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Washington, D.C. 20549</w:t>
      </w:r>
    </w:p>
    <w:p>
      <w:pPr>
        <w:ind w:left="4780"/>
        <w:spacing w:after="0"/>
        <w:rPr>
          <w:sz w:val="20"/>
          <w:szCs w:val="20"/>
          <w:color w:val="auto"/>
        </w:rPr>
      </w:pPr>
      <w:r>
        <w:rPr>
          <w:rFonts w:ascii="Arial" w:cs="Arial" w:eastAsia="Arial" w:hAnsi="Arial"/>
          <w:sz w:val="10"/>
          <w:szCs w:val="10"/>
          <w:b w:val="1"/>
          <w:bCs w:val="1"/>
          <w:color w:val="auto"/>
        </w:rPr>
        <w:t>________________________________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3" w:lineRule="exact"/>
        <w:rPr>
          <w:sz w:val="24"/>
          <w:szCs w:val="24"/>
          <w:color w:val="auto"/>
        </w:rPr>
      </w:pPr>
    </w:p>
    <w:p>
      <w:pPr>
        <w:ind w:left="460" w:hanging="438"/>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 the quarterly period ended December 31, 2021</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or</w:t>
      </w:r>
    </w:p>
    <w:p>
      <w:pPr>
        <w:spacing w:after="0" w:line="177" w:lineRule="exact"/>
        <w:rPr>
          <w:sz w:val="24"/>
          <w:szCs w:val="24"/>
          <w:color w:val="auto"/>
        </w:rPr>
      </w:pPr>
    </w:p>
    <w:p>
      <w:pPr>
        <w:ind w:left="480" w:hanging="445"/>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36" w:lineRule="exact"/>
        <w:rPr>
          <w:sz w:val="24"/>
          <w:szCs w:val="24"/>
          <w:color w:val="auto"/>
        </w:rPr>
      </w:pPr>
    </w:p>
    <w:p>
      <w:pPr>
        <w:ind w:left="3080"/>
        <w:spacing w:after="0"/>
        <w:rPr>
          <w:sz w:val="20"/>
          <w:szCs w:val="20"/>
          <w:color w:val="auto"/>
        </w:rPr>
      </w:pPr>
      <w:r>
        <w:rPr>
          <w:rFonts w:ascii="Arial" w:cs="Arial" w:eastAsia="Arial" w:hAnsi="Arial"/>
          <w:sz w:val="21"/>
          <w:szCs w:val="21"/>
          <w:b w:val="1"/>
          <w:bCs w:val="1"/>
          <w:color w:val="auto"/>
        </w:rPr>
        <w:t>For the transition period from _______ to 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Commission File Number 001-33278</w:t>
      </w:r>
    </w:p>
    <w:p>
      <w:pPr>
        <w:spacing w:after="0" w:line="363" w:lineRule="exact"/>
        <w:rPr>
          <w:sz w:val="24"/>
          <w:szCs w:val="24"/>
          <w:color w:val="auto"/>
        </w:rPr>
      </w:pPr>
    </w:p>
    <w:p>
      <w:pPr>
        <w:jc w:val="center"/>
        <w:ind w:right="-99"/>
        <w:spacing w:after="0"/>
        <w:rPr>
          <w:sz w:val="20"/>
          <w:szCs w:val="20"/>
          <w:color w:val="auto"/>
        </w:rPr>
      </w:pPr>
      <w:r>
        <w:rPr>
          <w:rFonts w:ascii="Arial" w:cs="Arial" w:eastAsia="Arial" w:hAnsi="Arial"/>
          <w:sz w:val="35"/>
          <w:szCs w:val="35"/>
          <w:b w:val="1"/>
          <w:bCs w:val="1"/>
          <w:color w:val="auto"/>
        </w:rPr>
        <w:t>AVIAT NETWORKS, INC.</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1009" w:right="33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2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20-5961564</w:t>
      </w:r>
    </w:p>
    <w:p>
      <w:pPr>
        <w:spacing w:after="0" w:line="55" w:lineRule="exact"/>
        <w:rPr>
          <w:sz w:val="24"/>
          <w:szCs w:val="24"/>
          <w:color w:val="auto"/>
        </w:rPr>
      </w:pPr>
    </w:p>
    <w:p>
      <w:pPr>
        <w:sectPr>
          <w:pgSz w:w="11900" w:h="16838" w:orient="portrait"/>
          <w:cols w:equalWidth="0" w:num="2">
            <w:col w:w="8100" w:space="720"/>
            <w:col w:w="2420"/>
          </w:cols>
          <w:pgMar w:left="320" w:top="1009" w:right="339" w:bottom="1440" w:gutter="0" w:footer="0" w:header="0"/>
          <w:type w:val="continuous"/>
        </w:sectPr>
      </w:pPr>
    </w:p>
    <w:p>
      <w:pPr>
        <w:ind w:left="92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07" w:lineRule="exact"/>
        <w:rPr>
          <w:sz w:val="24"/>
          <w:szCs w:val="24"/>
          <w:color w:val="auto"/>
        </w:rPr>
      </w:pPr>
    </w:p>
    <w:p>
      <w:pPr>
        <w:sectPr>
          <w:pgSz w:w="11900" w:h="16838" w:orient="portrait"/>
          <w:cols w:equalWidth="0" w:num="2">
            <w:col w:w="7320" w:space="720"/>
            <w:col w:w="3200"/>
          </w:cols>
          <w:pgMar w:left="320" w:top="1009" w:right="339" w:bottom="1440" w:gutter="0" w:footer="0" w:header="0"/>
          <w:type w:val="continuous"/>
        </w:sectPr>
      </w:pPr>
    </w:p>
    <w:p>
      <w:pPr>
        <w:jc w:val="center"/>
        <w:ind w:left="700"/>
        <w:spacing w:after="0"/>
        <w:rPr>
          <w:sz w:val="20"/>
          <w:szCs w:val="20"/>
          <w:color w:val="auto"/>
        </w:rPr>
      </w:pPr>
      <w:r>
        <w:rPr>
          <w:rFonts w:ascii="Arial" w:cs="Arial" w:eastAsia="Arial" w:hAnsi="Arial"/>
          <w:sz w:val="16"/>
          <w:szCs w:val="16"/>
          <w:b w:val="1"/>
          <w:bCs w:val="1"/>
          <w:color w:val="auto"/>
        </w:rPr>
        <w:t>200 Parker Drive, Suite C100A,</w:t>
      </w:r>
    </w:p>
    <w:p>
      <w:pPr>
        <w:spacing w:after="0" w:line="20" w:lineRule="exact"/>
        <w:rPr>
          <w:sz w:val="24"/>
          <w:szCs w:val="24"/>
          <w:color w:val="auto"/>
        </w:rPr>
      </w:pPr>
      <w:r>
        <w:rPr>
          <w:sz w:val="24"/>
          <w:szCs w:val="24"/>
          <w:color w:val="auto"/>
        </w:rPr>
        <w:br w:type="column"/>
      </w:r>
    </w:p>
    <w:p>
      <w:pPr>
        <w:spacing w:after="0"/>
        <w:tabs>
          <w:tab w:leader="none" w:pos="800" w:val="left"/>
        </w:tabs>
        <w:rPr>
          <w:sz w:val="20"/>
          <w:szCs w:val="20"/>
          <w:color w:val="auto"/>
        </w:rPr>
      </w:pPr>
      <w:r>
        <w:rPr>
          <w:rFonts w:ascii="Arial" w:cs="Arial" w:eastAsia="Arial" w:hAnsi="Arial"/>
          <w:sz w:val="14"/>
          <w:szCs w:val="14"/>
          <w:b w:val="1"/>
          <w:bCs w:val="1"/>
          <w:color w:val="auto"/>
        </w:rPr>
        <w:t>Austin,</w:t>
      </w:r>
      <w:r>
        <w:rPr>
          <w:sz w:val="20"/>
          <w:szCs w:val="20"/>
          <w:color w:val="auto"/>
        </w:rPr>
        <w:tab/>
      </w:r>
      <w:r>
        <w:rPr>
          <w:rFonts w:ascii="Arial" w:cs="Arial" w:eastAsia="Arial" w:hAnsi="Arial"/>
          <w:sz w:val="14"/>
          <w:szCs w:val="14"/>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78728</w:t>
      </w:r>
    </w:p>
    <w:p>
      <w:pPr>
        <w:spacing w:after="0" w:line="54" w:lineRule="exact"/>
        <w:rPr>
          <w:sz w:val="24"/>
          <w:szCs w:val="24"/>
          <w:color w:val="auto"/>
        </w:rPr>
      </w:pPr>
    </w:p>
    <w:p>
      <w:pPr>
        <w:sectPr>
          <w:pgSz w:w="11900" w:h="16838" w:orient="portrait"/>
          <w:cols w:equalWidth="0" w:num="3">
            <w:col w:w="3140" w:space="720"/>
            <w:col w:w="4440" w:space="720"/>
            <w:col w:w="2220"/>
          </w:cols>
          <w:pgMar w:left="320" w:top="1009" w:right="339" w:bottom="1440" w:gutter="0" w:footer="0" w:header="0"/>
          <w:type w:val="continuous"/>
        </w:sectPr>
      </w:pPr>
    </w:p>
    <w:p>
      <w:pPr>
        <w:ind w:left="164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6" w:lineRule="exact"/>
        <w:rPr>
          <w:sz w:val="24"/>
          <w:szCs w:val="24"/>
          <w:color w:val="auto"/>
        </w:rPr>
      </w:pPr>
    </w:p>
    <w:p>
      <w:pPr>
        <w:sectPr>
          <w:pgSz w:w="11900" w:h="16838" w:orient="portrait"/>
          <w:cols w:equalWidth="0" w:num="2">
            <w:col w:w="8140" w:space="720"/>
            <w:col w:w="2380"/>
          </w:cols>
          <w:pgMar w:left="320" w:top="1009"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(408) 941-7100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14"/>
          <w:szCs w:val="14"/>
          <w:color w:val="auto"/>
        </w:rPr>
        <w:t>__________________________</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Securities registered pursuant to Section 12(b) of the Act:</w:t>
      </w:r>
    </w:p>
    <w:p>
      <w:pPr>
        <w:sectPr>
          <w:pgSz w:w="11900" w:h="16838" w:orient="portrait"/>
          <w:cols w:equalWidth="0" w:num="1">
            <w:col w:w="11240"/>
          </w:cols>
          <w:pgMar w:left="320" w:top="1009" w:right="339" w:bottom="1440" w:gutter="0" w:footer="0" w:header="0"/>
          <w:type w:val="continuous"/>
        </w:sectPr>
      </w:pPr>
    </w:p>
    <w:p>
      <w:pPr>
        <w:spacing w:after="0" w:line="266" w:lineRule="exact"/>
        <w:rPr>
          <w:sz w:val="24"/>
          <w:szCs w:val="24"/>
          <w:color w:val="auto"/>
        </w:rPr>
      </w:pPr>
    </w:p>
    <w:p>
      <w:pPr>
        <w:jc w:val="center"/>
        <w:ind w:right="280"/>
        <w:spacing w:after="0"/>
        <w:rPr>
          <w:sz w:val="20"/>
          <w:szCs w:val="20"/>
          <w:color w:val="auto"/>
        </w:rPr>
      </w:pPr>
      <w:r>
        <w:rPr>
          <w:rFonts w:ascii="Arial" w:cs="Arial" w:eastAsia="Arial" w:hAnsi="Arial"/>
          <w:sz w:val="15"/>
          <w:szCs w:val="15"/>
          <w:b w:val="1"/>
          <w:bCs w:val="1"/>
          <w:color w:val="auto"/>
        </w:rPr>
        <w:t>Title of each class</w:t>
      </w:r>
    </w:p>
    <w:p>
      <w:pPr>
        <w:spacing w:after="0" w:line="56" w:lineRule="exact"/>
        <w:rPr>
          <w:sz w:val="24"/>
          <w:szCs w:val="24"/>
          <w:color w:val="auto"/>
        </w:rPr>
      </w:pPr>
    </w:p>
    <w:p>
      <w:pPr>
        <w:jc w:val="center"/>
        <w:ind w:right="280"/>
        <w:spacing w:after="0"/>
        <w:rPr>
          <w:sz w:val="20"/>
          <w:szCs w:val="20"/>
          <w:color w:val="auto"/>
        </w:rPr>
      </w:pPr>
      <w:r>
        <w:rPr>
          <w:rFonts w:ascii="Arial" w:cs="Arial" w:eastAsia="Arial" w:hAnsi="Arial"/>
          <w:sz w:val="17"/>
          <w:szCs w:val="17"/>
          <w:color w:val="auto"/>
        </w:rPr>
        <w:t>Common Stock</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jc w:val="center"/>
        <w:ind w:right="880"/>
        <w:spacing w:after="0"/>
        <w:rPr>
          <w:sz w:val="20"/>
          <w:szCs w:val="20"/>
          <w:color w:val="auto"/>
        </w:rPr>
      </w:pPr>
      <w:r>
        <w:rPr>
          <w:rFonts w:ascii="Arial" w:cs="Arial" w:eastAsia="Arial" w:hAnsi="Arial"/>
          <w:sz w:val="15"/>
          <w:szCs w:val="15"/>
          <w:b w:val="1"/>
          <w:bCs w:val="1"/>
          <w:color w:val="auto"/>
        </w:rPr>
        <w:t>Trading Symbol(s)</w:t>
      </w:r>
    </w:p>
    <w:p>
      <w:pPr>
        <w:spacing w:after="0" w:line="56" w:lineRule="exact"/>
        <w:rPr>
          <w:sz w:val="24"/>
          <w:szCs w:val="24"/>
          <w:color w:val="auto"/>
        </w:rPr>
      </w:pPr>
    </w:p>
    <w:p>
      <w:pPr>
        <w:jc w:val="center"/>
        <w:ind w:right="880"/>
        <w:spacing w:after="0"/>
        <w:rPr>
          <w:sz w:val="20"/>
          <w:szCs w:val="20"/>
          <w:color w:val="auto"/>
        </w:rPr>
      </w:pPr>
      <w:r>
        <w:rPr>
          <w:rFonts w:ascii="Arial" w:cs="Arial" w:eastAsia="Arial" w:hAnsi="Arial"/>
          <w:sz w:val="17"/>
          <w:szCs w:val="17"/>
          <w:color w:val="auto"/>
        </w:rPr>
        <w:t>AVNW</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6"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The Nasdaq Global Select Market</w:t>
      </w:r>
    </w:p>
    <w:p>
      <w:pPr>
        <w:spacing w:after="0" w:line="200" w:lineRule="exact"/>
        <w:rPr>
          <w:sz w:val="24"/>
          <w:szCs w:val="24"/>
          <w:color w:val="auto"/>
        </w:rPr>
      </w:pPr>
    </w:p>
    <w:p>
      <w:pPr>
        <w:sectPr>
          <w:pgSz w:w="11900" w:h="16838" w:orient="portrait"/>
          <w:cols w:equalWidth="0" w:num="3">
            <w:col w:w="3680" w:space="720"/>
            <w:col w:w="2260" w:space="720"/>
            <w:col w:w="3860"/>
          </w:cols>
          <w:pgMar w:left="320" w:top="1009" w:right="339" w:bottom="1440" w:gutter="0" w:footer="0" w:header="0"/>
          <w:type w:val="continuous"/>
        </w:sectPr>
      </w:pPr>
    </w:p>
    <w:p>
      <w:pPr>
        <w:spacing w:after="0" w:line="23"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340" w:type="dxa"/>
            <w:vAlign w:val="bottom"/>
          </w:tcPr>
          <w:p>
            <w:pPr>
              <w:ind w:left="20"/>
              <w:spacing w:after="0"/>
              <w:rPr>
                <w:sz w:val="20"/>
                <w:szCs w:val="20"/>
                <w:color w:val="auto"/>
              </w:rPr>
            </w:pPr>
            <w:r>
              <w:rPr>
                <w:rFonts w:ascii="Arial" w:cs="Arial" w:eastAsia="Arial" w:hAnsi="Arial"/>
                <w:sz w:val="17"/>
                <w:szCs w:val="17"/>
                <w:color w:val="auto"/>
              </w:rPr>
              <w:t>Large accelerated filer</w:t>
            </w:r>
          </w:p>
        </w:tc>
        <w:tc>
          <w:tcPr>
            <w:tcW w:w="29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900" w:type="dxa"/>
            <w:vAlign w:val="bottom"/>
          </w:tcPr>
          <w:p>
            <w:pPr>
              <w:ind w:left="2400"/>
              <w:spacing w:after="0"/>
              <w:rPr>
                <w:sz w:val="20"/>
                <w:szCs w:val="20"/>
                <w:color w:val="auto"/>
              </w:rPr>
            </w:pPr>
            <w:r>
              <w:rPr>
                <w:rFonts w:ascii="Arial" w:cs="Arial" w:eastAsia="Arial" w:hAnsi="Arial"/>
                <w:sz w:val="17"/>
                <w:szCs w:val="17"/>
                <w:color w:val="auto"/>
              </w:rPr>
              <w:t>Accelerated filer</w:t>
            </w:r>
          </w:p>
        </w:tc>
        <w:tc>
          <w:tcPr>
            <w:tcW w:w="10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r>
      <w:tr>
        <w:trPr>
          <w:trHeight w:val="222"/>
        </w:trPr>
        <w:tc>
          <w:tcPr>
            <w:tcW w:w="2340" w:type="dxa"/>
            <w:vAlign w:val="bottom"/>
          </w:tcPr>
          <w:p>
            <w:pPr>
              <w:ind w:left="20"/>
              <w:spacing w:after="0"/>
              <w:rPr>
                <w:sz w:val="20"/>
                <w:szCs w:val="20"/>
                <w:color w:val="auto"/>
              </w:rPr>
            </w:pPr>
            <w:r>
              <w:rPr>
                <w:rFonts w:ascii="Arial" w:cs="Arial" w:eastAsia="Arial" w:hAnsi="Arial"/>
                <w:sz w:val="17"/>
                <w:szCs w:val="17"/>
                <w:color w:val="auto"/>
              </w:rPr>
              <w:t>Non-accelerated filer</w:t>
            </w:r>
          </w:p>
        </w:tc>
        <w:tc>
          <w:tcPr>
            <w:tcW w:w="29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900" w:type="dxa"/>
            <w:vAlign w:val="bottom"/>
          </w:tcPr>
          <w:p>
            <w:pPr>
              <w:ind w:left="2400"/>
              <w:spacing w:after="0"/>
              <w:rPr>
                <w:sz w:val="20"/>
                <w:szCs w:val="20"/>
                <w:color w:val="auto"/>
              </w:rPr>
            </w:pPr>
            <w:r>
              <w:rPr>
                <w:rFonts w:ascii="Arial" w:cs="Arial" w:eastAsia="Arial" w:hAnsi="Arial"/>
                <w:sz w:val="17"/>
                <w:szCs w:val="17"/>
                <w:color w:val="auto"/>
              </w:rPr>
              <w:t>Smaller reporting company</w:t>
            </w:r>
          </w:p>
        </w:tc>
        <w:tc>
          <w:tcPr>
            <w:tcW w:w="10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r>
      <w:tr>
        <w:trPr>
          <w:trHeight w:val="274"/>
        </w:trPr>
        <w:tc>
          <w:tcPr>
            <w:tcW w:w="2340" w:type="dxa"/>
            <w:vAlign w:val="bottom"/>
          </w:tcPr>
          <w:p>
            <w:pPr>
              <w:ind w:left="20"/>
              <w:spacing w:after="0"/>
              <w:rPr>
                <w:sz w:val="20"/>
                <w:szCs w:val="20"/>
                <w:color w:val="auto"/>
              </w:rPr>
            </w:pPr>
            <w:r>
              <w:rPr>
                <w:rFonts w:ascii="Arial" w:cs="Arial" w:eastAsia="Arial" w:hAnsi="Arial"/>
                <w:sz w:val="17"/>
                <w:szCs w:val="17"/>
                <w:color w:val="auto"/>
              </w:rPr>
              <w:t>Emerging growth company</w:t>
            </w:r>
          </w:p>
        </w:tc>
        <w:tc>
          <w:tcPr>
            <w:tcW w:w="29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9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673"/>
        </w:trPr>
        <w:tc>
          <w:tcPr>
            <w:tcW w:w="2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2340" w:type="dxa"/>
            <w:vAlign w:val="bottom"/>
            <w:tcBorders>
              <w:bottom w:val="single" w:sz="8" w:color="9A9A9A"/>
            </w:tcBorders>
          </w:tcPr>
          <w:p>
            <w:pPr>
              <w:spacing w:after="0"/>
              <w:rPr>
                <w:sz w:val="15"/>
                <w:szCs w:val="15"/>
                <w:color w:val="auto"/>
              </w:rPr>
            </w:pPr>
          </w:p>
        </w:tc>
        <w:tc>
          <w:tcPr>
            <w:tcW w:w="2960" w:type="dxa"/>
            <w:vAlign w:val="bottom"/>
            <w:tcBorders>
              <w:bottom w:val="single" w:sz="8" w:color="9A9A9A"/>
            </w:tcBorders>
          </w:tcPr>
          <w:p>
            <w:pPr>
              <w:spacing w:after="0"/>
              <w:rPr>
                <w:sz w:val="15"/>
                <w:szCs w:val="15"/>
                <w:color w:val="auto"/>
              </w:rPr>
            </w:pPr>
          </w:p>
        </w:tc>
        <w:tc>
          <w:tcPr>
            <w:tcW w:w="49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type w:val="continuous"/>
        </w:sectPr>
      </w:pPr>
    </w:p>
    <w:bookmarkStart w:id="1" w:name="page2"/>
    <w:bookmarkEnd w:id="1"/>
    <w:p>
      <w:pPr>
        <w:spacing w:after="0" w:line="225" w:lineRule="exact"/>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280035</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304800</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8255"/>
                    </a:xfrm>
                    <a:prstGeom prst="rect">
                      <a:avLst/>
                    </a:prstGeom>
                    <a:noFill/>
                  </pic:spPr>
                </pic:pic>
              </a:graphicData>
            </a:graphic>
          </wp:anchor>
        </w:drawing>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0"/>
          <w:szCs w:val="20"/>
          <w:color w:val="auto"/>
        </w:rPr>
      </w:pPr>
    </w:p>
    <w:p>
      <w:pPr>
        <w:ind w:right="2020"/>
        <w:spacing w:after="0" w:line="28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outstanding of the registrant’s Common Stock as of January 28, 2022 was 11,201,296.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527050</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390525</wp:posOffset>
            </wp:positionV>
            <wp:extent cx="7136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415290</wp:posOffset>
            </wp:positionV>
            <wp:extent cx="7136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7"/>
          <w:szCs w:val="17"/>
          <w:b w:val="1"/>
          <w:bCs w:val="1"/>
          <w:color w:val="auto"/>
        </w:rPr>
        <w:t>AVIAT NETWORKS, INC.</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QUARTERLY REPORT ON FORM 10-Q</w:t>
      </w:r>
    </w:p>
    <w:p>
      <w:pPr>
        <w:spacing w:after="0" w:line="9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Quarterly Period Ended December 31, 2021</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of Contents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tcBorders>
              <w:bottom w:val="single" w:sz="8" w:color="CCEEFF"/>
            </w:tcBorders>
          </w:tcPr>
          <w:p>
            <w:pPr>
              <w:spacing w:after="0"/>
              <w:rPr>
                <w:sz w:val="16"/>
                <w:szCs w:val="16"/>
                <w:color w:val="auto"/>
              </w:rPr>
            </w:pPr>
          </w:p>
        </w:tc>
        <w:tc>
          <w:tcPr>
            <w:tcW w:w="92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Page</w:t>
            </w:r>
          </w:p>
        </w:tc>
      </w:tr>
      <w:tr>
        <w:trPr>
          <w:trHeight w:val="220"/>
        </w:trPr>
        <w:tc>
          <w:tcPr>
            <w:tcW w:w="10240" w:type="dxa"/>
            <w:vAlign w:val="bottom"/>
            <w:gridSpan w:val="2"/>
            <w:shd w:val="clear" w:color="auto" w:fill="CCEEFF"/>
          </w:tcPr>
          <w:p>
            <w:pPr>
              <w:spacing w:after="0"/>
              <w:rPr>
                <w:rFonts w:ascii="Arial" w:cs="Arial" w:eastAsia="Arial" w:hAnsi="Arial"/>
                <w:sz w:val="17"/>
                <w:szCs w:val="17"/>
                <w:b w:val="1"/>
                <w:bCs w:val="1"/>
                <w:color w:val="0000FF"/>
              </w:rPr>
            </w:pPr>
            <w:hyperlink w:anchor="page3">
              <w:r>
                <w:rPr>
                  <w:rFonts w:ascii="Arial" w:cs="Arial" w:eastAsia="Arial" w:hAnsi="Arial"/>
                  <w:sz w:val="17"/>
                  <w:szCs w:val="17"/>
                  <w:b w:val="1"/>
                  <w:bCs w:val="1"/>
                  <w:color w:val="0000FF"/>
                </w:rPr>
                <w:t>Part I. Financial Information</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4</w:t>
              </w:r>
            </w:hyperlink>
          </w:p>
        </w:tc>
      </w:tr>
      <w:tr>
        <w:trPr>
          <w:trHeight w:val="222"/>
        </w:trPr>
        <w:tc>
          <w:tcPr>
            <w:tcW w:w="10240" w:type="dxa"/>
            <w:vAlign w:val="bottom"/>
            <w:gridSpan w:val="2"/>
          </w:tcPr>
          <w:p>
            <w:pPr>
              <w:ind w:left="320"/>
              <w:spacing w:after="0"/>
              <w:rPr>
                <w:rFonts w:ascii="Arial" w:cs="Arial" w:eastAsia="Arial" w:hAnsi="Arial"/>
                <w:sz w:val="17"/>
                <w:szCs w:val="17"/>
                <w:color w:val="0000FF"/>
              </w:rPr>
            </w:pPr>
            <w:hyperlink w:anchor="page3">
              <w:r>
                <w:rPr>
                  <w:rFonts w:ascii="Arial" w:cs="Arial" w:eastAsia="Arial" w:hAnsi="Arial"/>
                  <w:sz w:val="17"/>
                  <w:szCs w:val="17"/>
                  <w:color w:val="0000FF"/>
                </w:rPr>
                <w:t>Item 1. Financial Statements</w:t>
              </w:r>
            </w:hyperlink>
          </w:p>
        </w:tc>
        <w:tc>
          <w:tcPr>
            <w:tcW w:w="580" w:type="dxa"/>
            <w:vAlign w:val="bottom"/>
          </w:tcPr>
          <w:p>
            <w:pPr>
              <w:jc w:val="right"/>
              <w:spacing w:after="0"/>
              <w:rPr>
                <w:rFonts w:ascii="Arial" w:cs="Arial" w:eastAsia="Arial" w:hAnsi="Arial"/>
                <w:sz w:val="17"/>
                <w:szCs w:val="17"/>
                <w:color w:val="0000FF"/>
              </w:rPr>
            </w:pPr>
            <w:hyperlink w:anchor="page4">
              <w:r>
                <w:rPr>
                  <w:rFonts w:ascii="Arial" w:cs="Arial" w:eastAsia="Arial" w:hAnsi="Arial"/>
                  <w:sz w:val="17"/>
                  <w:szCs w:val="17"/>
                  <w:color w:val="0000FF"/>
                </w:rPr>
                <w:t>5</w:t>
              </w:r>
            </w:hyperlink>
          </w:p>
        </w:tc>
      </w:tr>
      <w:tr>
        <w:trPr>
          <w:trHeight w:val="222"/>
        </w:trPr>
        <w:tc>
          <w:tcPr>
            <w:tcW w:w="10240" w:type="dxa"/>
            <w:vAlign w:val="bottom"/>
            <w:gridSpan w:val="2"/>
            <w:shd w:val="clear" w:color="auto" w:fill="CCEEFF"/>
          </w:tcPr>
          <w:p>
            <w:pPr>
              <w:ind w:left="320"/>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Balance Sheets (Unaudited)</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5</w:t>
              </w:r>
            </w:hyperlink>
          </w:p>
        </w:tc>
      </w:tr>
      <w:tr>
        <w:trPr>
          <w:trHeight w:val="222"/>
        </w:trPr>
        <w:tc>
          <w:tcPr>
            <w:tcW w:w="10240" w:type="dxa"/>
            <w:vAlign w:val="bottom"/>
            <w:gridSpan w:val="2"/>
          </w:tcPr>
          <w:p>
            <w:pPr>
              <w:ind w:left="320"/>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Operations (Unaudited)</w:t>
              </w:r>
            </w:hyperlink>
          </w:p>
        </w:tc>
        <w:tc>
          <w:tcPr>
            <w:tcW w:w="580" w:type="dxa"/>
            <w:vAlign w:val="bottom"/>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6</w:t>
              </w:r>
            </w:hyperlink>
          </w:p>
        </w:tc>
      </w:tr>
      <w:tr>
        <w:trPr>
          <w:trHeight w:val="222"/>
        </w:trPr>
        <w:tc>
          <w:tcPr>
            <w:tcW w:w="10240" w:type="dxa"/>
            <w:vAlign w:val="bottom"/>
            <w:gridSpan w:val="2"/>
            <w:shd w:val="clear" w:color="auto" w:fill="CCEEFF"/>
          </w:tcPr>
          <w:p>
            <w:pPr>
              <w:ind w:left="340"/>
              <w:spacing w:after="0"/>
              <w:rPr>
                <w:rFonts w:ascii="Arial" w:cs="Arial" w:eastAsia="Arial" w:hAnsi="Arial"/>
                <w:sz w:val="17"/>
                <w:szCs w:val="17"/>
                <w:color w:val="0000FF"/>
              </w:rPr>
            </w:pPr>
            <w:hyperlink w:anchor="page6">
              <w:r>
                <w:rPr>
                  <w:rFonts w:ascii="Arial" w:cs="Arial" w:eastAsia="Arial" w:hAnsi="Arial"/>
                  <w:sz w:val="17"/>
                  <w:szCs w:val="17"/>
                  <w:color w:val="0000FF"/>
                </w:rPr>
                <w:t>Condensed Consolidated Statements of Comprehensive Income (Loss) (Unaudited)</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7</w:t>
              </w:r>
            </w:hyperlink>
          </w:p>
        </w:tc>
      </w:tr>
      <w:tr>
        <w:trPr>
          <w:trHeight w:val="222"/>
        </w:trPr>
        <w:tc>
          <w:tcPr>
            <w:tcW w:w="10240" w:type="dxa"/>
            <w:vAlign w:val="bottom"/>
            <w:gridSpan w:val="2"/>
          </w:tcPr>
          <w:p>
            <w:pPr>
              <w:ind w:left="320"/>
              <w:spacing w:after="0"/>
              <w:rPr>
                <w:rFonts w:ascii="Arial" w:cs="Arial" w:eastAsia="Arial" w:hAnsi="Arial"/>
                <w:sz w:val="17"/>
                <w:szCs w:val="17"/>
                <w:color w:val="0000FF"/>
              </w:rPr>
            </w:pPr>
            <w:hyperlink w:anchor="page7">
              <w:r>
                <w:rPr>
                  <w:rFonts w:ascii="Arial" w:cs="Arial" w:eastAsia="Arial" w:hAnsi="Arial"/>
                  <w:sz w:val="17"/>
                  <w:szCs w:val="17"/>
                  <w:color w:val="0000FF"/>
                </w:rPr>
                <w:t>Condensed Consolidated Statements of Cash Flows (Unaudited)</w:t>
              </w:r>
            </w:hyperlink>
          </w:p>
        </w:tc>
        <w:tc>
          <w:tcPr>
            <w:tcW w:w="580" w:type="dxa"/>
            <w:vAlign w:val="bottom"/>
          </w:tcPr>
          <w:p>
            <w:pPr>
              <w:jc w:val="right"/>
              <w:spacing w:after="0"/>
              <w:rPr>
                <w:rFonts w:ascii="Arial" w:cs="Arial" w:eastAsia="Arial" w:hAnsi="Arial"/>
                <w:sz w:val="17"/>
                <w:szCs w:val="17"/>
                <w:color w:val="0000FF"/>
              </w:rPr>
            </w:pPr>
            <w:hyperlink w:anchor="page7">
              <w:r>
                <w:rPr>
                  <w:rFonts w:ascii="Arial" w:cs="Arial" w:eastAsia="Arial" w:hAnsi="Arial"/>
                  <w:sz w:val="17"/>
                  <w:szCs w:val="17"/>
                  <w:color w:val="0000FF"/>
                </w:rPr>
                <w:t>8</w:t>
              </w:r>
            </w:hyperlink>
          </w:p>
        </w:tc>
      </w:tr>
      <w:tr>
        <w:trPr>
          <w:trHeight w:val="222"/>
        </w:trPr>
        <w:tc>
          <w:tcPr>
            <w:tcW w:w="10240" w:type="dxa"/>
            <w:vAlign w:val="bottom"/>
            <w:gridSpan w:val="2"/>
            <w:shd w:val="clear" w:color="auto" w:fill="CCEEFF"/>
          </w:tcPr>
          <w:p>
            <w:pPr>
              <w:ind w:left="320"/>
              <w:spacing w:after="0"/>
              <w:rPr>
                <w:rFonts w:ascii="Arial" w:cs="Arial" w:eastAsia="Arial" w:hAnsi="Arial"/>
                <w:sz w:val="17"/>
                <w:szCs w:val="17"/>
                <w:color w:val="0000FF"/>
              </w:rPr>
            </w:pPr>
            <w:hyperlink w:anchor="page8">
              <w:r>
                <w:rPr>
                  <w:rFonts w:ascii="Arial" w:cs="Arial" w:eastAsia="Arial" w:hAnsi="Arial"/>
                  <w:sz w:val="17"/>
                  <w:szCs w:val="17"/>
                  <w:color w:val="0000FF"/>
                </w:rPr>
                <w:t>Condensed Consolidated Statements of Equity (Unaudited)</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8">
              <w:r>
                <w:rPr>
                  <w:rFonts w:ascii="Arial" w:cs="Arial" w:eastAsia="Arial" w:hAnsi="Arial"/>
                  <w:sz w:val="17"/>
                  <w:szCs w:val="17"/>
                  <w:color w:val="0000FF"/>
                </w:rPr>
                <w:t>9</w:t>
              </w:r>
            </w:hyperlink>
          </w:p>
        </w:tc>
      </w:tr>
      <w:tr>
        <w:trPr>
          <w:trHeight w:val="222"/>
        </w:trPr>
        <w:tc>
          <w:tcPr>
            <w:tcW w:w="10240" w:type="dxa"/>
            <w:vAlign w:val="bottom"/>
            <w:gridSpan w:val="2"/>
          </w:tcPr>
          <w:p>
            <w:pPr>
              <w:ind w:left="320"/>
              <w:spacing w:after="0"/>
              <w:rPr>
                <w:rFonts w:ascii="Arial" w:cs="Arial" w:eastAsia="Arial" w:hAnsi="Arial"/>
                <w:sz w:val="17"/>
                <w:szCs w:val="17"/>
                <w:color w:val="0000FF"/>
              </w:rPr>
            </w:pPr>
            <w:hyperlink w:anchor="page10">
              <w:r>
                <w:rPr>
                  <w:rFonts w:ascii="Arial" w:cs="Arial" w:eastAsia="Arial" w:hAnsi="Arial"/>
                  <w:sz w:val="17"/>
                  <w:szCs w:val="17"/>
                  <w:color w:val="0000FF"/>
                </w:rPr>
                <w:t>Notes to Condensed Consolidated Financial Statements (Unaudited)</w:t>
              </w:r>
            </w:hyperlink>
          </w:p>
        </w:tc>
        <w:tc>
          <w:tcPr>
            <w:tcW w:w="580" w:type="dxa"/>
            <w:vAlign w:val="bottom"/>
          </w:tcPr>
          <w:p>
            <w:pPr>
              <w:jc w:val="right"/>
              <w:spacing w:after="0"/>
              <w:rPr>
                <w:rFonts w:ascii="Arial" w:cs="Arial" w:eastAsia="Arial" w:hAnsi="Arial"/>
                <w:sz w:val="17"/>
                <w:szCs w:val="17"/>
                <w:color w:val="0000FF"/>
              </w:rPr>
            </w:pPr>
            <w:hyperlink w:anchor="page10">
              <w:r>
                <w:rPr>
                  <w:rFonts w:ascii="Arial" w:cs="Arial" w:eastAsia="Arial" w:hAnsi="Arial"/>
                  <w:sz w:val="17"/>
                  <w:szCs w:val="17"/>
                  <w:color w:val="0000FF"/>
                </w:rPr>
                <w:t>11</w:t>
              </w:r>
            </w:hyperlink>
          </w:p>
        </w:tc>
      </w:tr>
      <w:tr>
        <w:trPr>
          <w:trHeight w:val="222"/>
        </w:trPr>
        <w:tc>
          <w:tcPr>
            <w:tcW w:w="10240" w:type="dxa"/>
            <w:vAlign w:val="bottom"/>
            <w:gridSpan w:val="2"/>
            <w:shd w:val="clear" w:color="auto" w:fill="CCEEFF"/>
          </w:tcPr>
          <w:p>
            <w:pPr>
              <w:ind w:left="320"/>
              <w:spacing w:after="0"/>
              <w:rPr>
                <w:rFonts w:ascii="Arial" w:cs="Arial" w:eastAsia="Arial" w:hAnsi="Arial"/>
                <w:sz w:val="17"/>
                <w:szCs w:val="17"/>
                <w:color w:val="0000FF"/>
              </w:rPr>
            </w:pPr>
            <w:hyperlink w:anchor="page23">
              <w:r>
                <w:rPr>
                  <w:rFonts w:ascii="Arial" w:cs="Arial" w:eastAsia="Arial" w:hAnsi="Arial"/>
                  <w:sz w:val="17"/>
                  <w:szCs w:val="17"/>
                  <w:color w:val="0000FF"/>
                </w:rPr>
                <w:t>Item 2. Management’s Discussion and Analysis of Financial Condition and Results of Operations</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23">
              <w:r>
                <w:rPr>
                  <w:rFonts w:ascii="Arial" w:cs="Arial" w:eastAsia="Arial" w:hAnsi="Arial"/>
                  <w:sz w:val="17"/>
                  <w:szCs w:val="17"/>
                  <w:color w:val="0000FF"/>
                </w:rPr>
                <w:t>24</w:t>
              </w:r>
            </w:hyperlink>
          </w:p>
        </w:tc>
      </w:tr>
      <w:tr>
        <w:trPr>
          <w:trHeight w:val="222"/>
        </w:trPr>
        <w:tc>
          <w:tcPr>
            <w:tcW w:w="10240" w:type="dxa"/>
            <w:vAlign w:val="bottom"/>
            <w:gridSpan w:val="2"/>
          </w:tcPr>
          <w:p>
            <w:pPr>
              <w:ind w:left="320"/>
              <w:spacing w:after="0"/>
              <w:rPr>
                <w:rFonts w:ascii="Arial" w:cs="Arial" w:eastAsia="Arial" w:hAnsi="Arial"/>
                <w:sz w:val="17"/>
                <w:szCs w:val="17"/>
                <w:color w:val="0000FF"/>
              </w:rPr>
            </w:pPr>
            <w:hyperlink w:anchor="page32">
              <w:r>
                <w:rPr>
                  <w:rFonts w:ascii="Arial" w:cs="Arial" w:eastAsia="Arial" w:hAnsi="Arial"/>
                  <w:sz w:val="17"/>
                  <w:szCs w:val="17"/>
                  <w:color w:val="0000FF"/>
                </w:rPr>
                <w:t>Item 3. Quantitative and Qualitative Disclosures About Market Risk</w:t>
              </w:r>
            </w:hyperlink>
          </w:p>
        </w:tc>
        <w:tc>
          <w:tcPr>
            <w:tcW w:w="580" w:type="dxa"/>
            <w:vAlign w:val="bottom"/>
          </w:tcPr>
          <w:p>
            <w:pPr>
              <w:jc w:val="right"/>
              <w:spacing w:after="0"/>
              <w:rPr>
                <w:rFonts w:ascii="Arial" w:cs="Arial" w:eastAsia="Arial" w:hAnsi="Arial"/>
                <w:sz w:val="17"/>
                <w:szCs w:val="17"/>
                <w:color w:val="0000FF"/>
              </w:rPr>
            </w:pPr>
            <w:hyperlink w:anchor="page32">
              <w:r>
                <w:rPr>
                  <w:rFonts w:ascii="Arial" w:cs="Arial" w:eastAsia="Arial" w:hAnsi="Arial"/>
                  <w:sz w:val="17"/>
                  <w:szCs w:val="17"/>
                  <w:color w:val="0000FF"/>
                </w:rPr>
                <w:t>32</w:t>
              </w:r>
            </w:hyperlink>
          </w:p>
        </w:tc>
      </w:tr>
      <w:tr>
        <w:trPr>
          <w:trHeight w:val="222"/>
        </w:trPr>
        <w:tc>
          <w:tcPr>
            <w:tcW w:w="10240" w:type="dxa"/>
            <w:vAlign w:val="bottom"/>
            <w:gridSpan w:val="2"/>
            <w:shd w:val="clear" w:color="auto" w:fill="CCEEFF"/>
          </w:tcPr>
          <w:p>
            <w:pPr>
              <w:ind w:left="320"/>
              <w:spacing w:after="0"/>
              <w:rPr>
                <w:rFonts w:ascii="Arial" w:cs="Arial" w:eastAsia="Arial" w:hAnsi="Arial"/>
                <w:sz w:val="17"/>
                <w:szCs w:val="17"/>
                <w:color w:val="0000FF"/>
              </w:rPr>
            </w:pPr>
            <w:hyperlink w:anchor="page33">
              <w:r>
                <w:rPr>
                  <w:rFonts w:ascii="Arial" w:cs="Arial" w:eastAsia="Arial" w:hAnsi="Arial"/>
                  <w:sz w:val="17"/>
                  <w:szCs w:val="17"/>
                  <w:color w:val="0000FF"/>
                </w:rPr>
                <w:t>Item 4. Controls and Procedures</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r>
      <w:tr>
        <w:trPr>
          <w:trHeight w:val="222"/>
        </w:trPr>
        <w:tc>
          <w:tcPr>
            <w:tcW w:w="10240" w:type="dxa"/>
            <w:vAlign w:val="bottom"/>
            <w:gridSpan w:val="2"/>
          </w:tcPr>
          <w:p>
            <w:pPr>
              <w:spacing w:after="0"/>
              <w:rPr>
                <w:rFonts w:ascii="Arial" w:cs="Arial" w:eastAsia="Arial" w:hAnsi="Arial"/>
                <w:sz w:val="17"/>
                <w:szCs w:val="17"/>
                <w:b w:val="1"/>
                <w:bCs w:val="1"/>
                <w:color w:val="0000FF"/>
              </w:rPr>
            </w:pPr>
            <w:hyperlink w:anchor="page33">
              <w:r>
                <w:rPr>
                  <w:rFonts w:ascii="Arial" w:cs="Arial" w:eastAsia="Arial" w:hAnsi="Arial"/>
                  <w:sz w:val="17"/>
                  <w:szCs w:val="17"/>
                  <w:b w:val="1"/>
                  <w:bCs w:val="1"/>
                  <w:color w:val="0000FF"/>
                </w:rPr>
                <w:t>Part II. Other Information</w:t>
              </w:r>
            </w:hyperlink>
          </w:p>
        </w:tc>
        <w:tc>
          <w:tcPr>
            <w:tcW w:w="580" w:type="dxa"/>
            <w:vAlign w:val="bottom"/>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34</w:t>
              </w:r>
            </w:hyperlink>
          </w:p>
        </w:tc>
      </w:tr>
      <w:tr>
        <w:trPr>
          <w:trHeight w:val="222"/>
        </w:trPr>
        <w:tc>
          <w:tcPr>
            <w:tcW w:w="10240" w:type="dxa"/>
            <w:vAlign w:val="bottom"/>
            <w:gridSpan w:val="2"/>
            <w:shd w:val="clear" w:color="auto" w:fill="CCEEFF"/>
          </w:tcPr>
          <w:p>
            <w:pPr>
              <w:ind w:left="320"/>
              <w:spacing w:after="0"/>
              <w:rPr>
                <w:rFonts w:ascii="Arial" w:cs="Arial" w:eastAsia="Arial" w:hAnsi="Arial"/>
                <w:sz w:val="17"/>
                <w:szCs w:val="17"/>
                <w:color w:val="0000FF"/>
              </w:rPr>
            </w:pPr>
            <w:hyperlink w:anchor="page34">
              <w:r>
                <w:rPr>
                  <w:rFonts w:ascii="Arial" w:cs="Arial" w:eastAsia="Arial" w:hAnsi="Arial"/>
                  <w:sz w:val="17"/>
                  <w:szCs w:val="17"/>
                  <w:color w:val="0000FF"/>
                </w:rPr>
                <w:t>Item 1. Legal Proceedings</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34">
              <w:r>
                <w:rPr>
                  <w:rFonts w:ascii="Arial" w:cs="Arial" w:eastAsia="Arial" w:hAnsi="Arial"/>
                  <w:sz w:val="17"/>
                  <w:szCs w:val="17"/>
                  <w:color w:val="0000FF"/>
                </w:rPr>
                <w:t>34</w:t>
              </w:r>
            </w:hyperlink>
          </w:p>
        </w:tc>
      </w:tr>
      <w:tr>
        <w:trPr>
          <w:trHeight w:val="222"/>
        </w:trPr>
        <w:tc>
          <w:tcPr>
            <w:tcW w:w="10240" w:type="dxa"/>
            <w:vAlign w:val="bottom"/>
            <w:gridSpan w:val="2"/>
          </w:tcPr>
          <w:p>
            <w:pPr>
              <w:ind w:left="320"/>
              <w:spacing w:after="0"/>
              <w:rPr>
                <w:rFonts w:ascii="Arial" w:cs="Arial" w:eastAsia="Arial" w:hAnsi="Arial"/>
                <w:sz w:val="17"/>
                <w:szCs w:val="17"/>
                <w:color w:val="0000FF"/>
              </w:rPr>
            </w:pPr>
            <w:hyperlink w:anchor="page34">
              <w:r>
                <w:rPr>
                  <w:rFonts w:ascii="Arial" w:cs="Arial" w:eastAsia="Arial" w:hAnsi="Arial"/>
                  <w:sz w:val="17"/>
                  <w:szCs w:val="17"/>
                  <w:color w:val="0000FF"/>
                </w:rPr>
                <w:t>Item 1A. Risk Factors</w:t>
              </w:r>
            </w:hyperlink>
          </w:p>
        </w:tc>
        <w:tc>
          <w:tcPr>
            <w:tcW w:w="580" w:type="dxa"/>
            <w:vAlign w:val="bottom"/>
          </w:tcPr>
          <w:p>
            <w:pPr>
              <w:jc w:val="right"/>
              <w:spacing w:after="0"/>
              <w:rPr>
                <w:rFonts w:ascii="Arial" w:cs="Arial" w:eastAsia="Arial" w:hAnsi="Arial"/>
                <w:sz w:val="17"/>
                <w:szCs w:val="17"/>
                <w:color w:val="0000FF"/>
              </w:rPr>
            </w:pPr>
            <w:hyperlink w:anchor="page34">
              <w:r>
                <w:rPr>
                  <w:rFonts w:ascii="Arial" w:cs="Arial" w:eastAsia="Arial" w:hAnsi="Arial"/>
                  <w:sz w:val="17"/>
                  <w:szCs w:val="17"/>
                  <w:color w:val="0000FF"/>
                </w:rPr>
                <w:t>34</w:t>
              </w:r>
            </w:hyperlink>
          </w:p>
        </w:tc>
      </w:tr>
      <w:tr>
        <w:trPr>
          <w:trHeight w:val="222"/>
        </w:trPr>
        <w:tc>
          <w:tcPr>
            <w:tcW w:w="10240" w:type="dxa"/>
            <w:vAlign w:val="bottom"/>
            <w:gridSpan w:val="2"/>
            <w:shd w:val="clear" w:color="auto" w:fill="CCEEFF"/>
          </w:tcPr>
          <w:p>
            <w:pPr>
              <w:ind w:left="320"/>
              <w:spacing w:after="0"/>
              <w:rPr>
                <w:rFonts w:ascii="Arial" w:cs="Arial" w:eastAsia="Arial" w:hAnsi="Arial"/>
                <w:sz w:val="17"/>
                <w:szCs w:val="17"/>
                <w:color w:val="0000FF"/>
              </w:rPr>
            </w:pPr>
            <w:hyperlink w:anchor="page34">
              <w:r>
                <w:rPr>
                  <w:rFonts w:ascii="Arial" w:cs="Arial" w:eastAsia="Arial" w:hAnsi="Arial"/>
                  <w:sz w:val="17"/>
                  <w:szCs w:val="17"/>
                  <w:color w:val="0000FF"/>
                </w:rPr>
                <w:t>Item 2. Unregistered Sales of Equity Securities and Use of Proceeds</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34">
              <w:r>
                <w:rPr>
                  <w:rFonts w:ascii="Arial" w:cs="Arial" w:eastAsia="Arial" w:hAnsi="Arial"/>
                  <w:sz w:val="17"/>
                  <w:szCs w:val="17"/>
                  <w:color w:val="0000FF"/>
                </w:rPr>
                <w:t>34</w:t>
              </w:r>
            </w:hyperlink>
          </w:p>
        </w:tc>
      </w:tr>
      <w:tr>
        <w:trPr>
          <w:trHeight w:val="222"/>
        </w:trPr>
        <w:tc>
          <w:tcPr>
            <w:tcW w:w="10240" w:type="dxa"/>
            <w:vAlign w:val="bottom"/>
            <w:gridSpan w:val="2"/>
          </w:tcPr>
          <w:p>
            <w:pPr>
              <w:ind w:left="320"/>
              <w:spacing w:after="0"/>
              <w:rPr>
                <w:rFonts w:ascii="Arial" w:cs="Arial" w:eastAsia="Arial" w:hAnsi="Arial"/>
                <w:sz w:val="17"/>
                <w:szCs w:val="17"/>
                <w:color w:val="0000FF"/>
              </w:rPr>
            </w:pPr>
            <w:hyperlink w:anchor="page34">
              <w:r>
                <w:rPr>
                  <w:rFonts w:ascii="Arial" w:cs="Arial" w:eastAsia="Arial" w:hAnsi="Arial"/>
                  <w:sz w:val="17"/>
                  <w:szCs w:val="17"/>
                  <w:color w:val="0000FF"/>
                </w:rPr>
                <w:t>Item 3. Defaults upon Senior Securities</w:t>
              </w:r>
            </w:hyperlink>
          </w:p>
        </w:tc>
        <w:tc>
          <w:tcPr>
            <w:tcW w:w="580" w:type="dxa"/>
            <w:vAlign w:val="bottom"/>
          </w:tcPr>
          <w:p>
            <w:pPr>
              <w:jc w:val="right"/>
              <w:spacing w:after="0"/>
              <w:rPr>
                <w:rFonts w:ascii="Arial" w:cs="Arial" w:eastAsia="Arial" w:hAnsi="Arial"/>
                <w:sz w:val="17"/>
                <w:szCs w:val="17"/>
                <w:color w:val="0000FF"/>
              </w:rPr>
            </w:pPr>
            <w:hyperlink w:anchor="page34">
              <w:r>
                <w:rPr>
                  <w:rFonts w:ascii="Arial" w:cs="Arial" w:eastAsia="Arial" w:hAnsi="Arial"/>
                  <w:sz w:val="17"/>
                  <w:szCs w:val="17"/>
                  <w:color w:val="0000FF"/>
                </w:rPr>
                <w:t>35</w:t>
              </w:r>
            </w:hyperlink>
          </w:p>
        </w:tc>
      </w:tr>
      <w:tr>
        <w:trPr>
          <w:trHeight w:val="222"/>
        </w:trPr>
        <w:tc>
          <w:tcPr>
            <w:tcW w:w="10240" w:type="dxa"/>
            <w:vAlign w:val="bottom"/>
            <w:gridSpan w:val="2"/>
            <w:shd w:val="clear" w:color="auto" w:fill="CCEEFF"/>
          </w:tcPr>
          <w:p>
            <w:pPr>
              <w:ind w:left="320"/>
              <w:spacing w:after="0"/>
              <w:rPr>
                <w:rFonts w:ascii="Arial" w:cs="Arial" w:eastAsia="Arial" w:hAnsi="Arial"/>
                <w:sz w:val="17"/>
                <w:szCs w:val="17"/>
                <w:color w:val="0000FF"/>
              </w:rPr>
            </w:pPr>
            <w:hyperlink w:anchor="page35">
              <w:r>
                <w:rPr>
                  <w:rFonts w:ascii="Arial" w:cs="Arial" w:eastAsia="Arial" w:hAnsi="Arial"/>
                  <w:sz w:val="17"/>
                  <w:szCs w:val="17"/>
                  <w:color w:val="0000FF"/>
                </w:rPr>
                <w:t>Item 4. Mine Safety Disclosures</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35">
              <w:r>
                <w:rPr>
                  <w:rFonts w:ascii="Arial" w:cs="Arial" w:eastAsia="Arial" w:hAnsi="Arial"/>
                  <w:sz w:val="17"/>
                  <w:szCs w:val="17"/>
                  <w:color w:val="0000FF"/>
                </w:rPr>
                <w:t>35</w:t>
              </w:r>
            </w:hyperlink>
          </w:p>
        </w:tc>
      </w:tr>
      <w:tr>
        <w:trPr>
          <w:trHeight w:val="222"/>
        </w:trPr>
        <w:tc>
          <w:tcPr>
            <w:tcW w:w="10240" w:type="dxa"/>
            <w:vAlign w:val="bottom"/>
            <w:gridSpan w:val="2"/>
          </w:tcPr>
          <w:p>
            <w:pPr>
              <w:ind w:left="320"/>
              <w:spacing w:after="0"/>
              <w:rPr>
                <w:rFonts w:ascii="Arial" w:cs="Arial" w:eastAsia="Arial" w:hAnsi="Arial"/>
                <w:sz w:val="17"/>
                <w:szCs w:val="17"/>
                <w:color w:val="0000FF"/>
              </w:rPr>
            </w:pPr>
            <w:hyperlink w:anchor="page35">
              <w:r>
                <w:rPr>
                  <w:rFonts w:ascii="Arial" w:cs="Arial" w:eastAsia="Arial" w:hAnsi="Arial"/>
                  <w:sz w:val="17"/>
                  <w:szCs w:val="17"/>
                  <w:color w:val="0000FF"/>
                </w:rPr>
                <w:t>Item 5. Other Information</w:t>
              </w:r>
            </w:hyperlink>
          </w:p>
        </w:tc>
        <w:tc>
          <w:tcPr>
            <w:tcW w:w="580" w:type="dxa"/>
            <w:vAlign w:val="bottom"/>
          </w:tcPr>
          <w:p>
            <w:pPr>
              <w:jc w:val="right"/>
              <w:spacing w:after="0"/>
              <w:rPr>
                <w:rFonts w:ascii="Arial" w:cs="Arial" w:eastAsia="Arial" w:hAnsi="Arial"/>
                <w:sz w:val="17"/>
                <w:szCs w:val="17"/>
                <w:color w:val="0000FF"/>
              </w:rPr>
            </w:pPr>
            <w:hyperlink w:anchor="page35">
              <w:r>
                <w:rPr>
                  <w:rFonts w:ascii="Arial" w:cs="Arial" w:eastAsia="Arial" w:hAnsi="Arial"/>
                  <w:sz w:val="17"/>
                  <w:szCs w:val="17"/>
                  <w:color w:val="0000FF"/>
                </w:rPr>
                <w:t>35</w:t>
              </w:r>
            </w:hyperlink>
          </w:p>
        </w:tc>
      </w:tr>
      <w:tr>
        <w:trPr>
          <w:trHeight w:val="222"/>
        </w:trPr>
        <w:tc>
          <w:tcPr>
            <w:tcW w:w="10240" w:type="dxa"/>
            <w:vAlign w:val="bottom"/>
            <w:gridSpan w:val="2"/>
            <w:shd w:val="clear" w:color="auto" w:fill="CCEEFF"/>
          </w:tcPr>
          <w:p>
            <w:pPr>
              <w:ind w:left="320"/>
              <w:spacing w:after="0"/>
              <w:rPr>
                <w:rFonts w:ascii="Arial" w:cs="Arial" w:eastAsia="Arial" w:hAnsi="Arial"/>
                <w:sz w:val="17"/>
                <w:szCs w:val="17"/>
                <w:color w:val="0000FF"/>
              </w:rPr>
            </w:pPr>
            <w:hyperlink w:anchor="page35">
              <w:r>
                <w:rPr>
                  <w:rFonts w:ascii="Arial" w:cs="Arial" w:eastAsia="Arial" w:hAnsi="Arial"/>
                  <w:sz w:val="17"/>
                  <w:szCs w:val="17"/>
                  <w:color w:val="0000FF"/>
                </w:rPr>
                <w:t>Item 6. Exhibits</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35">
              <w:r>
                <w:rPr>
                  <w:rFonts w:ascii="Arial" w:cs="Arial" w:eastAsia="Arial" w:hAnsi="Arial"/>
                  <w:sz w:val="17"/>
                  <w:szCs w:val="17"/>
                  <w:color w:val="0000FF"/>
                </w:rPr>
                <w:t>36</w:t>
              </w:r>
            </w:hyperlink>
          </w:p>
        </w:tc>
      </w:tr>
      <w:tr>
        <w:trPr>
          <w:trHeight w:val="222"/>
        </w:trPr>
        <w:tc>
          <w:tcPr>
            <w:tcW w:w="10240" w:type="dxa"/>
            <w:vAlign w:val="bottom"/>
            <w:gridSpan w:val="2"/>
          </w:tcPr>
          <w:p>
            <w:pPr>
              <w:spacing w:after="0"/>
              <w:rPr>
                <w:rFonts w:ascii="Arial" w:cs="Arial" w:eastAsia="Arial" w:hAnsi="Arial"/>
                <w:sz w:val="17"/>
                <w:szCs w:val="17"/>
                <w:b w:val="1"/>
                <w:bCs w:val="1"/>
                <w:color w:val="0000FF"/>
              </w:rPr>
            </w:pPr>
            <w:hyperlink w:anchor="page36">
              <w:r>
                <w:rPr>
                  <w:rFonts w:ascii="Arial" w:cs="Arial" w:eastAsia="Arial" w:hAnsi="Arial"/>
                  <w:sz w:val="17"/>
                  <w:szCs w:val="17"/>
                  <w:b w:val="1"/>
                  <w:bCs w:val="1"/>
                  <w:color w:val="0000FF"/>
                </w:rPr>
                <w:t>Signatures</w:t>
              </w:r>
            </w:hyperlink>
          </w:p>
        </w:tc>
        <w:tc>
          <w:tcPr>
            <w:tcW w:w="580" w:type="dxa"/>
            <w:vAlign w:val="bottom"/>
          </w:tcPr>
          <w:p>
            <w:pPr>
              <w:jc w:val="right"/>
              <w:spacing w:after="0"/>
              <w:rPr>
                <w:rFonts w:ascii="Arial" w:cs="Arial" w:eastAsia="Arial" w:hAnsi="Arial"/>
                <w:sz w:val="17"/>
                <w:szCs w:val="17"/>
                <w:color w:val="0000FF"/>
              </w:rPr>
            </w:pPr>
            <w:hyperlink w:anchor="page36">
              <w:r>
                <w:rPr>
                  <w:rFonts w:ascii="Arial" w:cs="Arial" w:eastAsia="Arial" w:hAnsi="Arial"/>
                  <w:sz w:val="17"/>
                  <w:szCs w:val="17"/>
                  <w:color w:val="0000FF"/>
                </w:rPr>
                <w:t>37</w:t>
              </w:r>
            </w:hyperlink>
          </w:p>
        </w:tc>
      </w:tr>
      <w:tr>
        <w:trPr>
          <w:trHeight w:val="183"/>
        </w:trPr>
        <w:tc>
          <w:tcPr>
            <w:tcW w:w="10240" w:type="dxa"/>
            <w:vAlign w:val="bottom"/>
            <w:gridSpan w:val="2"/>
            <w:shd w:val="clear" w:color="auto" w:fill="CCEEFF"/>
          </w:tcPr>
          <w:p>
            <w:pPr>
              <w:spacing w:after="0" w:line="183" w:lineRule="exact"/>
              <w:rPr>
                <w:rFonts w:ascii="Arial" w:cs="Arial" w:eastAsia="Arial" w:hAnsi="Arial"/>
                <w:sz w:val="17"/>
                <w:szCs w:val="17"/>
                <w:b w:val="1"/>
                <w:bCs w:val="1"/>
                <w:color w:val="0000FF"/>
              </w:rPr>
            </w:pPr>
            <w:hyperlink w:anchor="page35">
              <w:r>
                <w:rPr>
                  <w:rFonts w:ascii="Arial" w:cs="Arial" w:eastAsia="Arial" w:hAnsi="Arial"/>
                  <w:sz w:val="17"/>
                  <w:szCs w:val="17"/>
                  <w:b w:val="1"/>
                  <w:bCs w:val="1"/>
                  <w:color w:val="0000FF"/>
                </w:rPr>
                <w:t>Exhibit Index</w:t>
              </w:r>
            </w:hyperlink>
          </w:p>
        </w:tc>
        <w:tc>
          <w:tcPr>
            <w:tcW w:w="580" w:type="dxa"/>
            <w:vAlign w:val="bottom"/>
            <w:shd w:val="clear" w:color="auto" w:fill="CCEEFF"/>
          </w:tcPr>
          <w:p>
            <w:pPr>
              <w:jc w:val="right"/>
              <w:spacing w:after="0" w:line="183" w:lineRule="exact"/>
              <w:rPr>
                <w:rFonts w:ascii="Arial" w:cs="Arial" w:eastAsia="Arial" w:hAnsi="Arial"/>
                <w:sz w:val="17"/>
                <w:szCs w:val="17"/>
                <w:color w:val="0000FF"/>
              </w:rPr>
            </w:pPr>
            <w:hyperlink w:anchor="page36">
              <w:r>
                <w:rPr>
                  <w:rFonts w:ascii="Arial" w:cs="Arial" w:eastAsia="Arial" w:hAnsi="Arial"/>
                  <w:sz w:val="17"/>
                  <w:szCs w:val="17"/>
                  <w:color w:val="0000FF"/>
                </w:rPr>
                <w:t>37</w:t>
              </w:r>
            </w:hyperlink>
          </w:p>
        </w:tc>
      </w:tr>
      <w:tr>
        <w:trPr>
          <w:trHeight w:val="39"/>
        </w:trPr>
        <w:tc>
          <w:tcPr>
            <w:tcW w:w="1020" w:type="dxa"/>
            <w:vAlign w:val="bottom"/>
            <w:shd w:val="clear" w:color="auto" w:fill="0000FF"/>
          </w:tcPr>
          <w:p>
            <w:pPr>
              <w:spacing w:after="0"/>
              <w:rPr>
                <w:sz w:val="3"/>
                <w:szCs w:val="3"/>
                <w:color w:val="auto"/>
              </w:rPr>
            </w:pPr>
          </w:p>
        </w:tc>
        <w:tc>
          <w:tcPr>
            <w:tcW w:w="92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70485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820"/>
          </w:cols>
          <w:pgMar w:left="540" w:top="1062" w:right="53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7"/>
          <w:szCs w:val="17"/>
          <w:b w:val="1"/>
          <w:bCs w:val="1"/>
          <w:color w:val="auto"/>
        </w:rPr>
        <w:t>PART I.</w:t>
        <w:tab/>
        <w:t>FINANCIAL INFORMATION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4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376" w:right="1440"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Item 1.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 and par value amounts)</w:t>
            </w: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1200" w:type="dxa"/>
            <w:vAlign w:val="bottom"/>
          </w:tcPr>
          <w:p>
            <w:pPr>
              <w:jc w:val="right"/>
              <w:ind w:right="494"/>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47,942</w:t>
            </w: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69,074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48,135</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Unbilled receivables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37,521</w:t>
            </w: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Arial" w:cs="Arial" w:eastAsia="Arial" w:hAnsi="Arial"/>
                <w:sz w:val="17"/>
                <w:szCs w:val="17"/>
                <w:color w:val="auto"/>
              </w:rPr>
              <w:t>Inventories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25,615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23,436</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Customer service inventories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w:t>
            </w: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Arial" w:cs="Arial" w:eastAsia="Arial" w:hAnsi="Arial"/>
                <w:sz w:val="17"/>
                <w:szCs w:val="17"/>
                <w:color w:val="auto"/>
              </w:rPr>
              <w:t>Assets held for sale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2,218</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9,556</w:t>
            </w:r>
          </w:p>
        </w:tc>
        <w:tc>
          <w:tcPr>
            <w:tcW w:w="0" w:type="dxa"/>
            <w:vAlign w:val="bottom"/>
          </w:tcPr>
          <w:p>
            <w:pPr>
              <w:spacing w:after="0"/>
              <w:rPr>
                <w:sz w:val="1"/>
                <w:szCs w:val="1"/>
                <w:color w:val="auto"/>
              </w:rPr>
            </w:pPr>
          </w:p>
        </w:tc>
      </w:tr>
      <w:tr>
        <w:trPr>
          <w:trHeight w:val="215"/>
        </w:trPr>
        <w:tc>
          <w:tcPr>
            <w:tcW w:w="8020" w:type="dxa"/>
            <w:vAlign w:val="bottom"/>
          </w:tcPr>
          <w:p>
            <w:pPr>
              <w:ind w:left="460"/>
              <w:spacing w:after="0"/>
              <w:rPr>
                <w:sz w:val="20"/>
                <w:szCs w:val="20"/>
                <w:color w:val="auto"/>
              </w:rPr>
            </w:pPr>
            <w:r>
              <w:rPr>
                <w:rFonts w:ascii="Arial" w:cs="Arial" w:eastAsia="Arial" w:hAnsi="Arial"/>
                <w:sz w:val="17"/>
                <w:szCs w:val="17"/>
                <w:color w:val="auto"/>
              </w:rPr>
              <w:t>Total current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195,047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170,239</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11,701</w:t>
            </w: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99,913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103,467</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 of use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3,816</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8,430</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317,123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297,653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43,515</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32,405</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28,154</w:t>
            </w: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Arial" w:cs="Arial" w:eastAsia="Arial" w:hAnsi="Arial"/>
                <w:sz w:val="17"/>
                <w:szCs w:val="17"/>
                <w:color w:val="auto"/>
              </w:rPr>
              <w:t>Short-term lease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769</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Advance payments and unearned revenue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32,304</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Restructuring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2,737</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current liabilities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96,369</w:t>
            </w: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Unearned revenue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7,959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8,592</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lease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3,223</w:t>
            </w: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Other long-term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Reserve for uncertain tax positions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5,164</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income taxes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liabilities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124,231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114,318</w:t>
            </w: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Commitments and contingencies (Note 12)</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Arial" w:cs="Arial" w:eastAsia="Arial" w:hAnsi="Arial"/>
                <w:sz w:val="17"/>
                <w:szCs w:val="17"/>
                <w:color w:val="auto"/>
              </w:rPr>
              <w:t>Preferred stock, $0.01 par value, 50,000,000 shares authorized, none issued</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ind w:left="220"/>
              <w:spacing w:after="0" w:line="171" w:lineRule="exact"/>
              <w:rPr>
                <w:sz w:val="20"/>
                <w:szCs w:val="20"/>
                <w:color w:val="auto"/>
              </w:rPr>
            </w:pPr>
            <w:r>
              <w:rPr>
                <w:rFonts w:ascii="Arial" w:cs="Arial" w:eastAsia="Arial" w:hAnsi="Arial"/>
                <w:sz w:val="17"/>
                <w:szCs w:val="17"/>
                <w:color w:val="auto"/>
                <w:w w:val="93"/>
              </w:rPr>
              <w:t>Common stock, $0.01 par value, 300,000,000 shares authorized, 11,195,542 shares issued and outstanding at</w:t>
            </w:r>
          </w:p>
        </w:tc>
        <w:tc>
          <w:tcPr>
            <w:tcW w:w="2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21"/>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December 31, 2021; 11,153,445 shares issued and outstanding at July 2, 2021 (see Note 1 Stock Split)</w:t>
            </w: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Arial" w:cs="Arial" w:eastAsia="Arial" w:hAnsi="Arial"/>
                <w:sz w:val="17"/>
                <w:szCs w:val="17"/>
                <w:color w:val="auto"/>
              </w:rPr>
              <w:t>Treasury stock</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(787)</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paid-in-capital</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820,791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818,939</w:t>
            </w: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Arial" w:cs="Arial" w:eastAsia="Arial" w:hAnsi="Arial"/>
                <w:sz w:val="17"/>
                <w:szCs w:val="17"/>
                <w:color w:val="auto"/>
              </w:rPr>
              <w:t>Accumulated deficit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(610,004)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(620,602)</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(14,327)</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equity</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192,892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183,335</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LIABILITIES AND EQUITY</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317,123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297,653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38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5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December 31,</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83"/>
        </w:trPr>
        <w:tc>
          <w:tcPr>
            <w:tcW w:w="584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40" w:type="dxa"/>
            <w:vAlign w:val="bottom"/>
          </w:tcPr>
          <w:p>
            <w:pPr>
              <w:ind w:left="20"/>
              <w:spacing w:after="0"/>
              <w:rPr>
                <w:sz w:val="20"/>
                <w:szCs w:val="20"/>
                <w:color w:val="auto"/>
              </w:rPr>
            </w:pPr>
            <w:r>
              <w:rPr>
                <w:rFonts w:ascii="Arial" w:cs="Arial" w:eastAsia="Arial" w:hAnsi="Arial"/>
                <w:sz w:val="17"/>
                <w:szCs w:val="17"/>
                <w:color w:val="auto"/>
              </w:rPr>
              <w:t>Revenue from product sales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53,467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46,691</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104,314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91,155</w:t>
            </w: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from services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23,840</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45,666</w:t>
            </w:r>
          </w:p>
        </w:tc>
        <w:tc>
          <w:tcPr>
            <w:tcW w:w="0" w:type="dxa"/>
            <w:vAlign w:val="bottom"/>
          </w:tcPr>
          <w:p>
            <w:pPr>
              <w:spacing w:after="0"/>
              <w:rPr>
                <w:sz w:val="1"/>
                <w:szCs w:val="1"/>
                <w:color w:val="auto"/>
              </w:rPr>
            </w:pPr>
          </w:p>
        </w:tc>
      </w:tr>
      <w:tr>
        <w:trPr>
          <w:trHeight w:val="215"/>
        </w:trPr>
        <w:tc>
          <w:tcPr>
            <w:tcW w:w="58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revenues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77,864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70,531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136,821</w:t>
            </w: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 of revenues: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40" w:type="dxa"/>
            <w:vAlign w:val="bottom"/>
          </w:tcPr>
          <w:p>
            <w:pPr>
              <w:ind w:left="20"/>
              <w:spacing w:after="0"/>
              <w:rPr>
                <w:sz w:val="20"/>
                <w:szCs w:val="20"/>
                <w:color w:val="auto"/>
              </w:rPr>
            </w:pPr>
            <w:r>
              <w:rPr>
                <w:rFonts w:ascii="Arial" w:cs="Arial" w:eastAsia="Arial" w:hAnsi="Arial"/>
                <w:sz w:val="17"/>
                <w:szCs w:val="17"/>
                <w:color w:val="auto"/>
              </w:rPr>
              <w:t>Cost of product sales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34,014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27,458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65,939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55,367</w:t>
            </w: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15,694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16,164</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30,296</w:t>
            </w:r>
          </w:p>
        </w:tc>
        <w:tc>
          <w:tcPr>
            <w:tcW w:w="0" w:type="dxa"/>
            <w:vAlign w:val="bottom"/>
          </w:tcPr>
          <w:p>
            <w:pPr>
              <w:spacing w:after="0"/>
              <w:rPr>
                <w:sz w:val="1"/>
                <w:szCs w:val="1"/>
                <w:color w:val="auto"/>
              </w:rPr>
            </w:pPr>
          </w:p>
        </w:tc>
      </w:tr>
      <w:tr>
        <w:trPr>
          <w:trHeight w:val="215"/>
        </w:trPr>
        <w:tc>
          <w:tcPr>
            <w:tcW w:w="58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cost of revenues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49,708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43,622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85,663</w:t>
            </w:r>
          </w:p>
        </w:tc>
        <w:tc>
          <w:tcPr>
            <w:tcW w:w="0" w:type="dxa"/>
            <w:vAlign w:val="bottom"/>
          </w:tcPr>
          <w:p>
            <w:pPr>
              <w:spacing w:after="0"/>
              <w:rPr>
                <w:sz w:val="1"/>
                <w:szCs w:val="1"/>
                <w:color w:val="auto"/>
              </w:rPr>
            </w:pPr>
          </w:p>
        </w:tc>
      </w:tr>
      <w:tr>
        <w:trPr>
          <w:trHeight w:val="215"/>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margin</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28,156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26,909</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51,158</w:t>
            </w:r>
          </w:p>
        </w:tc>
        <w:tc>
          <w:tcPr>
            <w:tcW w:w="0" w:type="dxa"/>
            <w:vAlign w:val="bottom"/>
          </w:tcPr>
          <w:p>
            <w:pPr>
              <w:spacing w:after="0"/>
              <w:rPr>
                <w:sz w:val="1"/>
                <w:szCs w:val="1"/>
                <w:color w:val="auto"/>
              </w:rPr>
            </w:pPr>
          </w:p>
        </w:tc>
      </w:tr>
      <w:tr>
        <w:trPr>
          <w:trHeight w:val="202"/>
        </w:trPr>
        <w:tc>
          <w:tcPr>
            <w:tcW w:w="584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10,266</w:t>
            </w:r>
          </w:p>
        </w:tc>
        <w:tc>
          <w:tcPr>
            <w:tcW w:w="0" w:type="dxa"/>
            <w:vAlign w:val="bottom"/>
          </w:tcPr>
          <w:p>
            <w:pPr>
              <w:spacing w:after="0"/>
              <w:rPr>
                <w:sz w:val="1"/>
                <w:szCs w:val="1"/>
                <w:color w:val="auto"/>
              </w:rPr>
            </w:pPr>
          </w:p>
        </w:tc>
      </w:tr>
      <w:tr>
        <w:trPr>
          <w:trHeight w:val="222"/>
        </w:trPr>
        <w:tc>
          <w:tcPr>
            <w:tcW w:w="5840" w:type="dxa"/>
            <w:vAlign w:val="bottom"/>
          </w:tcPr>
          <w:p>
            <w:pPr>
              <w:ind w:left="20"/>
              <w:spacing w:after="0"/>
              <w:rPr>
                <w:sz w:val="20"/>
                <w:szCs w:val="20"/>
                <w:color w:val="auto"/>
              </w:rPr>
            </w:pPr>
            <w:r>
              <w:rPr>
                <w:rFonts w:ascii="Arial" w:cs="Arial" w:eastAsia="Arial" w:hAnsi="Arial"/>
                <w:sz w:val="17"/>
                <w:szCs w:val="17"/>
                <w:color w:val="auto"/>
              </w:rPr>
              <w:t>Selling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13,739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13,612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26,437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26,449</w:t>
            </w: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(recovery) charges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58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18,948</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19,031</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38,215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36,715</w:t>
            </w:r>
          </w:p>
        </w:tc>
        <w:tc>
          <w:tcPr>
            <w:tcW w:w="0" w:type="dxa"/>
            <w:vAlign w:val="bottom"/>
          </w:tcPr>
          <w:p>
            <w:pPr>
              <w:spacing w:after="0"/>
              <w:rPr>
                <w:sz w:val="1"/>
                <w:szCs w:val="1"/>
                <w:color w:val="auto"/>
              </w:rPr>
            </w:pPr>
          </w:p>
        </w:tc>
      </w:tr>
      <w:tr>
        <w:trPr>
          <w:trHeight w:val="215"/>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14,443</w:t>
            </w:r>
          </w:p>
        </w:tc>
        <w:tc>
          <w:tcPr>
            <w:tcW w:w="0" w:type="dxa"/>
            <w:vAlign w:val="bottom"/>
          </w:tcPr>
          <w:p>
            <w:pPr>
              <w:spacing w:after="0"/>
              <w:rPr>
                <w:sz w:val="1"/>
                <w:szCs w:val="1"/>
                <w:color w:val="auto"/>
              </w:rPr>
            </w:pPr>
          </w:p>
        </w:tc>
      </w:tr>
      <w:tr>
        <w:trPr>
          <w:trHeight w:val="222"/>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expense (income),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5"/>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income taxes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14,516</w:t>
            </w:r>
          </w:p>
        </w:tc>
        <w:tc>
          <w:tcPr>
            <w:tcW w:w="0" w:type="dxa"/>
            <w:vAlign w:val="bottom"/>
          </w:tcPr>
          <w:p>
            <w:pPr>
              <w:spacing w:after="0"/>
              <w:rPr>
                <w:sz w:val="1"/>
                <w:szCs w:val="1"/>
                <w:color w:val="auto"/>
              </w:rPr>
            </w:pPr>
          </w:p>
        </w:tc>
      </w:tr>
      <w:tr>
        <w:trPr>
          <w:trHeight w:val="222"/>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1,275</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1,939</w:t>
            </w:r>
          </w:p>
        </w:tc>
        <w:tc>
          <w:tcPr>
            <w:tcW w:w="0" w:type="dxa"/>
            <w:vAlign w:val="bottom"/>
          </w:tcPr>
          <w:p>
            <w:pPr>
              <w:spacing w:after="0"/>
              <w:rPr>
                <w:sz w:val="1"/>
                <w:szCs w:val="1"/>
                <w:color w:val="auto"/>
              </w:rPr>
            </w:pPr>
          </w:p>
        </w:tc>
      </w:tr>
      <w:tr>
        <w:trPr>
          <w:trHeight w:val="24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6,641</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12,577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per share of common stock outstanding:</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ind w:left="340"/>
              <w:spacing w:after="0"/>
              <w:rPr>
                <w:sz w:val="20"/>
                <w:szCs w:val="20"/>
                <w:color w:val="auto"/>
              </w:rPr>
            </w:pPr>
            <w:r>
              <w:rPr>
                <w:rFonts w:ascii="Arial" w:cs="Arial" w:eastAsia="Arial" w:hAnsi="Arial"/>
                <w:sz w:val="17"/>
                <w:szCs w:val="17"/>
                <w:color w:val="auto"/>
              </w:rPr>
              <w:t>Basic</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0.52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0.60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22"/>
        </w:trPr>
        <w:tc>
          <w:tcPr>
            <w:tcW w:w="5840" w:type="dxa"/>
            <w:vAlign w:val="bottom"/>
          </w:tcPr>
          <w:p>
            <w:pPr>
              <w:ind w:left="20"/>
              <w:spacing w:after="0"/>
              <w:rPr>
                <w:sz w:val="20"/>
                <w:szCs w:val="20"/>
                <w:color w:val="auto"/>
              </w:rPr>
            </w:pPr>
            <w:r>
              <w:rPr>
                <w:rFonts w:ascii="Arial" w:cs="Arial" w:eastAsia="Arial" w:hAnsi="Arial"/>
                <w:sz w:val="17"/>
                <w:szCs w:val="17"/>
                <w:b w:val="1"/>
                <w:bCs w:val="1"/>
                <w:color w:val="auto"/>
              </w:rPr>
              <w:t>Weighted-average shares outstanding (see Note 1 Stock Split):</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10,914</w:t>
            </w:r>
          </w:p>
        </w:tc>
        <w:tc>
          <w:tcPr>
            <w:tcW w:w="0" w:type="dxa"/>
            <w:vAlign w:val="bottom"/>
          </w:tcPr>
          <w:p>
            <w:pPr>
              <w:spacing w:after="0"/>
              <w:rPr>
                <w:sz w:val="1"/>
                <w:szCs w:val="1"/>
                <w:color w:val="auto"/>
              </w:rPr>
            </w:pPr>
          </w:p>
        </w:tc>
      </w:tr>
      <w:tr>
        <w:trPr>
          <w:trHeight w:val="222"/>
        </w:trPr>
        <w:tc>
          <w:tcPr>
            <w:tcW w:w="5840" w:type="dxa"/>
            <w:vAlign w:val="bottom"/>
          </w:tcPr>
          <w:p>
            <w:pPr>
              <w:ind w:left="340"/>
              <w:spacing w:after="0"/>
              <w:rPr>
                <w:sz w:val="20"/>
                <w:szCs w:val="20"/>
                <w:color w:val="auto"/>
              </w:rPr>
            </w:pPr>
            <w:r>
              <w:rPr>
                <w:rFonts w:ascii="Arial" w:cs="Arial" w:eastAsia="Arial" w:hAnsi="Arial"/>
                <w:sz w:val="17"/>
                <w:szCs w:val="17"/>
                <w:color w:val="auto"/>
              </w:rPr>
              <w:t>Diluted</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11,960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11,420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11,895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11,278</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4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42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January 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1"/>
                <w:szCs w:val="11"/>
                <w:color w:val="auto"/>
              </w:rPr>
            </w:pPr>
          </w:p>
        </w:tc>
        <w:tc>
          <w:tcPr>
            <w:tcW w:w="1200" w:type="dxa"/>
            <w:vAlign w:val="bottom"/>
          </w:tcPr>
          <w:p>
            <w:pPr>
              <w:jc w:val="right"/>
              <w:ind w:right="319"/>
              <w:spacing w:after="0" w:line="12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83"/>
        </w:trPr>
        <w:tc>
          <w:tcPr>
            <w:tcW w:w="49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6,641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12,577</w:t>
            </w:r>
          </w:p>
        </w:tc>
        <w:tc>
          <w:tcPr>
            <w:tcW w:w="0" w:type="dxa"/>
            <w:vAlign w:val="bottom"/>
          </w:tcPr>
          <w:p>
            <w:pPr>
              <w:spacing w:after="0"/>
              <w:rPr>
                <w:sz w:val="1"/>
                <w:szCs w:val="1"/>
                <w:color w:val="auto"/>
              </w:rPr>
            </w:pPr>
          </w:p>
        </w:tc>
      </w:tr>
      <w:tr>
        <w:trPr>
          <w:trHeight w:val="222"/>
        </w:trPr>
        <w:tc>
          <w:tcPr>
            <w:tcW w:w="4920" w:type="dxa"/>
            <w:vAlign w:val="bottom"/>
          </w:tcPr>
          <w:p>
            <w:pPr>
              <w:ind w:left="20"/>
              <w:spacing w:after="0"/>
              <w:rPr>
                <w:sz w:val="20"/>
                <w:szCs w:val="20"/>
                <w:color w:val="auto"/>
              </w:rPr>
            </w:pPr>
            <w:r>
              <w:rPr>
                <w:rFonts w:ascii="Arial" w:cs="Arial" w:eastAsia="Arial" w:hAnsi="Arial"/>
                <w:sz w:val="17"/>
                <w:szCs w:val="17"/>
                <w:b w:val="1"/>
                <w:bCs w:val="1"/>
                <w:color w:val="auto"/>
              </w:rPr>
              <w:t>Other comprehensive (loss) income: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change in cumulative 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0" w:type="dxa"/>
            <w:vAlign w:val="bottom"/>
          </w:tcPr>
          <w:p>
            <w:pPr>
              <w:spacing w:after="0"/>
              <w:rPr>
                <w:sz w:val="1"/>
                <w:szCs w:val="1"/>
                <w:color w:val="auto"/>
              </w:rPr>
            </w:pPr>
          </w:p>
        </w:tc>
      </w:tr>
      <w:tr>
        <w:trPr>
          <w:trHeight w:val="215"/>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income</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w:t>
            </w:r>
          </w:p>
        </w:tc>
        <w:tc>
          <w:tcPr>
            <w:tcW w:w="0" w:type="dxa"/>
            <w:vAlign w:val="bottom"/>
          </w:tcPr>
          <w:p>
            <w:pPr>
              <w:spacing w:after="0"/>
              <w:rPr>
                <w:sz w:val="1"/>
                <w:szCs w:val="1"/>
                <w:color w:val="auto"/>
              </w:rPr>
            </w:pPr>
          </w:p>
        </w:tc>
      </w:tr>
      <w:tr>
        <w:trPr>
          <w:trHeight w:val="24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Comprehensive income</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6,825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10,326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13,175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8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110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82"/>
        </w:trPr>
        <w:tc>
          <w:tcPr>
            <w:tcW w:w="848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4"/>
        </w:trPr>
        <w:tc>
          <w:tcPr>
            <w:tcW w:w="8480" w:type="dxa"/>
            <w:vAlign w:val="bottom"/>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4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10,598</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12,577</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(used in) provided by operating activities: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Depreciation and amortization of property, plant and equipment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2,661</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(Recoveries) Provision for uncollectible receivables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Share-based compensation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1,389</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tax assets,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Charges for inventory and customer service inventory write-downs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disposition of property, plant and equipment, net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Noncash lease expense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Restructuring recoveries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48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(4,666)</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Unbilled receivables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(5,570)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(3,499)</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(3,815)</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Customer service inventories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5,276</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Accrued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Advance payments and unearned revenue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3,798</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Income taxes payable or receivable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assets and liabilities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(3,746)</w:t>
            </w:r>
          </w:p>
        </w:tc>
        <w:tc>
          <w:tcPr>
            <w:tcW w:w="0" w:type="dxa"/>
            <w:vAlign w:val="bottom"/>
          </w:tcPr>
          <w:p>
            <w:pPr>
              <w:spacing w:after="0"/>
              <w:rPr>
                <w:sz w:val="1"/>
                <w:szCs w:val="1"/>
                <w:color w:val="auto"/>
              </w:rPr>
            </w:pPr>
          </w:p>
        </w:tc>
      </w:tr>
      <w:tr>
        <w:trPr>
          <w:trHeight w:val="222"/>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Change in lease liabilities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215"/>
        </w:trPr>
        <w:tc>
          <w:tcPr>
            <w:tcW w:w="84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(used in) provided by operating activities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10,220</w:t>
            </w:r>
          </w:p>
        </w:tc>
        <w:tc>
          <w:tcPr>
            <w:tcW w:w="0" w:type="dxa"/>
            <w:vAlign w:val="bottom"/>
          </w:tcPr>
          <w:p>
            <w:pPr>
              <w:spacing w:after="0"/>
              <w:rPr>
                <w:sz w:val="1"/>
                <w:szCs w:val="1"/>
                <w:color w:val="auto"/>
              </w:rPr>
            </w:pPr>
          </w:p>
        </w:tc>
      </w:tr>
      <w:tr>
        <w:trPr>
          <w:trHeight w:val="222"/>
        </w:trPr>
        <w:tc>
          <w:tcPr>
            <w:tcW w:w="848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acquisition of property, plant and equipment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(1,376)</w:t>
            </w:r>
          </w:p>
        </w:tc>
        <w:tc>
          <w:tcPr>
            <w:tcW w:w="0" w:type="dxa"/>
            <w:vAlign w:val="bottom"/>
          </w:tcPr>
          <w:p>
            <w:pPr>
              <w:spacing w:after="0"/>
              <w:rPr>
                <w:sz w:val="1"/>
                <w:szCs w:val="1"/>
                <w:color w:val="auto"/>
              </w:rPr>
            </w:pPr>
          </w:p>
        </w:tc>
      </w:tr>
      <w:tr>
        <w:trPr>
          <w:trHeight w:val="215"/>
        </w:trPr>
        <w:tc>
          <w:tcPr>
            <w:tcW w:w="848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(1,376)</w:t>
            </w:r>
          </w:p>
        </w:tc>
        <w:tc>
          <w:tcPr>
            <w:tcW w:w="0" w:type="dxa"/>
            <w:vAlign w:val="bottom"/>
          </w:tcPr>
          <w:p>
            <w:pPr>
              <w:spacing w:after="0"/>
              <w:rPr>
                <w:sz w:val="1"/>
                <w:szCs w:val="1"/>
                <w:color w:val="auto"/>
              </w:rPr>
            </w:pPr>
          </w:p>
        </w:tc>
      </w:tr>
      <w:tr>
        <w:trPr>
          <w:trHeight w:val="202"/>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Repayments of borrowings</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(9,000)</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repurchase of common stock - treasury shares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Payments for taxes related to net settlement of equity awards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common stock under employee stock plans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1,486</w:t>
            </w:r>
          </w:p>
        </w:tc>
        <w:tc>
          <w:tcPr>
            <w:tcW w:w="0" w:type="dxa"/>
            <w:vAlign w:val="bottom"/>
          </w:tcPr>
          <w:p>
            <w:pPr>
              <w:spacing w:after="0"/>
              <w:rPr>
                <w:sz w:val="1"/>
                <w:szCs w:val="1"/>
                <w:color w:val="auto"/>
              </w:rPr>
            </w:pPr>
          </w:p>
        </w:tc>
      </w:tr>
      <w:tr>
        <w:trPr>
          <w:trHeight w:val="215"/>
        </w:trPr>
        <w:tc>
          <w:tcPr>
            <w:tcW w:w="848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Net cash used in financing activities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(7,682)</w:t>
            </w:r>
          </w:p>
        </w:tc>
        <w:tc>
          <w:tcPr>
            <w:tcW w:w="0" w:type="dxa"/>
            <w:vAlign w:val="bottom"/>
          </w:tcPr>
          <w:p>
            <w:pPr>
              <w:spacing w:after="0"/>
              <w:rPr>
                <w:sz w:val="1"/>
                <w:szCs w:val="1"/>
                <w:color w:val="auto"/>
              </w:rPr>
            </w:pPr>
          </w:p>
        </w:tc>
      </w:tr>
      <w:tr>
        <w:trPr>
          <w:trHeight w:val="215"/>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7"/>
                <w:szCs w:val="17"/>
                <w:b w:val="1"/>
                <w:bCs w:val="1"/>
                <w:color w:val="auto"/>
              </w:rPr>
              <w:t>Net (decrease) increase in cash, cash equivalents, and restricted cash</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1,428</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48,198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41,872</w:t>
            </w: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7"/>
                <w:szCs w:val="17"/>
                <w:b w:val="1"/>
                <w:bCs w:val="1"/>
                <w:color w:val="auto"/>
              </w:rPr>
              <w:t>Cash, cash equivalents, and restricted cash,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42,553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43,300</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AVIAT NETWORKS, INC.</w:t>
      </w:r>
    </w:p>
    <w:p>
      <w:pPr>
        <w:jc w:val="center"/>
        <w:spacing w:after="0" w:line="230" w:lineRule="auto"/>
        <w:rPr>
          <w:sz w:val="20"/>
          <w:szCs w:val="20"/>
          <w:color w:val="auto"/>
        </w:rPr>
      </w:pPr>
      <w:r>
        <w:rPr>
          <w:rFonts w:ascii="Arial" w:cs="Arial" w:eastAsia="Arial" w:hAnsi="Arial"/>
          <w:sz w:val="17"/>
          <w:szCs w:val="17"/>
          <w:b w:val="1"/>
          <w:bCs w:val="1"/>
          <w:color w:val="auto"/>
        </w:rPr>
        <w:t xml:space="preserve">CONDENSED CONSOLIDATED STATEMENTS OF EQUITY </w:t>
      </w:r>
      <w:r>
        <w:rPr>
          <w:rFonts w:ascii="Arial" w:cs="Arial" w:eastAsia="Arial" w:hAnsi="Arial"/>
          <w:sz w:val="22"/>
          <w:szCs w:val="22"/>
          <w:b w:val="1"/>
          <w:bCs w:val="1"/>
          <w:color w:val="auto"/>
          <w:vertAlign w:val="superscript"/>
        </w:rPr>
        <w:t>(1)</w:t>
      </w: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13"/>
          </w:tcPr>
          <w:p>
            <w:pPr>
              <w:jc w:val="right"/>
              <w:ind w:right="260"/>
              <w:spacing w:after="0"/>
              <w:rPr>
                <w:sz w:val="20"/>
                <w:szCs w:val="20"/>
                <w:color w:val="auto"/>
              </w:rPr>
            </w:pPr>
            <w:r>
              <w:rPr>
                <w:rFonts w:ascii="Arial" w:cs="Arial" w:eastAsia="Arial" w:hAnsi="Arial"/>
                <w:sz w:val="14"/>
                <w:szCs w:val="14"/>
                <w:b w:val="1"/>
                <w:bCs w:val="1"/>
                <w:color w:val="auto"/>
              </w:rPr>
              <w:t>Three Months Ended December 31, 2021</w:t>
            </w: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gridSpan w:val="8"/>
          </w:tcPr>
          <w:p>
            <w:pPr>
              <w:ind w:left="4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372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7"/>
                <w:szCs w:val="7"/>
                <w:color w:val="auto"/>
              </w:rPr>
            </w:pPr>
          </w:p>
        </w:tc>
        <w:tc>
          <w:tcPr>
            <w:tcW w:w="14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220"/>
              <w:spacing w:after="0" w:line="131"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83"/>
        </w:trPr>
        <w:tc>
          <w:tcPr>
            <w:tcW w:w="3720" w:type="dxa"/>
            <w:vAlign w:val="bottom"/>
          </w:tcPr>
          <w:p>
            <w:pPr>
              <w:ind w:left="20"/>
              <w:spacing w:after="0"/>
              <w:rPr>
                <w:sz w:val="20"/>
                <w:szCs w:val="20"/>
                <w:color w:val="auto"/>
              </w:rPr>
            </w:pPr>
            <w:r>
              <w:rPr>
                <w:rFonts w:ascii="Arial" w:cs="Arial" w:eastAsia="Arial" w:hAnsi="Arial"/>
                <w:sz w:val="12"/>
                <w:szCs w:val="12"/>
                <w:b w:val="1"/>
                <w:bCs w:val="1"/>
                <w:color w:val="auto"/>
              </w:rPr>
              <w:t>(In thousands, except share amounts)</w:t>
            </w:r>
          </w:p>
        </w:tc>
        <w:tc>
          <w:tcPr>
            <w:tcW w:w="4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ind w:left="14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Deficit</w:t>
            </w:r>
          </w:p>
        </w:tc>
        <w:tc>
          <w:tcPr>
            <w:tcW w:w="20" w:type="dxa"/>
            <w:vAlign w:val="bottom"/>
          </w:tcPr>
          <w:p>
            <w:pPr>
              <w:spacing w:after="0"/>
              <w:rPr>
                <w:sz w:val="15"/>
                <w:szCs w:val="15"/>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Comprehensive Loss</w:t>
            </w:r>
          </w:p>
        </w:tc>
        <w:tc>
          <w:tcPr>
            <w:tcW w:w="4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October 1, 2021</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11,187,003</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819,711</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(615,920)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(14,491)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187,912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5"/>
                <w:szCs w:val="15"/>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gridSpan w:val="3"/>
          </w:tcPr>
          <w:p>
            <w:pPr>
              <w:ind w:left="6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loss, net of tax</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720" w:type="dxa"/>
            <w:vAlign w:val="bottom"/>
          </w:tcPr>
          <w:p>
            <w:pPr>
              <w:ind w:left="200"/>
              <w:spacing w:after="0"/>
              <w:rPr>
                <w:sz w:val="20"/>
                <w:szCs w:val="20"/>
                <w:color w:val="auto"/>
              </w:rPr>
            </w:pPr>
            <w:r>
              <w:rPr>
                <w:rFonts w:ascii="Arial" w:cs="Arial" w:eastAsia="Arial" w:hAnsi="Arial"/>
                <w:sz w:val="14"/>
                <w:szCs w:val="14"/>
                <w:color w:val="auto"/>
              </w:rPr>
              <w:t>Issuance of common stock under employee stock plans</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69,434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319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gridSpan w:val="3"/>
          </w:tcPr>
          <w:p>
            <w:pPr>
              <w:ind w:left="6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Shares withheld for taxes related to vesting of equity awards</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720" w:type="dxa"/>
            <w:vAlign w:val="bottom"/>
          </w:tcPr>
          <w:p>
            <w:pPr>
              <w:ind w:left="200"/>
              <w:spacing w:after="0"/>
              <w:rPr>
                <w:sz w:val="20"/>
                <w:szCs w:val="20"/>
                <w:color w:val="auto"/>
              </w:rPr>
            </w:pPr>
            <w:r>
              <w:rPr>
                <w:rFonts w:ascii="Arial" w:cs="Arial" w:eastAsia="Arial" w:hAnsi="Arial"/>
                <w:sz w:val="14"/>
                <w:szCs w:val="14"/>
                <w:color w:val="auto"/>
              </w:rPr>
              <w:t>Stock repurchase</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(60,895)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gridSpan w:val="3"/>
          </w:tcPr>
          <w:p>
            <w:pPr>
              <w:ind w:left="6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Share-based compensation</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761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11,195,542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820,791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(610,004)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(14,599)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192,892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3"/>
          </w:tcPr>
          <w:p>
            <w:pPr>
              <w:ind w:left="580"/>
              <w:spacing w:after="0"/>
              <w:rPr>
                <w:sz w:val="20"/>
                <w:szCs w:val="20"/>
                <w:color w:val="auto"/>
              </w:rPr>
            </w:pPr>
            <w:r>
              <w:rPr>
                <w:rFonts w:ascii="Arial" w:cs="Arial" w:eastAsia="Arial" w:hAnsi="Arial"/>
                <w:sz w:val="14"/>
                <w:szCs w:val="14"/>
                <w:b w:val="1"/>
                <w:bCs w:val="1"/>
                <w:color w:val="auto"/>
              </w:rPr>
              <w:t>Three Months Ended January 1, 2021</w:t>
            </w: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gridSpan w:val="8"/>
          </w:tcPr>
          <w:p>
            <w:pPr>
              <w:ind w:left="46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37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7"/>
                <w:szCs w:val="7"/>
                <w:color w:val="auto"/>
              </w:rPr>
            </w:pPr>
          </w:p>
        </w:tc>
        <w:tc>
          <w:tcPr>
            <w:tcW w:w="14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180"/>
              <w:spacing w:after="0" w:line="131"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3"/>
        </w:trPr>
        <w:tc>
          <w:tcPr>
            <w:tcW w:w="3720" w:type="dxa"/>
            <w:vAlign w:val="bottom"/>
          </w:tcPr>
          <w:p>
            <w:pPr>
              <w:ind w:left="20"/>
              <w:spacing w:after="0"/>
              <w:rPr>
                <w:sz w:val="20"/>
                <w:szCs w:val="20"/>
                <w:color w:val="auto"/>
              </w:rPr>
            </w:pPr>
            <w:r>
              <w:rPr>
                <w:rFonts w:ascii="Arial" w:cs="Arial" w:eastAsia="Arial" w:hAnsi="Arial"/>
                <w:sz w:val="12"/>
                <w:szCs w:val="12"/>
                <w:b w:val="1"/>
                <w:bCs w:val="1"/>
                <w:color w:val="auto"/>
              </w:rPr>
              <w:t>(In thousands, except share amounts)</w:t>
            </w:r>
          </w:p>
        </w:tc>
        <w:tc>
          <w:tcPr>
            <w:tcW w:w="4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ind w:left="16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ind w:left="2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5"/>
                <w:szCs w:val="15"/>
                <w:color w:val="auto"/>
              </w:rPr>
            </w:pPr>
          </w:p>
        </w:tc>
        <w:tc>
          <w:tcPr>
            <w:tcW w:w="1400" w:type="dxa"/>
            <w:vAlign w:val="bottom"/>
            <w:gridSpan w:val="4"/>
          </w:tcPr>
          <w:p>
            <w:pPr>
              <w:ind w:left="60"/>
              <w:spacing w:after="0"/>
              <w:rPr>
                <w:sz w:val="20"/>
                <w:szCs w:val="20"/>
                <w:color w:val="auto"/>
              </w:rPr>
            </w:pPr>
            <w:r>
              <w:rPr>
                <w:rFonts w:ascii="Arial" w:cs="Arial" w:eastAsia="Arial" w:hAnsi="Arial"/>
                <w:sz w:val="14"/>
                <w:szCs w:val="14"/>
                <w:b w:val="1"/>
                <w:bCs w:val="1"/>
                <w:color w:val="auto"/>
                <w:w w:val="93"/>
              </w:rPr>
              <w:t>Comprehensive Loss</w:t>
            </w:r>
          </w:p>
        </w:tc>
        <w:tc>
          <w:tcPr>
            <w:tcW w:w="4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October 2, 2020</w:t>
            </w:r>
          </w:p>
        </w:tc>
        <w:tc>
          <w:tcPr>
            <w:tcW w:w="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10,886,724</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815,148</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(724,805)</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w w:val="91"/>
              </w:rPr>
              <w:t>(14,555)</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75,897</w:t>
            </w: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6,641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 net of tax</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720" w:type="dxa"/>
            <w:vAlign w:val="bottom"/>
          </w:tcPr>
          <w:p>
            <w:pPr>
              <w:ind w:left="200"/>
              <w:spacing w:after="0"/>
              <w:rPr>
                <w:sz w:val="20"/>
                <w:szCs w:val="20"/>
                <w:color w:val="auto"/>
              </w:rPr>
            </w:pPr>
            <w:r>
              <w:rPr>
                <w:rFonts w:ascii="Arial" w:cs="Arial" w:eastAsia="Arial" w:hAnsi="Arial"/>
                <w:sz w:val="14"/>
                <w:szCs w:val="14"/>
                <w:color w:val="auto"/>
              </w:rPr>
              <w:t>Issuance of common stock under employee stock plans</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242,048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Shares withheld for taxes related to vesting of equity awards</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720" w:type="dxa"/>
            <w:vAlign w:val="bottom"/>
          </w:tcPr>
          <w:p>
            <w:pPr>
              <w:ind w:left="200"/>
              <w:spacing w:after="0"/>
              <w:rPr>
                <w:sz w:val="20"/>
                <w:szCs w:val="20"/>
                <w:color w:val="auto"/>
              </w:rPr>
            </w:pPr>
            <w:r>
              <w:rPr>
                <w:rFonts w:ascii="Arial" w:cs="Arial" w:eastAsia="Arial" w:hAnsi="Arial"/>
                <w:sz w:val="14"/>
                <w:szCs w:val="14"/>
                <w:color w:val="auto"/>
              </w:rPr>
              <w:t>Stock repurchase</w:t>
            </w:r>
          </w:p>
        </w:tc>
        <w:tc>
          <w:tcPr>
            <w:tcW w:w="980" w:type="dxa"/>
            <w:vAlign w:val="bottom"/>
            <w:gridSpan w:val="3"/>
          </w:tcPr>
          <w:p>
            <w:pPr>
              <w:jc w:val="right"/>
              <w:ind w:right="20"/>
              <w:spacing w:after="0"/>
              <w:rPr>
                <w:sz w:val="20"/>
                <w:szCs w:val="20"/>
                <w:color w:val="auto"/>
              </w:rPr>
            </w:pPr>
            <w:r>
              <w:rPr>
                <w:rFonts w:ascii="Arial" w:cs="Arial" w:eastAsia="Arial" w:hAnsi="Arial"/>
                <w:sz w:val="14"/>
                <w:szCs w:val="14"/>
                <w:color w:val="auto"/>
              </w:rPr>
              <w:t>(936)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5"/>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Share-based compensation</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Balance as of January 1, 2021</w:t>
            </w:r>
          </w:p>
        </w:tc>
        <w:tc>
          <w:tcPr>
            <w:tcW w:w="4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11,127,836</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816,985</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(718,164)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w w:val="91"/>
              </w:rPr>
              <w:t>(14,371)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84,563</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10"/>
          </w:tcPr>
          <w:p>
            <w:pPr>
              <w:ind w:left="540"/>
              <w:spacing w:after="0"/>
              <w:rPr>
                <w:sz w:val="20"/>
                <w:szCs w:val="20"/>
                <w:color w:val="auto"/>
              </w:rPr>
            </w:pPr>
            <w:r>
              <w:rPr>
                <w:rFonts w:ascii="Arial" w:cs="Arial" w:eastAsia="Arial" w:hAnsi="Arial"/>
                <w:sz w:val="14"/>
                <w:szCs w:val="14"/>
                <w:b w:val="1"/>
                <w:bCs w:val="1"/>
                <w:color w:val="auto"/>
              </w:rPr>
              <w:t>Six Months Ended December 31, 2021</w:t>
            </w: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192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6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center"/>
              <w:ind w:right="50"/>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1"/>
                <w:szCs w:val="11"/>
                <w:color w:val="auto"/>
              </w:rPr>
            </w:pPr>
          </w:p>
        </w:tc>
        <w:tc>
          <w:tcPr>
            <w:tcW w:w="14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1"/>
              </w:rPr>
              <w:t>Accumulated Other</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760" w:type="dxa"/>
            <w:vAlign w:val="bottom"/>
          </w:tcPr>
          <w:p>
            <w:pPr>
              <w:spacing w:after="0"/>
              <w:rPr>
                <w:sz w:val="11"/>
                <w:szCs w:val="11"/>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83"/>
        </w:trPr>
        <w:tc>
          <w:tcPr>
            <w:tcW w:w="3760" w:type="dxa"/>
            <w:vAlign w:val="bottom"/>
          </w:tcPr>
          <w:p>
            <w:pPr>
              <w:ind w:left="20"/>
              <w:spacing w:after="0"/>
              <w:rPr>
                <w:sz w:val="20"/>
                <w:szCs w:val="20"/>
                <w:color w:val="auto"/>
              </w:rPr>
            </w:pPr>
            <w:r>
              <w:rPr>
                <w:rFonts w:ascii="Arial" w:cs="Arial" w:eastAsia="Arial" w:hAnsi="Arial"/>
                <w:sz w:val="12"/>
                <w:szCs w:val="12"/>
                <w:b w:val="1"/>
                <w:bCs w:val="1"/>
                <w:color w:val="auto"/>
              </w:rPr>
              <w:t>(In thousands, except share amounts)</w:t>
            </w: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5"/>
                <w:szCs w:val="15"/>
                <w:color w:val="auto"/>
              </w:rPr>
            </w:pPr>
          </w:p>
        </w:tc>
        <w:tc>
          <w:tcPr>
            <w:tcW w:w="1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Comprehensive Loss</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2,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11,153,445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818,939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(620,602)</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(14,327)</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183,335</w:t>
            </w:r>
          </w:p>
        </w:tc>
        <w:tc>
          <w:tcPr>
            <w:tcW w:w="0" w:type="dxa"/>
            <w:vAlign w:val="bottom"/>
          </w:tcPr>
          <w:p>
            <w:pPr>
              <w:spacing w:after="0"/>
              <w:rPr>
                <w:sz w:val="1"/>
                <w:szCs w:val="1"/>
                <w:color w:val="auto"/>
              </w:rPr>
            </w:pPr>
          </w:p>
        </w:tc>
      </w:tr>
      <w:tr>
        <w:trPr>
          <w:trHeight w:val="181"/>
        </w:trPr>
        <w:tc>
          <w:tcPr>
            <w:tcW w:w="37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10,598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10,598</w:t>
            </w:r>
          </w:p>
        </w:tc>
        <w:tc>
          <w:tcPr>
            <w:tcW w:w="0" w:type="dxa"/>
            <w:vAlign w:val="bottom"/>
          </w:tcPr>
          <w:p>
            <w:pPr>
              <w:spacing w:after="0"/>
              <w:rPr>
                <w:sz w:val="1"/>
                <w:szCs w:val="1"/>
                <w:color w:val="auto"/>
              </w:rPr>
            </w:pPr>
          </w:p>
        </w:tc>
      </w:tr>
      <w:tr>
        <w:trPr>
          <w:trHeight w:val="185"/>
        </w:trPr>
        <w:tc>
          <w:tcPr>
            <w:tcW w:w="3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 net of tax</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81"/>
        </w:trPr>
        <w:tc>
          <w:tcPr>
            <w:tcW w:w="3760" w:type="dxa"/>
            <w:vAlign w:val="bottom"/>
          </w:tcPr>
          <w:p>
            <w:pPr>
              <w:ind w:left="200"/>
              <w:spacing w:after="0"/>
              <w:rPr>
                <w:sz w:val="20"/>
                <w:szCs w:val="20"/>
                <w:color w:val="auto"/>
              </w:rPr>
            </w:pPr>
            <w:r>
              <w:rPr>
                <w:rFonts w:ascii="Arial" w:cs="Arial" w:eastAsia="Arial" w:hAnsi="Arial"/>
                <w:sz w:val="14"/>
                <w:szCs w:val="14"/>
                <w:color w:val="auto"/>
              </w:rPr>
              <w:t>Issuance of common stock under employee stock plans</w:t>
            </w:r>
          </w:p>
        </w:tc>
        <w:tc>
          <w:tcPr>
            <w:tcW w:w="940" w:type="dxa"/>
            <w:vAlign w:val="bottom"/>
          </w:tcPr>
          <w:p>
            <w:pPr>
              <w:jc w:val="right"/>
              <w:spacing w:after="0"/>
              <w:rPr>
                <w:sz w:val="20"/>
                <w:szCs w:val="20"/>
                <w:color w:val="auto"/>
              </w:rPr>
            </w:pPr>
            <w:r>
              <w:rPr>
                <w:rFonts w:ascii="Arial" w:cs="Arial" w:eastAsia="Arial" w:hAnsi="Arial"/>
                <w:sz w:val="14"/>
                <w:szCs w:val="14"/>
                <w:color w:val="auto"/>
              </w:rPr>
              <w:t>135,669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185"/>
        </w:trPr>
        <w:tc>
          <w:tcPr>
            <w:tcW w:w="376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4"/>
              </w:rPr>
              <w:t>Shares withheld for taxes related to vesting of equity awards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81"/>
        </w:trPr>
        <w:tc>
          <w:tcPr>
            <w:tcW w:w="3760" w:type="dxa"/>
            <w:vAlign w:val="bottom"/>
          </w:tcPr>
          <w:p>
            <w:pPr>
              <w:ind w:left="200"/>
              <w:spacing w:after="0"/>
              <w:rPr>
                <w:sz w:val="20"/>
                <w:szCs w:val="20"/>
                <w:color w:val="auto"/>
              </w:rPr>
            </w:pPr>
            <w:r>
              <w:rPr>
                <w:rFonts w:ascii="Arial" w:cs="Arial" w:eastAsia="Arial" w:hAnsi="Arial"/>
                <w:sz w:val="14"/>
                <w:szCs w:val="14"/>
                <w:color w:val="auto"/>
              </w:rPr>
              <w:t>Stock repurchase</w:t>
            </w:r>
          </w:p>
        </w:tc>
        <w:tc>
          <w:tcPr>
            <w:tcW w:w="940" w:type="dxa"/>
            <w:vAlign w:val="bottom"/>
          </w:tcPr>
          <w:p>
            <w:pPr>
              <w:jc w:val="right"/>
              <w:spacing w:after="0"/>
              <w:rPr>
                <w:sz w:val="20"/>
                <w:szCs w:val="20"/>
                <w:color w:val="auto"/>
              </w:rPr>
            </w:pPr>
            <w:r>
              <w:rPr>
                <w:rFonts w:ascii="Arial" w:cs="Arial" w:eastAsia="Arial" w:hAnsi="Arial"/>
                <w:sz w:val="14"/>
                <w:szCs w:val="14"/>
                <w:color w:val="auto"/>
              </w:rPr>
              <w:t>(83,438)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(2,622)</w:t>
            </w:r>
          </w:p>
        </w:tc>
        <w:tc>
          <w:tcPr>
            <w:tcW w:w="0" w:type="dxa"/>
            <w:vAlign w:val="bottom"/>
          </w:tcPr>
          <w:p>
            <w:pPr>
              <w:spacing w:after="0"/>
              <w:rPr>
                <w:sz w:val="1"/>
                <w:szCs w:val="1"/>
                <w:color w:val="auto"/>
              </w:rPr>
            </w:pPr>
          </w:p>
        </w:tc>
      </w:tr>
      <w:tr>
        <w:trPr>
          <w:trHeight w:val="183"/>
        </w:trPr>
        <w:tc>
          <w:tcPr>
            <w:tcW w:w="3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w:t>
            </w:r>
          </w:p>
        </w:tc>
        <w:tc>
          <w:tcPr>
            <w:tcW w:w="0" w:type="dxa"/>
            <w:vAlign w:val="bottom"/>
          </w:tcPr>
          <w:p>
            <w:pPr>
              <w:spacing w:after="0"/>
              <w:rPr>
                <w:sz w:val="1"/>
                <w:szCs w:val="1"/>
                <w:color w:val="auto"/>
              </w:rPr>
            </w:pPr>
          </w:p>
        </w:tc>
      </w:tr>
      <w:tr>
        <w:trPr>
          <w:trHeight w:val="178"/>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11,195,542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(3,408)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820,791</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(610,004)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(14,599)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192,892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37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0"/>
          </w:tcPr>
          <w:p>
            <w:pPr>
              <w:ind w:left="640"/>
              <w:spacing w:after="0"/>
              <w:rPr>
                <w:sz w:val="20"/>
                <w:szCs w:val="20"/>
                <w:color w:val="auto"/>
              </w:rPr>
            </w:pPr>
            <w:r>
              <w:rPr>
                <w:rFonts w:ascii="Arial" w:cs="Arial" w:eastAsia="Arial" w:hAnsi="Arial"/>
                <w:sz w:val="14"/>
                <w:szCs w:val="14"/>
                <w:b w:val="1"/>
                <w:bCs w:val="1"/>
                <w:color w:val="auto"/>
              </w:rPr>
              <w:t>Six Months Ended January 1, 2021</w:t>
            </w: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192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vMerge w:val="restart"/>
          </w:tcPr>
          <w:p>
            <w:pPr>
              <w:jc w:val="center"/>
              <w:ind w:right="50"/>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12"/>
                <w:szCs w:val="12"/>
                <w:color w:val="auto"/>
              </w:rPr>
            </w:pPr>
          </w:p>
        </w:tc>
        <w:tc>
          <w:tcPr>
            <w:tcW w:w="14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1"/>
              </w:rPr>
              <w:t>Accumulated Other</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760" w:type="dxa"/>
            <w:vAlign w:val="bottom"/>
          </w:tcPr>
          <w:p>
            <w:pPr>
              <w:spacing w:after="0"/>
              <w:rPr>
                <w:sz w:val="11"/>
                <w:szCs w:val="11"/>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83"/>
        </w:trPr>
        <w:tc>
          <w:tcPr>
            <w:tcW w:w="3760" w:type="dxa"/>
            <w:vAlign w:val="bottom"/>
          </w:tcPr>
          <w:p>
            <w:pPr>
              <w:ind w:left="20"/>
              <w:spacing w:after="0"/>
              <w:rPr>
                <w:sz w:val="20"/>
                <w:szCs w:val="20"/>
                <w:color w:val="auto"/>
              </w:rPr>
            </w:pPr>
            <w:r>
              <w:rPr>
                <w:rFonts w:ascii="Arial" w:cs="Arial" w:eastAsia="Arial" w:hAnsi="Arial"/>
                <w:sz w:val="12"/>
                <w:szCs w:val="12"/>
                <w:b w:val="1"/>
                <w:bCs w:val="1"/>
                <w:color w:val="auto"/>
              </w:rPr>
              <w:t>(In thousands, except share amounts)</w:t>
            </w: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Deficit</w:t>
            </w:r>
          </w:p>
        </w:tc>
        <w:tc>
          <w:tcPr>
            <w:tcW w:w="20" w:type="dxa"/>
            <w:vAlign w:val="bottom"/>
          </w:tcPr>
          <w:p>
            <w:pPr>
              <w:spacing w:after="0"/>
              <w:rPr>
                <w:sz w:val="15"/>
                <w:szCs w:val="15"/>
                <w:color w:val="auto"/>
              </w:rPr>
            </w:pPr>
          </w:p>
        </w:tc>
        <w:tc>
          <w:tcPr>
            <w:tcW w:w="1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Comprehensive Loss</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3,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10,800,974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814,283</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(730,741)</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(14,969)</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68,681</w:t>
            </w:r>
          </w:p>
        </w:tc>
        <w:tc>
          <w:tcPr>
            <w:tcW w:w="0" w:type="dxa"/>
            <w:vAlign w:val="bottom"/>
          </w:tcPr>
          <w:p>
            <w:pPr>
              <w:spacing w:after="0"/>
              <w:rPr>
                <w:sz w:val="1"/>
                <w:szCs w:val="1"/>
                <w:color w:val="auto"/>
              </w:rPr>
            </w:pPr>
          </w:p>
        </w:tc>
      </w:tr>
      <w:tr>
        <w:trPr>
          <w:trHeight w:val="181"/>
        </w:trPr>
        <w:tc>
          <w:tcPr>
            <w:tcW w:w="37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12,577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12,577</w:t>
            </w:r>
          </w:p>
        </w:tc>
        <w:tc>
          <w:tcPr>
            <w:tcW w:w="0" w:type="dxa"/>
            <w:vAlign w:val="bottom"/>
          </w:tcPr>
          <w:p>
            <w:pPr>
              <w:spacing w:after="0"/>
              <w:rPr>
                <w:sz w:val="1"/>
                <w:szCs w:val="1"/>
                <w:color w:val="auto"/>
              </w:rPr>
            </w:pPr>
          </w:p>
        </w:tc>
      </w:tr>
      <w:tr>
        <w:trPr>
          <w:trHeight w:val="185"/>
        </w:trPr>
        <w:tc>
          <w:tcPr>
            <w:tcW w:w="3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loss, net of tax</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81"/>
        </w:trPr>
        <w:tc>
          <w:tcPr>
            <w:tcW w:w="3760" w:type="dxa"/>
            <w:vAlign w:val="bottom"/>
          </w:tcPr>
          <w:p>
            <w:pPr>
              <w:ind w:left="200"/>
              <w:spacing w:after="0"/>
              <w:rPr>
                <w:sz w:val="20"/>
                <w:szCs w:val="20"/>
                <w:color w:val="auto"/>
              </w:rPr>
            </w:pPr>
            <w:r>
              <w:rPr>
                <w:rFonts w:ascii="Arial" w:cs="Arial" w:eastAsia="Arial" w:hAnsi="Arial"/>
                <w:sz w:val="14"/>
                <w:szCs w:val="14"/>
                <w:color w:val="auto"/>
              </w:rPr>
              <w:t>Issuance of common stock under employee stock plans</w:t>
            </w:r>
          </w:p>
        </w:tc>
        <w:tc>
          <w:tcPr>
            <w:tcW w:w="940" w:type="dxa"/>
            <w:vAlign w:val="bottom"/>
          </w:tcPr>
          <w:p>
            <w:pPr>
              <w:jc w:val="right"/>
              <w:spacing w:after="0"/>
              <w:rPr>
                <w:sz w:val="20"/>
                <w:szCs w:val="20"/>
                <w:color w:val="auto"/>
              </w:rPr>
            </w:pPr>
            <w:r>
              <w:rPr>
                <w:rFonts w:ascii="Arial" w:cs="Arial" w:eastAsia="Arial" w:hAnsi="Arial"/>
                <w:sz w:val="14"/>
                <w:szCs w:val="14"/>
                <w:color w:val="auto"/>
              </w:rPr>
              <w:t>339,030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1,486</w:t>
            </w:r>
          </w:p>
        </w:tc>
        <w:tc>
          <w:tcPr>
            <w:tcW w:w="0" w:type="dxa"/>
            <w:vAlign w:val="bottom"/>
          </w:tcPr>
          <w:p>
            <w:pPr>
              <w:spacing w:after="0"/>
              <w:rPr>
                <w:sz w:val="1"/>
                <w:szCs w:val="1"/>
                <w:color w:val="auto"/>
              </w:rPr>
            </w:pPr>
          </w:p>
        </w:tc>
      </w:tr>
      <w:tr>
        <w:trPr>
          <w:trHeight w:val="185"/>
        </w:trPr>
        <w:tc>
          <w:tcPr>
            <w:tcW w:w="376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4"/>
              </w:rPr>
              <w:t>Shares withheld for taxes related to vesting of equity awards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1"/>
        </w:trPr>
        <w:tc>
          <w:tcPr>
            <w:tcW w:w="3760" w:type="dxa"/>
            <w:vAlign w:val="bottom"/>
          </w:tcPr>
          <w:p>
            <w:pPr>
              <w:ind w:left="200"/>
              <w:spacing w:after="0"/>
              <w:rPr>
                <w:sz w:val="20"/>
                <w:szCs w:val="20"/>
                <w:color w:val="auto"/>
              </w:rPr>
            </w:pPr>
            <w:r>
              <w:rPr>
                <w:rFonts w:ascii="Arial" w:cs="Arial" w:eastAsia="Arial" w:hAnsi="Arial"/>
                <w:sz w:val="14"/>
                <w:szCs w:val="14"/>
                <w:color w:val="auto"/>
              </w:rPr>
              <w:t>Stock repurchase</w:t>
            </w:r>
          </w:p>
        </w:tc>
        <w:tc>
          <w:tcPr>
            <w:tcW w:w="940" w:type="dxa"/>
            <w:vAlign w:val="bottom"/>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5"/>
        </w:trPr>
        <w:tc>
          <w:tcPr>
            <w:tcW w:w="3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176"/>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as of January 1,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11,127,836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816,985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(718,164)</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(14,371)</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84,563</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180" w:hanging="175"/>
        <w:spacing w:after="0"/>
        <w:tabs>
          <w:tab w:leader="none" w:pos="180" w:val="left"/>
        </w:tabs>
        <w:numPr>
          <w:ilvl w:val="0"/>
          <w:numId w:val="3"/>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See Note 1 Stock Split.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 w:name="page11"/>
    <w:bookmarkEnd w:id="10"/>
    <w:p>
      <w:pPr>
        <w:ind w:left="4600"/>
        <w:spacing w:after="0"/>
        <w:rPr>
          <w:sz w:val="20"/>
          <w:szCs w:val="20"/>
          <w:color w:val="auto"/>
        </w:rPr>
      </w:pPr>
      <w:r>
        <w:rPr>
          <w:rFonts w:ascii="Arial" w:cs="Arial" w:eastAsia="Arial" w:hAnsi="Arial"/>
          <w:sz w:val="17"/>
          <w:szCs w:val="17"/>
          <w:b w:val="1"/>
          <w:bCs w:val="1"/>
          <w:color w:val="auto"/>
        </w:rPr>
        <w:t>AVIAT NETWORKS, INC.</w:t>
      </w:r>
    </w:p>
    <w:p>
      <w:pPr>
        <w:spacing w:after="0" w:line="105"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The Company and Basis of Presentation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license-exempt applications, supporting new network deployments, network expansion, and capacity upgrades.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70"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we have made estimates, assumptions and judgments affecting the amounts reported in our unaudited condensed consolidated financial statements and the accompanying notes, as discussed in greater detail below.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and six months ended December 31, 2021 are not necessarily indicative of the results that may be expected for the full fiscal year or future operating periods. The information included in this Quarterly Report on Form 10-Q should be read in conjunction with the consolidated financial statements and footnotes thereto included in our Annual Report on Form 10-K for the fiscal year ended July 2, 2021.</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unaudited condensed consolidated financial statements include the accounts of the Company and its wholly owned and majority-owned subsidiaries.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All intercompany transactions and accounts have been eliminated.</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operate on a 52-week or 53-week year ending on the Friday closest to June 30. The three months ended December 31, 2021 consisted of 13 weeks and the three months ended January 1, 2021 consisted of 13 weeks. Fiscal year 2022 will be comprised of 52 weeks and will end on July 1, 2022. Fiscal year 2021 was comprised of 52 weeks and ended on July 2, 2021.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Split</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On April 7, 2021 we effected a two-for-one split in the form of a stock dividend to shareholders of record as of April 1, 2021. Common stock, Additional paid-in-capital, per share and equity award amounts for all periods presented have been retrospectively reclassified to reflect the two-for-one stock split in the form of a stock dividend.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7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contingencies and recoverability of long-lived assets. The actual results that we experience may differ materially from our estimates.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auto"/>
        </w:rPr>
        <w:t>Summary of Significant Accounting Policies</w:t>
      </w:r>
    </w:p>
    <w:p>
      <w:pPr>
        <w:spacing w:after="0" w:line="170"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There have been no material changes in our significant accounting policies as of December 31, 2021 and for the six months ended December 31, 2021, as compared to the significant accounting policies described in our Annual Report on Form 10-K for the fiscal year ended July 2, 2021.</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Standards Adopted</w:t>
      </w:r>
    </w:p>
    <w:p>
      <w:pPr>
        <w:spacing w:after="0" w:line="170" w:lineRule="exact"/>
        <w:rPr>
          <w:sz w:val="20"/>
          <w:szCs w:val="20"/>
          <w:color w:val="auto"/>
        </w:rPr>
      </w:pPr>
    </w:p>
    <w:p>
      <w:pPr>
        <w:jc w:val="both"/>
        <w:ind w:right="100" w:firstLine="470"/>
        <w:spacing w:after="0" w:line="264" w:lineRule="auto"/>
        <w:rPr>
          <w:sz w:val="20"/>
          <w:szCs w:val="20"/>
          <w:color w:val="auto"/>
        </w:rPr>
      </w:pPr>
      <w:r>
        <w:rPr>
          <w:rFonts w:ascii="Arial" w:cs="Arial" w:eastAsia="Arial" w:hAnsi="Arial"/>
          <w:sz w:val="17"/>
          <w:szCs w:val="17"/>
          <w:color w:val="auto"/>
        </w:rPr>
        <w:t>In December 2019, the Financial Accounting Standards Board (“FASB”) issued Accounting Standards Update (“ASU”) 2019-12, Income Taxes (Topic 740). This guidance simplifies the accounting for income taxes by removing certain exceptions to the general principles and also simplifies areas such as franchise taxes, step-up in tax basis of goodwill, separate entity financial statements and interim recognition of enactment of tax laws and rate changes. ASU 2019-12 became effective for us in our first quarter of fiscal 2022. The adoption had no material impact on our unaudited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Standards Not Yet Adopted</w:t>
      </w:r>
    </w:p>
    <w:p>
      <w:pPr>
        <w:spacing w:after="0" w:line="170" w:lineRule="exact"/>
        <w:rPr>
          <w:sz w:val="20"/>
          <w:szCs w:val="20"/>
          <w:color w:val="auto"/>
        </w:rPr>
      </w:pPr>
    </w:p>
    <w:p>
      <w:pPr>
        <w:jc w:val="both"/>
        <w:ind w:right="100" w:firstLine="470"/>
        <w:spacing w:after="0" w:line="264"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This guidance provides optional guidance related to reference rate reform, which provides practical expedients for contract modifications and certain hedging relationships associated with the transition from reference rates that are expected to be discontinued. This guidance is applicable for our borrowing instruments, which use LIBOR as a reference rate, and was effective March 12, 2020 through December 31, 2022. We are currently evaluating the potential impact ASU 2020-04 will have on our unaudited condensed consolidated financial statements.</w:t>
      </w:r>
    </w:p>
    <w:p>
      <w:pPr>
        <w:spacing w:after="0" w:line="127" w:lineRule="exact"/>
        <w:rPr>
          <w:sz w:val="20"/>
          <w:szCs w:val="20"/>
          <w:color w:val="auto"/>
        </w:rPr>
      </w:pPr>
    </w:p>
    <w:p>
      <w:pPr>
        <w:jc w:val="both"/>
        <w:ind w:right="100" w:firstLine="470"/>
        <w:spacing w:after="0" w:line="313"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Instruments-Credit Losses (Topic 326): Measurement of Credit Losses on Financial Instruments</w:t>
      </w:r>
      <w:r>
        <w:rPr>
          <w:rFonts w:ascii="Arial" w:cs="Arial" w:eastAsia="Arial" w:hAnsi="Arial"/>
          <w:sz w:val="15"/>
          <w:szCs w:val="15"/>
          <w:color w:val="auto"/>
        </w:rPr>
        <w:t xml:space="preserve"> (ASU 2016-13) and also issued subsequent amendments to the initial guidance: ASU 2018-19, ASU 2019-04, and ASU 2019-05 (collectively, Topic 326). Topic 326 requires measurement and recognition of expected credit losses for financial assets held. Topic 326 will be effective for us in our first quarter of fiscal 2024 and earlier adoption is permitted. We are evaluating the impact adopting Topic 326 will have on our unaudited condensed consolidated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Balance Sheet Components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70"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The following table provides a summary of our cash, cash equivalents, and restricted cash reported within our unaudited condensed consolidated balance sheets that reconciles to the corresponding amount in our unaudited condensed consolidated statement of cash flows:</w:t>
      </w:r>
    </w:p>
    <w:p>
      <w:pPr>
        <w:spacing w:after="0" w:line="114"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9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4"/>
                <w:szCs w:val="14"/>
                <w:color w:val="auto"/>
              </w:rPr>
            </w:pPr>
          </w:p>
        </w:tc>
        <w:tc>
          <w:tcPr>
            <w:tcW w:w="880" w:type="dxa"/>
            <w:vAlign w:val="bottom"/>
          </w:tcPr>
          <w:p>
            <w:pPr>
              <w:jc w:val="right"/>
              <w:ind w:right="102"/>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83"/>
        </w:trPr>
        <w:tc>
          <w:tcPr>
            <w:tcW w:w="698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Cash and cash equivalents</w:t>
            </w:r>
          </w:p>
        </w:tc>
        <w:tc>
          <w:tcPr>
            <w:tcW w:w="7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42,326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2"/>
        </w:trPr>
        <w:tc>
          <w:tcPr>
            <w:tcW w:w="698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Restricted cash included in other assets</w:t>
            </w: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cash, cash equivalents, and restricted cash in the Statement of Cash Flows</w:t>
            </w:r>
          </w:p>
        </w:tc>
        <w:tc>
          <w:tcPr>
            <w:tcW w:w="7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42,553</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net</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net accounts receivable are summarized below:</w:t>
      </w:r>
    </w:p>
    <w:p>
      <w:pPr>
        <w:spacing w:after="0" w:line="17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7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4"/>
                <w:szCs w:val="14"/>
                <w:color w:val="auto"/>
              </w:rPr>
            </w:pPr>
          </w:p>
        </w:tc>
        <w:tc>
          <w:tcPr>
            <w:tcW w:w="1040" w:type="dxa"/>
            <w:vAlign w:val="bottom"/>
          </w:tcPr>
          <w:p>
            <w:pPr>
              <w:jc w:val="right"/>
              <w:ind w:right="200"/>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83"/>
        </w:trPr>
        <w:tc>
          <w:tcPr>
            <w:tcW w:w="676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Accounts receivable</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ind w:left="880"/>
              <w:spacing w:after="0"/>
              <w:rPr>
                <w:sz w:val="20"/>
                <w:szCs w:val="20"/>
                <w:color w:val="auto"/>
              </w:rPr>
            </w:pPr>
            <w:r>
              <w:rPr>
                <w:rFonts w:ascii="Arial" w:cs="Arial" w:eastAsia="Arial" w:hAnsi="Arial"/>
                <w:sz w:val="17"/>
                <w:szCs w:val="17"/>
                <w:color w:val="auto"/>
                <w:w w:val="99"/>
              </w:rPr>
              <w:t>70,903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center"/>
              <w:ind w:left="780"/>
              <w:spacing w:after="0"/>
              <w:rPr>
                <w:sz w:val="20"/>
                <w:szCs w:val="20"/>
                <w:color w:val="auto"/>
              </w:rPr>
            </w:pPr>
            <w:r>
              <w:rPr>
                <w:rFonts w:ascii="Arial" w:cs="Arial" w:eastAsia="Arial" w:hAnsi="Arial"/>
                <w:sz w:val="17"/>
                <w:szCs w:val="17"/>
                <w:color w:val="auto"/>
                <w:w w:val="94"/>
              </w:rPr>
              <w:t>50</w:t>
            </w:r>
          </w:p>
        </w:tc>
        <w:tc>
          <w:tcPr>
            <w:tcW w:w="0" w:type="dxa"/>
            <w:vAlign w:val="bottom"/>
          </w:tcPr>
          <w:p>
            <w:pPr>
              <w:spacing w:after="0"/>
              <w:rPr>
                <w:sz w:val="1"/>
                <w:szCs w:val="1"/>
                <w:color w:val="auto"/>
              </w:rPr>
            </w:pPr>
          </w:p>
        </w:tc>
      </w:tr>
      <w:tr>
        <w:trPr>
          <w:trHeight w:val="222"/>
        </w:trPr>
        <w:tc>
          <w:tcPr>
            <w:tcW w:w="676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Less: Allowances for collection losses</w:t>
            </w:r>
          </w:p>
        </w:tc>
        <w:tc>
          <w:tcPr>
            <w:tcW w:w="7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w w:val="92"/>
              </w:rPr>
              <w:t>(1,829)</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780"/>
              <w:spacing w:after="0"/>
              <w:rPr>
                <w:sz w:val="20"/>
                <w:szCs w:val="20"/>
                <w:color w:val="auto"/>
              </w:rPr>
            </w:pPr>
            <w:r>
              <w:rPr>
                <w:rFonts w:ascii="Arial" w:cs="Arial" w:eastAsia="Arial" w:hAnsi="Arial"/>
                <w:sz w:val="17"/>
                <w:szCs w:val="17"/>
                <w:color w:val="auto"/>
                <w:w w:val="92"/>
              </w:rPr>
              <w:t>(2</w:t>
            </w:r>
          </w:p>
        </w:tc>
        <w:tc>
          <w:tcPr>
            <w:tcW w:w="0" w:type="dxa"/>
            <w:vAlign w:val="bottom"/>
          </w:tcPr>
          <w:p>
            <w:pPr>
              <w:spacing w:after="0"/>
              <w:rPr>
                <w:sz w:val="1"/>
                <w:szCs w:val="1"/>
                <w:color w:val="auto"/>
              </w:rPr>
            </w:pPr>
          </w:p>
        </w:tc>
      </w:tr>
      <w:tr>
        <w:trPr>
          <w:trHeight w:val="240"/>
        </w:trPr>
        <w:tc>
          <w:tcPr>
            <w:tcW w:w="67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accounts receivable, net</w:t>
            </w:r>
          </w:p>
        </w:tc>
        <w:tc>
          <w:tcPr>
            <w:tcW w:w="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w w:val="99"/>
              </w:rPr>
              <w:t>69,074</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center"/>
              <w:ind w:left="780"/>
              <w:spacing w:after="0"/>
              <w:rPr>
                <w:sz w:val="20"/>
                <w:szCs w:val="20"/>
                <w:color w:val="auto"/>
              </w:rPr>
            </w:pPr>
            <w:r>
              <w:rPr>
                <w:rFonts w:ascii="Arial" w:cs="Arial" w:eastAsia="Arial" w:hAnsi="Arial"/>
                <w:sz w:val="17"/>
                <w:szCs w:val="17"/>
                <w:color w:val="auto"/>
                <w:w w:val="94"/>
              </w:rPr>
              <w:t>48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25"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inventories are summarized below:</w:t>
      </w:r>
    </w:p>
    <w:p>
      <w:pPr>
        <w:spacing w:after="0" w:line="17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7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4"/>
                <w:szCs w:val="14"/>
                <w:color w:val="auto"/>
              </w:rPr>
            </w:pPr>
          </w:p>
        </w:tc>
        <w:tc>
          <w:tcPr>
            <w:tcW w:w="1040" w:type="dxa"/>
            <w:vAlign w:val="bottom"/>
          </w:tcPr>
          <w:p>
            <w:pPr>
              <w:jc w:val="right"/>
              <w:ind w:right="199"/>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83"/>
        </w:trPr>
        <w:tc>
          <w:tcPr>
            <w:tcW w:w="676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Finished products</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2"/>
        </w:trPr>
        <w:tc>
          <w:tcPr>
            <w:tcW w:w="676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Raw materials and supplies</w:t>
            </w:r>
          </w:p>
        </w:tc>
        <w:tc>
          <w:tcPr>
            <w:tcW w:w="7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10,037</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4"/>
        </w:trPr>
        <w:tc>
          <w:tcPr>
            <w:tcW w:w="6760" w:type="dxa"/>
            <w:vAlign w:val="bottom"/>
            <w:tcBorders>
              <w:bottom w:val="single" w:sz="8" w:color="CCEEFF"/>
            </w:tcBorders>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inventories</w:t>
            </w:r>
          </w:p>
        </w:tc>
        <w:tc>
          <w:tcPr>
            <w:tcW w:w="760" w:type="dxa"/>
            <w:vAlign w:val="bottom"/>
            <w:tcBorders>
              <w:bottom w:val="single" w:sz="8" w:color="auto"/>
            </w:tcBorders>
            <w:shd w:val="clear" w:color="auto" w:fill="CCEEFF"/>
          </w:tcPr>
          <w:p>
            <w:pPr>
              <w:jc w:val="right"/>
              <w:ind w:right="93"/>
              <w:spacing w:after="0" w:line="189"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25,615</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3"/>
              <w:spacing w:after="0" w:line="189"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7"/>
                <w:szCs w:val="17"/>
                <w:color w:val="auto"/>
              </w:rPr>
              <w:t>Consigned inventories included within raw materials and supplies</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60" w:type="dxa"/>
            <w:vAlign w:val="bottom"/>
            <w:vMerge w:val="continue"/>
          </w:tcPr>
          <w:p>
            <w:pPr>
              <w:spacing w:after="0"/>
              <w:rPr>
                <w:sz w:val="16"/>
                <w:szCs w:val="16"/>
                <w:color w:val="auto"/>
              </w:rPr>
            </w:pPr>
          </w:p>
        </w:tc>
        <w:tc>
          <w:tcPr>
            <w:tcW w:w="760" w:type="dxa"/>
            <w:vAlign w:val="bottom"/>
          </w:tcPr>
          <w:p>
            <w:pPr>
              <w:jc w:val="right"/>
              <w:ind w:right="93"/>
              <w:spacing w:after="0" w:line="194" w:lineRule="exact"/>
              <w:rPr>
                <w:sz w:val="20"/>
                <w:szCs w:val="20"/>
                <w:color w:val="auto"/>
              </w:rPr>
            </w:pPr>
            <w:r>
              <w:rPr>
                <w:rFonts w:ascii="Arial" w:cs="Arial" w:eastAsia="Arial" w:hAnsi="Arial"/>
                <w:sz w:val="17"/>
                <w:szCs w:val="17"/>
                <w:color w:val="auto"/>
              </w:rPr>
              <w:t>$</w:t>
            </w:r>
          </w:p>
        </w:tc>
        <w:tc>
          <w:tcPr>
            <w:tcW w:w="1420" w:type="dxa"/>
            <w:vAlign w:val="bottom"/>
          </w:tcPr>
          <w:p>
            <w:pPr>
              <w:jc w:val="right"/>
              <w:spacing w:after="0" w:line="194" w:lineRule="exact"/>
              <w:rPr>
                <w:sz w:val="20"/>
                <w:szCs w:val="20"/>
                <w:color w:val="auto"/>
              </w:rPr>
            </w:pPr>
            <w:r>
              <w:rPr>
                <w:rFonts w:ascii="Arial" w:cs="Arial" w:eastAsia="Arial" w:hAnsi="Arial"/>
                <w:sz w:val="17"/>
                <w:szCs w:val="17"/>
                <w:color w:val="auto"/>
              </w:rPr>
              <w:t>8,534</w:t>
            </w:r>
          </w:p>
        </w:tc>
        <w:tc>
          <w:tcPr>
            <w:tcW w:w="120" w:type="dxa"/>
            <w:vAlign w:val="bottom"/>
          </w:tcPr>
          <w:p>
            <w:pPr>
              <w:spacing w:after="0"/>
              <w:rPr>
                <w:sz w:val="16"/>
                <w:szCs w:val="16"/>
                <w:color w:val="auto"/>
              </w:rPr>
            </w:pPr>
          </w:p>
        </w:tc>
        <w:tc>
          <w:tcPr>
            <w:tcW w:w="760" w:type="dxa"/>
            <w:vAlign w:val="bottom"/>
          </w:tcPr>
          <w:p>
            <w:pPr>
              <w:jc w:val="right"/>
              <w:ind w:right="113"/>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increased certain levels of inventory during the three and six months ended December 31, 2021 primarily to mitigate supply chain constraints.</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currently rely on a few vendors for substantially all of our inventory purchases.</w:t>
      </w:r>
    </w:p>
    <w:p>
      <w:pPr>
        <w:spacing w:after="0" w:line="170"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We record charges to adjust our inventory and customer service inventory due to excess and obsolete inventory resulting from lower sales forecasts, product transitioning, or discontinuance. The charges during the three and six months ended December 31, 2021 and January 1, 2021 were classified in cost of product sales as follows:</w:t>
      </w:r>
    </w:p>
    <w:p>
      <w:pPr>
        <w:spacing w:after="0" w:line="149" w:lineRule="exact"/>
        <w:rPr>
          <w:sz w:val="20"/>
          <w:szCs w:val="20"/>
          <w:color w:val="auto"/>
        </w:rPr>
      </w:pPr>
    </w:p>
    <w:tbl>
      <w:tblPr>
        <w:tblLayout w:type="fixed"/>
        <w:tblInd w:w="48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0" w:type="dxa"/>
            <w:vAlign w:val="bottom"/>
            <w:gridSpan w:val="5"/>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6"/>
                <w:szCs w:val="16"/>
                <w:color w:val="auto"/>
              </w:rPr>
            </w:pPr>
          </w:p>
        </w:tc>
        <w:tc>
          <w:tcPr>
            <w:tcW w:w="2740" w:type="dxa"/>
            <w:vAlign w:val="bottom"/>
            <w:gridSpan w:val="3"/>
          </w:tcPr>
          <w:p>
            <w:pPr>
              <w:jc w:val="right"/>
              <w:ind w:right="64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36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December 31,</w:t>
            </w:r>
          </w:p>
        </w:tc>
        <w:tc>
          <w:tcPr>
            <w:tcW w:w="6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80"/>
              <w:spacing w:after="0" w:line="129" w:lineRule="exact"/>
              <w:rPr>
                <w:sz w:val="20"/>
                <w:szCs w:val="20"/>
                <w:color w:val="auto"/>
              </w:rPr>
            </w:pPr>
            <w:r>
              <w:rPr>
                <w:rFonts w:ascii="Arial" w:cs="Arial" w:eastAsia="Arial" w:hAnsi="Arial"/>
                <w:sz w:val="14"/>
                <w:szCs w:val="14"/>
                <w:b w:val="1"/>
                <w:bCs w:val="1"/>
                <w:color w:val="auto"/>
              </w:rPr>
              <w:t>January 1,</w:t>
            </w: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December 31,</w:t>
            </w:r>
          </w:p>
        </w:tc>
        <w:tc>
          <w:tcPr>
            <w:tcW w:w="1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83"/>
        </w:trPr>
        <w:tc>
          <w:tcPr>
            <w:tcW w:w="3620" w:type="dxa"/>
            <w:vAlign w:val="bottom"/>
            <w:tcBorders>
              <w:bottom w:val="single" w:sz="8" w:color="CCEEFF"/>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580"/>
              <w:spacing w:after="0"/>
              <w:rPr>
                <w:sz w:val="20"/>
                <w:szCs w:val="20"/>
                <w:color w:val="auto"/>
              </w:rPr>
            </w:pPr>
            <w:r>
              <w:rPr>
                <w:rFonts w:ascii="Arial" w:cs="Arial" w:eastAsia="Arial" w:hAnsi="Arial"/>
                <w:sz w:val="17"/>
                <w:szCs w:val="17"/>
                <w:color w:val="auto"/>
              </w:rPr>
              <w:t>Excess and obsolete inventory</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0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620" w:type="dxa"/>
            <w:vAlign w:val="bottom"/>
            <w:tcBorders>
              <w:bottom w:val="single" w:sz="8" w:color="CCEEFF"/>
            </w:tcBorders>
          </w:tcPr>
          <w:p>
            <w:pPr>
              <w:ind w:left="580"/>
              <w:spacing w:after="0"/>
              <w:rPr>
                <w:sz w:val="20"/>
                <w:szCs w:val="20"/>
                <w:color w:val="auto"/>
              </w:rPr>
            </w:pPr>
            <w:r>
              <w:rPr>
                <w:rFonts w:ascii="Arial" w:cs="Arial" w:eastAsia="Arial" w:hAnsi="Arial"/>
                <w:sz w:val="17"/>
                <w:szCs w:val="17"/>
                <w:color w:val="auto"/>
              </w:rPr>
              <w:t>Customer service inventory write-downs</w:t>
            </w: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170</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inventory charges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Held for Sale</w:t>
      </w:r>
    </w:p>
    <w:p>
      <w:pPr>
        <w:spacing w:after="0" w:line="170"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We consider properties to be Assets held for sale when management approves and commits to a plan to dispose of a property or group of properties. The property held for sale prior to the sale date is separately presented on the balance sheet as Assets held for sale.</w:t>
      </w:r>
    </w:p>
    <w:p>
      <w:pPr>
        <w:spacing w:after="0" w:line="106" w:lineRule="exact"/>
        <w:rPr>
          <w:sz w:val="20"/>
          <w:szCs w:val="20"/>
          <w:color w:val="auto"/>
        </w:rPr>
      </w:pPr>
    </w:p>
    <w:p>
      <w:pPr>
        <w:jc w:val="both"/>
        <w:ind w:right="100" w:firstLine="470"/>
        <w:spacing w:after="0" w:line="313" w:lineRule="auto"/>
        <w:rPr>
          <w:sz w:val="20"/>
          <w:szCs w:val="20"/>
          <w:color w:val="auto"/>
        </w:rPr>
      </w:pPr>
      <w:r>
        <w:rPr>
          <w:rFonts w:ascii="Arial" w:cs="Arial" w:eastAsia="Arial" w:hAnsi="Arial"/>
          <w:sz w:val="15"/>
          <w:szCs w:val="15"/>
          <w:color w:val="auto"/>
        </w:rPr>
        <w:t>During the second quarter of fiscal 2021 management initiated the sale of our facility located in the United Kingdom. We expect to complete the sale by the end of third quarter of fiscal 2022. The carrying value of this asset held for sale as of December 31, 2021 of $2.2 million which represents the lower of 1) the carrying value or 2) fair value of the assets, less estimated costs to sell the assets. We performed an analysis and determined the estimated fair value of the assets, less estimated selling costs, is higher than the carrying value of the assets. As a result, no impairment charge was recorded in our statement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 net</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property, plant and equipment, net are summarized below: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380" w:type="dxa"/>
            <w:vAlign w:val="bottom"/>
          </w:tcPr>
          <w:p>
            <w:pPr>
              <w:jc w:val="right"/>
              <w:ind w:right="617"/>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83"/>
        </w:trPr>
        <w:tc>
          <w:tcPr>
            <w:tcW w:w="756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22"/>
        </w:trPr>
        <w:tc>
          <w:tcPr>
            <w:tcW w:w="7560" w:type="dxa"/>
            <w:vAlign w:val="bottom"/>
          </w:tcPr>
          <w:p>
            <w:pPr>
              <w:ind w:left="20"/>
              <w:spacing w:after="0"/>
              <w:rPr>
                <w:sz w:val="20"/>
                <w:szCs w:val="20"/>
                <w:color w:val="auto"/>
              </w:rPr>
            </w:pPr>
            <w:r>
              <w:rPr>
                <w:rFonts w:ascii="Arial" w:cs="Arial" w:eastAsia="Arial" w:hAnsi="Arial"/>
                <w:sz w:val="17"/>
                <w:szCs w:val="17"/>
                <w:color w:val="auto"/>
              </w:rPr>
              <w:t>Buildings and leasehold improvements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5,912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6,914</w:t>
            </w:r>
          </w:p>
        </w:tc>
        <w:tc>
          <w:tcPr>
            <w:tcW w:w="0" w:type="dxa"/>
            <w:vAlign w:val="bottom"/>
          </w:tcPr>
          <w:p>
            <w:pPr>
              <w:spacing w:after="0"/>
              <w:rPr>
                <w:sz w:val="1"/>
                <w:szCs w:val="1"/>
                <w:color w:val="auto"/>
              </w:rPr>
            </w:pPr>
          </w:p>
        </w:tc>
      </w:tr>
      <w:tr>
        <w:trPr>
          <w:trHeight w:val="222"/>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21,370</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Machinery and equipment</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51,244</w:t>
            </w:r>
          </w:p>
        </w:tc>
        <w:tc>
          <w:tcPr>
            <w:tcW w:w="0" w:type="dxa"/>
            <w:vAlign w:val="bottom"/>
          </w:tcPr>
          <w:p>
            <w:pPr>
              <w:spacing w:after="0"/>
              <w:rPr>
                <w:sz w:val="1"/>
                <w:szCs w:val="1"/>
                <w:color w:val="auto"/>
              </w:rPr>
            </w:pPr>
          </w:p>
        </w:tc>
      </w:tr>
      <w:tr>
        <w:trPr>
          <w:trHeight w:val="215"/>
        </w:trPr>
        <w:tc>
          <w:tcPr>
            <w:tcW w:w="7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property, plant and equipment, gross</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79,122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79,738</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(69,112)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(68,037)</w:t>
            </w:r>
          </w:p>
        </w:tc>
        <w:tc>
          <w:tcPr>
            <w:tcW w:w="0" w:type="dxa"/>
            <w:vAlign w:val="bottom"/>
          </w:tcPr>
          <w:p>
            <w:pPr>
              <w:spacing w:after="0"/>
              <w:rPr>
                <w:sz w:val="1"/>
                <w:szCs w:val="1"/>
                <w:color w:val="auto"/>
              </w:rPr>
            </w:pPr>
          </w:p>
        </w:tc>
      </w:tr>
      <w:tr>
        <w:trPr>
          <w:trHeight w:val="240"/>
        </w:trPr>
        <w:tc>
          <w:tcPr>
            <w:tcW w:w="75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property, plant and equipment, net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10,010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11,701</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25" w:right="239" w:bottom="1440" w:gutter="0" w:footer="0" w:header="0"/>
        </w:sectPr>
      </w:pPr>
    </w:p>
    <w:bookmarkStart w:id="13" w:name="page14"/>
    <w:bookmarkEnd w:id="13"/>
    <w:p>
      <w:pPr>
        <w:jc w:val="both"/>
        <w:ind w:right="100" w:firstLine="470"/>
        <w:spacing w:after="0" w:line="272" w:lineRule="auto"/>
        <w:rPr>
          <w:sz w:val="20"/>
          <w:szCs w:val="20"/>
          <w:color w:val="auto"/>
        </w:rPr>
      </w:pPr>
      <w:r>
        <w:rPr>
          <w:rFonts w:ascii="Arial" w:cs="Arial" w:eastAsia="Arial" w:hAnsi="Arial"/>
          <w:sz w:val="17"/>
          <w:szCs w:val="17"/>
          <w:color w:val="auto"/>
        </w:rPr>
        <w:t>Included in the total plant, property and equipment above there were no assets in progress which have not been placed in service as of December 31, 2021 and $0.3 million as of July 2, 2021. Depreciation and amortization expense related to property, plant and equipment, including amortization of software developed for internal use,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20" w:type="dxa"/>
            <w:vAlign w:val="bottom"/>
            <w:gridSpan w:val="7"/>
          </w:tcPr>
          <w:p>
            <w:pPr>
              <w:jc w:val="right"/>
              <w:ind w:right="1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4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December 31,</w:t>
            </w:r>
          </w:p>
        </w:tc>
        <w:tc>
          <w:tcPr>
            <w:tcW w:w="1100" w:type="dxa"/>
            <w:vAlign w:val="bottom"/>
            <w:tcBorders>
              <w:top w:val="single" w:sz="8" w:color="auto"/>
            </w:tcBorders>
            <w:gridSpan w:val="2"/>
          </w:tcPr>
          <w:p>
            <w:pPr>
              <w:jc w:val="center"/>
              <w:ind w:left="405"/>
              <w:spacing w:after="0" w:line="129" w:lineRule="exact"/>
              <w:rPr>
                <w:sz w:val="20"/>
                <w:szCs w:val="20"/>
                <w:color w:val="auto"/>
              </w:rPr>
            </w:pPr>
            <w:r>
              <w:rPr>
                <w:rFonts w:ascii="Arial" w:cs="Arial" w:eastAsia="Arial" w:hAnsi="Arial"/>
                <w:sz w:val="14"/>
                <w:szCs w:val="14"/>
                <w:b w:val="1"/>
                <w:bCs w:val="1"/>
                <w:color w:val="auto"/>
                <w:w w:val="89"/>
              </w:rPr>
              <w:t>January 1,</w:t>
            </w: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4"/>
          </w:tcPr>
          <w:p>
            <w:pPr>
              <w:ind w:left="240"/>
              <w:spacing w:after="0" w:line="129" w:lineRule="exact"/>
              <w:rPr>
                <w:sz w:val="20"/>
                <w:szCs w:val="20"/>
                <w:color w:val="auto"/>
              </w:rPr>
            </w:pPr>
            <w:r>
              <w:rPr>
                <w:rFonts w:ascii="Arial" w:cs="Arial" w:eastAsia="Arial" w:hAnsi="Arial"/>
                <w:sz w:val="14"/>
                <w:szCs w:val="14"/>
                <w:b w:val="1"/>
                <w:bCs w:val="1"/>
                <w:color w:val="auto"/>
              </w:rPr>
              <w:t>December 31,</w:t>
            </w:r>
          </w:p>
        </w:tc>
        <w:tc>
          <w:tcPr>
            <w:tcW w:w="4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380"/>
              <w:spacing w:after="0" w:line="129" w:lineRule="exact"/>
              <w:rPr>
                <w:sz w:val="20"/>
                <w:szCs w:val="20"/>
                <w:color w:val="auto"/>
              </w:rPr>
            </w:pPr>
            <w:r>
              <w:rPr>
                <w:rFonts w:ascii="Arial" w:cs="Arial" w:eastAsia="Arial" w:hAnsi="Arial"/>
                <w:sz w:val="14"/>
                <w:szCs w:val="14"/>
                <w:b w:val="1"/>
                <w:bCs w:val="1"/>
                <w:color w:val="auto"/>
                <w:w w:val="89"/>
              </w:rPr>
              <w:t>January 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660" w:type="dxa"/>
            <w:vAlign w:val="bottom"/>
            <w:tcBorders>
              <w:bottom w:val="single" w:sz="8" w:color="CCEEFF"/>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1,407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46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Accrued Expenses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660" w:type="dxa"/>
            <w:vAlign w:val="bottom"/>
            <w:gridSpan w:val="2"/>
          </w:tcPr>
          <w:p>
            <w:pPr>
              <w:ind w:left="480"/>
              <w:spacing w:after="0"/>
              <w:rPr>
                <w:sz w:val="20"/>
                <w:szCs w:val="20"/>
                <w:color w:val="auto"/>
              </w:rPr>
            </w:pPr>
            <w:r>
              <w:rPr>
                <w:rFonts w:ascii="Arial" w:cs="Arial" w:eastAsia="Arial" w:hAnsi="Arial"/>
                <w:sz w:val="17"/>
                <w:szCs w:val="17"/>
                <w:color w:val="auto"/>
              </w:rPr>
              <w:t>Our accrued expenses are summarized below:</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80" w:type="dxa"/>
            <w:vAlign w:val="bottom"/>
          </w:tcPr>
          <w:p>
            <w:pPr>
              <w:spacing w:after="0"/>
              <w:rPr>
                <w:sz w:val="24"/>
                <w:szCs w:val="24"/>
                <w:color w:val="auto"/>
              </w:rPr>
            </w:pPr>
          </w:p>
        </w:tc>
        <w:tc>
          <w:tcPr>
            <w:tcW w:w="41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24"/>
                <w:szCs w:val="2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41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1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Accrued compensation and benefits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4180" w:type="dxa"/>
            <w:vAlign w:val="bottom"/>
          </w:tcPr>
          <w:p>
            <w:pPr>
              <w:ind w:left="480"/>
              <w:spacing w:after="0"/>
              <w:rPr>
                <w:sz w:val="20"/>
                <w:szCs w:val="20"/>
                <w:color w:val="auto"/>
              </w:rPr>
            </w:pPr>
            <w:r>
              <w:rPr>
                <w:rFonts w:ascii="Arial" w:cs="Arial" w:eastAsia="Arial" w:hAnsi="Arial"/>
                <w:sz w:val="17"/>
                <w:szCs w:val="17"/>
                <w:color w:val="auto"/>
              </w:rPr>
              <w:t>Accrued agent commissions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41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Accrued warranties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418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12,247</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4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accrued expenses</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25,445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Warranties</w:t>
      </w:r>
    </w:p>
    <w:p>
      <w:pPr>
        <w:spacing w:after="0" w:line="170"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We accrue for the estimated cost to repair or replace products under warranty. Changes in our warranty liability, which are included as a component of accrued expenses in our unaudited condensed consolidated balance sheets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40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December 31,</w:t>
            </w:r>
          </w:p>
        </w:tc>
        <w:tc>
          <w:tcPr>
            <w:tcW w:w="680" w:type="dxa"/>
            <w:vAlign w:val="bottom"/>
          </w:tcPr>
          <w:p>
            <w:pPr>
              <w:spacing w:after="0"/>
              <w:rPr>
                <w:sz w:val="11"/>
                <w:szCs w:val="11"/>
                <w:color w:val="auto"/>
              </w:rPr>
            </w:pPr>
          </w:p>
        </w:tc>
        <w:tc>
          <w:tcPr>
            <w:tcW w:w="116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4"/>
          </w:tcPr>
          <w:p>
            <w:pPr>
              <w:ind w:left="100"/>
              <w:spacing w:after="0" w:line="129" w:lineRule="exact"/>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4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7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w w:val="99"/>
              </w:rPr>
              <w:t>Balance as of the beginning of the period</w:t>
            </w: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3,318</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3,107</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3,228</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4000" w:type="dxa"/>
            <w:vAlign w:val="bottom"/>
            <w:gridSpan w:val="2"/>
          </w:tcPr>
          <w:p>
            <w:pPr>
              <w:ind w:left="680"/>
              <w:spacing w:after="0" w:line="171" w:lineRule="exact"/>
              <w:rPr>
                <w:sz w:val="20"/>
                <w:szCs w:val="20"/>
                <w:color w:val="auto"/>
              </w:rPr>
            </w:pPr>
            <w:r>
              <w:rPr>
                <w:rFonts w:ascii="Arial" w:cs="Arial" w:eastAsia="Arial" w:hAnsi="Arial"/>
                <w:sz w:val="17"/>
                <w:szCs w:val="17"/>
                <w:color w:val="auto"/>
              </w:rPr>
              <w:t>Warranty provision recorded during the</w:t>
            </w:r>
          </w:p>
        </w:tc>
        <w:tc>
          <w:tcPr>
            <w:tcW w:w="2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341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488</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839</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4000" w:type="dxa"/>
            <w:vAlign w:val="bottom"/>
            <w:gridSpan w:val="2"/>
          </w:tcPr>
          <w:p>
            <w:pPr>
              <w:ind w:left="200"/>
              <w:spacing w:after="0"/>
              <w:rPr>
                <w:sz w:val="20"/>
                <w:szCs w:val="20"/>
                <w:color w:val="auto"/>
              </w:rPr>
            </w:pPr>
            <w:r>
              <w:rPr>
                <w:rFonts w:ascii="Arial" w:cs="Arial" w:eastAsia="Arial" w:hAnsi="Arial"/>
                <w:sz w:val="17"/>
                <w:szCs w:val="17"/>
                <w:color w:val="auto"/>
              </w:rPr>
              <w:t>period</w:t>
            </w: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400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Consumption during the period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(869)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3560" w:type="dxa"/>
            <w:vAlign w:val="bottom"/>
          </w:tcPr>
          <w:p>
            <w:pPr>
              <w:ind w:left="480"/>
              <w:spacing w:after="0"/>
              <w:rPr>
                <w:sz w:val="20"/>
                <w:szCs w:val="20"/>
                <w:color w:val="auto"/>
              </w:rPr>
            </w:pPr>
            <w:r>
              <w:rPr>
                <w:rFonts w:ascii="Arial" w:cs="Arial" w:eastAsia="Arial" w:hAnsi="Arial"/>
                <w:sz w:val="17"/>
                <w:szCs w:val="17"/>
                <w:color w:val="auto"/>
              </w:rPr>
              <w:t>Balance as of the end of the period</w:t>
            </w:r>
          </w:p>
        </w:tc>
        <w:tc>
          <w:tcPr>
            <w:tcW w:w="4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3,198</w:t>
            </w: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3,315</w:t>
            </w:r>
          </w:p>
        </w:tc>
        <w:tc>
          <w:tcPr>
            <w:tcW w:w="1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3,198</w:t>
            </w: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40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48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Advance Payments and Unearned Revenue</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980" w:type="dxa"/>
            <w:vAlign w:val="bottom"/>
            <w:gridSpan w:val="6"/>
          </w:tcPr>
          <w:p>
            <w:pPr>
              <w:ind w:left="480"/>
              <w:spacing w:after="0"/>
              <w:rPr>
                <w:sz w:val="20"/>
                <w:szCs w:val="20"/>
                <w:color w:val="auto"/>
              </w:rPr>
            </w:pPr>
            <w:r>
              <w:rPr>
                <w:rFonts w:ascii="Arial" w:cs="Arial" w:eastAsia="Arial" w:hAnsi="Arial"/>
                <w:sz w:val="17"/>
                <w:szCs w:val="17"/>
                <w:color w:val="auto"/>
              </w:rPr>
              <w:t>Our advance payments and unearned revenue are summarized below:</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80" w:type="dxa"/>
            <w:vAlign w:val="bottom"/>
          </w:tcPr>
          <w:p>
            <w:pPr>
              <w:spacing w:after="0"/>
              <w:rPr>
                <w:sz w:val="24"/>
                <w:szCs w:val="24"/>
                <w:color w:val="auto"/>
              </w:rPr>
            </w:pPr>
          </w:p>
        </w:tc>
        <w:tc>
          <w:tcPr>
            <w:tcW w:w="40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24"/>
                <w:szCs w:val="24"/>
                <w:color w:val="auto"/>
              </w:rPr>
            </w:pPr>
          </w:p>
        </w:tc>
        <w:tc>
          <w:tcPr>
            <w:tcW w:w="880" w:type="dxa"/>
            <w:vAlign w:val="bottom"/>
          </w:tcPr>
          <w:p>
            <w:pPr>
              <w:jc w:val="right"/>
              <w:ind w:right="200"/>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4000" w:type="dxa"/>
            <w:vAlign w:val="bottom"/>
            <w:tcBorders>
              <w:bottom w:val="single" w:sz="8" w:color="CCEEFF"/>
            </w:tcBorders>
            <w:gridSpan w:val="2"/>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0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Advance payments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right="13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4000" w:type="dxa"/>
            <w:vAlign w:val="bottom"/>
            <w:tcBorders>
              <w:bottom w:val="single" w:sz="8" w:color="CCEEFF"/>
            </w:tcBorders>
            <w:gridSpan w:val="2"/>
          </w:tcPr>
          <w:p>
            <w:pPr>
              <w:ind w:left="480"/>
              <w:spacing w:after="0"/>
              <w:rPr>
                <w:sz w:val="20"/>
                <w:szCs w:val="20"/>
                <w:color w:val="auto"/>
              </w:rPr>
            </w:pPr>
            <w:r>
              <w:rPr>
                <w:rFonts w:ascii="Arial" w:cs="Arial" w:eastAsia="Arial" w:hAnsi="Arial"/>
                <w:sz w:val="17"/>
                <w:szCs w:val="17"/>
                <w:color w:val="auto"/>
              </w:rPr>
              <w:t>Unearned revenue</w:t>
            </w: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35"/>
        </w:trPr>
        <w:tc>
          <w:tcPr>
            <w:tcW w:w="480" w:type="dxa"/>
            <w:vAlign w:val="bottom"/>
          </w:tcPr>
          <w:p>
            <w:pPr>
              <w:spacing w:after="0"/>
              <w:rPr>
                <w:sz w:val="20"/>
                <w:szCs w:val="20"/>
                <w:color w:val="auto"/>
              </w:rPr>
            </w:pPr>
          </w:p>
        </w:tc>
        <w:tc>
          <w:tcPr>
            <w:tcW w:w="400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w w:val="91"/>
              </w:rPr>
              <w:t>Total advance payments and unearned revenue</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35,753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center"/>
              <w:ind w:right="13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Excluded from the balances above are $8.0 million and $8.6 million in long-term unearned revenue as of December 31, 2021 and July 2, 2021,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Fair Value Measurements of Assets and Liabilities</w:t>
      </w:r>
    </w:p>
    <w:p>
      <w:pPr>
        <w:spacing w:after="0" w:line="176"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77" w:right="239" w:bottom="1440" w:gutter="0" w:footer="0" w:header="0"/>
        </w:sectPr>
      </w:pPr>
    </w:p>
    <w:bookmarkStart w:id="14" w:name="page15"/>
    <w:bookmarkEnd w:id="14"/>
    <w:p>
      <w:pPr>
        <w:ind w:left="940" w:hanging="308"/>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1 — Observable inputs such as quoted prices in active markets for identical assets or liabilities;</w:t>
      </w:r>
    </w:p>
    <w:p>
      <w:pPr>
        <w:spacing w:after="0" w:line="65" w:lineRule="exact"/>
        <w:rPr>
          <w:rFonts w:ascii="Arial" w:cs="Arial" w:eastAsia="Arial" w:hAnsi="Arial"/>
          <w:sz w:val="17"/>
          <w:szCs w:val="17"/>
          <w:color w:val="auto"/>
        </w:rPr>
      </w:pPr>
    </w:p>
    <w:p>
      <w:pPr>
        <w:ind w:left="940" w:hanging="308"/>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 Observable market-based inputs or observable inputs that are corroborated by market data; and</w:t>
      </w:r>
    </w:p>
    <w:p>
      <w:pPr>
        <w:spacing w:after="0" w:line="65" w:lineRule="exact"/>
        <w:rPr>
          <w:rFonts w:ascii="Arial" w:cs="Arial" w:eastAsia="Arial" w:hAnsi="Arial"/>
          <w:sz w:val="17"/>
          <w:szCs w:val="17"/>
          <w:color w:val="auto"/>
        </w:rPr>
      </w:pPr>
    </w:p>
    <w:p>
      <w:pPr>
        <w:ind w:left="940" w:hanging="308"/>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8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carrying amounts, estimated fair values, and valuation input levels of our assets and liabilities that are measured at fair value on a recurring basis as of December 31, 2021 and July 2, 2021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2, 2021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46"/>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Pr>
          <w:p>
            <w:pPr>
              <w:spacing w:after="0"/>
              <w:rPr>
                <w:sz w:val="24"/>
                <w:szCs w:val="24"/>
                <w:color w:val="auto"/>
              </w:rPr>
            </w:pPr>
          </w:p>
        </w:tc>
        <w:tc>
          <w:tcPr>
            <w:tcW w:w="960" w:type="dxa"/>
            <w:vAlign w:val="bottom"/>
          </w:tcPr>
          <w:p>
            <w:pPr>
              <w:jc w:val="right"/>
              <w:ind w:right="239"/>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Valuation Inputs</w:t>
            </w:r>
          </w:p>
        </w:tc>
      </w:tr>
      <w:tr>
        <w:trPr>
          <w:trHeight w:val="207"/>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2"/>
        </w:trPr>
        <w:tc>
          <w:tcPr>
            <w:tcW w:w="440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2"/>
        </w:trPr>
        <w:tc>
          <w:tcPr>
            <w:tcW w:w="4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Money market funds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Level 1</w:t>
            </w:r>
          </w:p>
        </w:tc>
      </w:tr>
      <w:tr>
        <w:trPr>
          <w:trHeight w:val="222"/>
        </w:trPr>
        <w:tc>
          <w:tcPr>
            <w:tcW w:w="4400" w:type="dxa"/>
            <w:vAlign w:val="bottom"/>
          </w:tcPr>
          <w:p>
            <w:pPr>
              <w:ind w:left="340"/>
              <w:spacing w:after="0"/>
              <w:rPr>
                <w:sz w:val="20"/>
                <w:szCs w:val="20"/>
                <w:color w:val="auto"/>
              </w:rPr>
            </w:pPr>
            <w:r>
              <w:rPr>
                <w:rFonts w:ascii="Arial" w:cs="Arial" w:eastAsia="Arial" w:hAnsi="Arial"/>
                <w:sz w:val="17"/>
                <w:szCs w:val="17"/>
                <w:color w:val="auto"/>
              </w:rPr>
              <w:t>Bank certificates of deposit</w:t>
            </w:r>
          </w:p>
        </w:tc>
        <w:tc>
          <w:tcPr>
            <w:tcW w:w="400" w:type="dxa"/>
            <w:vAlign w:val="bottom"/>
          </w:tcPr>
          <w:p>
            <w:pPr>
              <w:jc w:val="right"/>
              <w:ind w:right="219"/>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3,426</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3,426</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3,288</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3,288</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8"/>
              </w:rPr>
              <w:t>Level 2</w:t>
            </w:r>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classify items within Level 1 if quoted prices are available in active markets. Our Level 1 items mainly are money market funds. As of December 31, 2021 and July 2, 2021, these money market funds were valued at $1.00 net asset value per share.</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December 31, 2021 and July 2, 2021, we did not have any recurring assets or liabilities that were valued using significant unobservable inputs.</w:t>
      </w:r>
    </w:p>
    <w:p>
      <w:pPr>
        <w:spacing w:after="0" w:line="18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policy is to recognize asset or liability transfers among Level 1, Level 2, and Level 3 as of the actual date of the events or change in circumstances that caused the transfer. During the first six months of fiscal 2022 and 2021, we had no transfers between levels of the fair value hierarchy of our assets or liabilities measured at fair value.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Leases</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Company has facilities under non-cancelable operating lease agreements. These leases have varying terms that range from one to 20 years and contain leasehold improvement incentives, rent holidays and escalation clauses.</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determine if an arrangement contains a lease at inception. These operating leases are included in "Right of use assets" on our unaudited condensed consolidated balance sheets and represent our right to use the underlying asset for the lease term. Our obligations to make lease payments are included in "Short-term lease liabilities" and "Long-term lease liabilities" on our unaudited condensed consolidated balance sheets. We did not enter into any finance leases during the six months ended December 31, 2021.</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summarizes our lease costs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w w:val="92"/>
              </w:rPr>
              <w:t>Three Months Ended</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1620" w:type="dxa"/>
            <w:vAlign w:val="bottom"/>
            <w:gridSpan w:val="3"/>
          </w:tcPr>
          <w:p>
            <w:pPr>
              <w:ind w:left="360"/>
              <w:spacing w:after="0" w:line="129" w:lineRule="exact"/>
              <w:rPr>
                <w:sz w:val="20"/>
                <w:szCs w:val="20"/>
                <w:color w:val="auto"/>
              </w:rPr>
            </w:pPr>
            <w:r>
              <w:rPr>
                <w:rFonts w:ascii="Arial" w:cs="Arial" w:eastAsia="Arial" w:hAnsi="Arial"/>
                <w:sz w:val="14"/>
                <w:szCs w:val="14"/>
                <w:b w:val="1"/>
                <w:bCs w:val="1"/>
                <w:color w:val="auto"/>
              </w:rPr>
              <w:t>December 31,</w:t>
            </w:r>
          </w:p>
        </w:tc>
        <w:tc>
          <w:tcPr>
            <w:tcW w:w="16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January 1, 2021</w:t>
            </w:r>
          </w:p>
        </w:tc>
        <w:tc>
          <w:tcPr>
            <w:tcW w:w="240" w:type="dxa"/>
            <w:vAlign w:val="bottom"/>
          </w:tcPr>
          <w:p>
            <w:pPr>
              <w:spacing w:after="0"/>
              <w:rPr>
                <w:sz w:val="11"/>
                <w:szCs w:val="11"/>
                <w:color w:val="auto"/>
              </w:rPr>
            </w:pPr>
          </w:p>
        </w:tc>
        <w:tc>
          <w:tcPr>
            <w:tcW w:w="140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13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7"/>
              </w:rPr>
              <w:t>January 1, 2021</w:t>
            </w:r>
          </w:p>
        </w:tc>
        <w:tc>
          <w:tcPr>
            <w:tcW w:w="0" w:type="dxa"/>
            <w:vAlign w:val="bottom"/>
          </w:tcPr>
          <w:p>
            <w:pPr>
              <w:spacing w:after="0"/>
              <w:rPr>
                <w:sz w:val="1"/>
                <w:szCs w:val="1"/>
                <w:color w:val="auto"/>
              </w:rPr>
            </w:pPr>
          </w:p>
        </w:tc>
      </w:tr>
      <w:tr>
        <w:trPr>
          <w:trHeight w:val="183"/>
        </w:trPr>
        <w:tc>
          <w:tcPr>
            <w:tcW w:w="47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7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jc w:val="right"/>
              <w:ind w:right="459"/>
              <w:spacing w:after="0"/>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960" w:type="dxa"/>
            <w:vAlign w:val="bottom"/>
            <w:tcBorders>
              <w:top w:val="single" w:sz="8" w:color="auto"/>
            </w:tcBorders>
            <w:gridSpan w:val="4"/>
          </w:tcPr>
          <w:p>
            <w:pPr>
              <w:jc w:val="right"/>
              <w:ind w:right="1116"/>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25"/>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562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0" w:type="dxa"/>
            <w:vAlign w:val="bottom"/>
          </w:tcPr>
          <w:p>
            <w:pPr>
              <w:spacing w:after="0"/>
              <w:rPr>
                <w:sz w:val="1"/>
                <w:szCs w:val="1"/>
                <w:color w:val="auto"/>
              </w:rPr>
            </w:pPr>
          </w:p>
        </w:tc>
      </w:tr>
      <w:tr>
        <w:trPr>
          <w:trHeight w:val="222"/>
        </w:trPr>
        <w:tc>
          <w:tcPr>
            <w:tcW w:w="4780" w:type="dxa"/>
            <w:vAlign w:val="bottom"/>
          </w:tcPr>
          <w:p>
            <w:pPr>
              <w:ind w:left="20"/>
              <w:spacing w:after="0"/>
              <w:rPr>
                <w:sz w:val="20"/>
                <w:szCs w:val="20"/>
                <w:color w:val="auto"/>
              </w:rPr>
            </w:pPr>
            <w:r>
              <w:rPr>
                <w:rFonts w:ascii="Arial" w:cs="Arial" w:eastAsia="Arial" w:hAnsi="Arial"/>
                <w:sz w:val="17"/>
                <w:szCs w:val="17"/>
                <w:color w:val="auto"/>
              </w:rPr>
              <w:t>Short-term lease costs</w:t>
            </w:r>
          </w:p>
        </w:tc>
        <w:tc>
          <w:tcPr>
            <w:tcW w:w="920" w:type="dxa"/>
            <w:vAlign w:val="bottom"/>
          </w:tcPr>
          <w:p>
            <w:pPr>
              <w:jc w:val="right"/>
              <w:ind w:right="739"/>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513</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Arial" w:cs="Arial" w:eastAsia="Arial" w:hAnsi="Arial"/>
                <w:sz w:val="17"/>
                <w:szCs w:val="17"/>
                <w:color w:val="auto"/>
              </w:rPr>
              <w:t>1,200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817</w:t>
            </w:r>
          </w:p>
        </w:tc>
        <w:tc>
          <w:tcPr>
            <w:tcW w:w="0" w:type="dxa"/>
            <w:vAlign w:val="bottom"/>
          </w:tcPr>
          <w:p>
            <w:pPr>
              <w:spacing w:after="0"/>
              <w:rPr>
                <w:sz w:val="1"/>
                <w:szCs w:val="1"/>
                <w:color w:val="auto"/>
              </w:rPr>
            </w:pPr>
          </w:p>
        </w:tc>
      </w:tr>
      <w:tr>
        <w:trPr>
          <w:trHeight w:val="222"/>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costs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74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15"/>
        </w:trPr>
        <w:tc>
          <w:tcPr>
            <w:tcW w:w="4780" w:type="dxa"/>
            <w:vAlign w:val="bottom"/>
          </w:tcPr>
          <w:p>
            <w:pPr>
              <w:ind w:left="180"/>
              <w:spacing w:after="0"/>
              <w:rPr>
                <w:sz w:val="20"/>
                <w:szCs w:val="20"/>
                <w:color w:val="auto"/>
              </w:rPr>
            </w:pPr>
            <w:r>
              <w:rPr>
                <w:rFonts w:ascii="Arial" w:cs="Arial" w:eastAsia="Arial" w:hAnsi="Arial"/>
                <w:sz w:val="17"/>
                <w:szCs w:val="17"/>
                <w:color w:val="auto"/>
              </w:rPr>
              <w:t>Total lease costs</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805</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1,836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summarizes our lease term and discount rate for the six months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15" w:name="page16"/>
    <w:bookmarkEnd w:id="15"/>
    <w:tbl>
      <w:tblPr>
        <w:tblLayout w:type="fixed"/>
        <w:tblInd w:w="480" w:type="dxa"/>
        <w:tblCellMar>
          <w:top w:w="0" w:type="dxa"/>
          <w:left w:w="0" w:type="dxa"/>
          <w:bottom w:w="0" w:type="dxa"/>
          <w:right w:w="0" w:type="dxa"/>
        </w:tblCellMar>
      </w:tblPr>
      <w:tr>
        <w:trPr>
          <w:trHeight w:val="222"/>
        </w:trPr>
        <w:tc>
          <w:tcPr>
            <w:tcW w:w="67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Weighted average remaining lease term</w:t>
            </w:r>
          </w:p>
        </w:tc>
        <w:tc>
          <w:tcPr>
            <w:tcW w:w="4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22"/>
        </w:trPr>
        <w:tc>
          <w:tcPr>
            <w:tcW w:w="6780" w:type="dxa"/>
            <w:vAlign w:val="bottom"/>
          </w:tcPr>
          <w:p>
            <w:pPr>
              <w:ind w:left="480"/>
              <w:spacing w:after="0"/>
              <w:rPr>
                <w:sz w:val="20"/>
                <w:szCs w:val="20"/>
                <w:color w:val="auto"/>
              </w:rPr>
            </w:pPr>
            <w:r>
              <w:rPr>
                <w:rFonts w:ascii="Arial" w:cs="Arial" w:eastAsia="Arial" w:hAnsi="Arial"/>
                <w:sz w:val="17"/>
                <w:szCs w:val="17"/>
                <w:color w:val="auto"/>
              </w:rPr>
              <w:t>Weighted average discount rate</w:t>
            </w:r>
          </w:p>
        </w:tc>
        <w:tc>
          <w:tcPr>
            <w:tcW w:w="4080" w:type="dxa"/>
            <w:vAlign w:val="bottom"/>
          </w:tcPr>
          <w:p>
            <w:pPr>
              <w:jc w:val="right"/>
              <w:ind w:right="213"/>
              <w:spacing w:after="0"/>
              <w:rPr>
                <w:sz w:val="20"/>
                <w:szCs w:val="20"/>
                <w:color w:val="auto"/>
              </w:rPr>
            </w:pPr>
            <w:r>
              <w:rPr>
                <w:rFonts w:ascii="Arial" w:cs="Arial" w:eastAsia="Arial" w:hAnsi="Arial"/>
                <w:sz w:val="17"/>
                <w:szCs w:val="17"/>
                <w:color w:val="auto"/>
              </w:rPr>
              <w:t>5.7</w:t>
            </w:r>
          </w:p>
        </w:tc>
      </w:tr>
    </w:tbl>
    <w:p>
      <w:pPr>
        <w:spacing w:after="0" w:line="200" w:lineRule="exact"/>
        <w:rPr>
          <w:sz w:val="20"/>
          <w:szCs w:val="20"/>
          <w:color w:val="auto"/>
        </w:rPr>
      </w:pPr>
    </w:p>
    <w:p>
      <w:pPr>
        <w:spacing w:after="0" w:line="271"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As of December 31, 2021, our future minimum lease payments under all non-cancelable operating leases with an initial term in excess of one year were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Amount</w:t>
            </w:r>
          </w:p>
        </w:tc>
      </w:tr>
      <w:tr>
        <w:trPr>
          <w:trHeight w:val="179"/>
        </w:trPr>
        <w:tc>
          <w:tcPr>
            <w:tcW w:w="9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tcPr>
          <w:p>
            <w:pPr>
              <w:jc w:val="right"/>
              <w:ind w:right="496"/>
              <w:spacing w:after="0"/>
              <w:rPr>
                <w:sz w:val="20"/>
                <w:szCs w:val="20"/>
                <w:color w:val="auto"/>
              </w:rPr>
            </w:pPr>
            <w:r>
              <w:rPr>
                <w:rFonts w:ascii="Arial" w:cs="Arial" w:eastAsia="Arial" w:hAnsi="Arial"/>
                <w:sz w:val="14"/>
                <w:szCs w:val="14"/>
                <w:color w:val="auto"/>
              </w:rPr>
              <w:t>(In thousands)</w:t>
            </w:r>
          </w:p>
        </w:tc>
      </w:tr>
      <w:tr>
        <w:trPr>
          <w:trHeight w:val="225"/>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w:t>
            </w:r>
          </w:p>
        </w:tc>
      </w:tr>
      <w:tr>
        <w:trPr>
          <w:trHeight w:val="222"/>
        </w:trPr>
        <w:tc>
          <w:tcPr>
            <w:tcW w:w="9260" w:type="dxa"/>
            <w:vAlign w:val="bottom"/>
          </w:tcPr>
          <w:p>
            <w:pPr>
              <w:ind w:left="20"/>
              <w:spacing w:after="0"/>
              <w:rPr>
                <w:sz w:val="20"/>
                <w:szCs w:val="20"/>
                <w:color w:val="auto"/>
              </w:rPr>
            </w:pPr>
            <w:r>
              <w:rPr>
                <w:rFonts w:ascii="Arial" w:cs="Arial" w:eastAsia="Arial" w:hAnsi="Arial"/>
                <w:sz w:val="17"/>
                <w:szCs w:val="17"/>
                <w:color w:val="auto"/>
              </w:rPr>
              <w:t>2023</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709</w:t>
            </w:r>
          </w:p>
        </w:tc>
      </w:tr>
      <w:tr>
        <w:trPr>
          <w:trHeight w:val="222"/>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w:t>
            </w:r>
          </w:p>
        </w:tc>
      </w:tr>
      <w:tr>
        <w:trPr>
          <w:trHeight w:val="222"/>
        </w:trPr>
        <w:tc>
          <w:tcPr>
            <w:tcW w:w="9260" w:type="dxa"/>
            <w:vAlign w:val="bottom"/>
          </w:tcPr>
          <w:p>
            <w:pPr>
              <w:ind w:left="20"/>
              <w:spacing w:after="0"/>
              <w:rPr>
                <w:sz w:val="20"/>
                <w:szCs w:val="20"/>
                <w:color w:val="auto"/>
              </w:rPr>
            </w:pPr>
            <w:r>
              <w:rPr>
                <w:rFonts w:ascii="Arial" w:cs="Arial" w:eastAsia="Arial" w:hAnsi="Arial"/>
                <w:sz w:val="17"/>
                <w:szCs w:val="17"/>
                <w:color w:val="auto"/>
              </w:rPr>
              <w:t>2025</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614</w:t>
            </w:r>
          </w:p>
        </w:tc>
      </w:tr>
      <w:tr>
        <w:trPr>
          <w:trHeight w:val="222"/>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r>
      <w:tr>
        <w:trPr>
          <w:trHeight w:val="222"/>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1,703</w:t>
            </w:r>
          </w:p>
        </w:tc>
      </w:tr>
      <w:tr>
        <w:trPr>
          <w:trHeight w:val="215"/>
        </w:trPr>
        <w:tc>
          <w:tcPr>
            <w:tcW w:w="9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lease payments</w:t>
            </w: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4,664</w:t>
            </w:r>
          </w:p>
        </w:tc>
      </w:tr>
      <w:tr>
        <w:trPr>
          <w:trHeight w:val="222"/>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interest</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(1,145)</w:t>
            </w:r>
          </w:p>
        </w:tc>
      </w:tr>
      <w:tr>
        <w:trPr>
          <w:trHeight w:val="240"/>
        </w:trPr>
        <w:tc>
          <w:tcPr>
            <w:tcW w:w="9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Present value of lease liabilities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3,519</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Credit Facility and Debt</w:t>
      </w:r>
    </w:p>
    <w:p>
      <w:pPr>
        <w:spacing w:after="0" w:line="176" w:lineRule="exact"/>
        <w:rPr>
          <w:sz w:val="20"/>
          <w:szCs w:val="20"/>
          <w:color w:val="auto"/>
        </w:rPr>
      </w:pPr>
    </w:p>
    <w:p>
      <w:pPr>
        <w:jc w:val="both"/>
        <w:ind w:right="100" w:firstLine="470"/>
        <w:spacing w:after="0" w:line="259" w:lineRule="auto"/>
        <w:rPr>
          <w:sz w:val="20"/>
          <w:szCs w:val="20"/>
          <w:color w:val="auto"/>
        </w:rPr>
      </w:pPr>
      <w:r>
        <w:rPr>
          <w:rFonts w:ascii="Arial" w:cs="Arial" w:eastAsia="Arial" w:hAnsi="Arial"/>
          <w:sz w:val="17"/>
          <w:szCs w:val="17"/>
          <w:color w:val="auto"/>
        </w:rPr>
        <w:t>On May 17, 2021, we entered into Amendment No. 4 to Third Amended and Restated Loan and Security Agreement with Silicon Valley Bank (the “SVB Credit Facility”) which extended the expiration date to June 28, 2024. The SVB Credit Facility provides for a $25.0 million accounts receivable formula-based revolving credit facility that can be borrowed by our U.S. company, with a $25.0 million sublimit that can be borrowed by our U.S. and Singapore entities. Loans may be advanced under the SVB Credit Facility based on a borrowing base equal to a specified percentage of the value of eligible accounts of the borrowers under the SVB Credit Facility. The borrowing base is subject to certain eligibility criteria. Availability under the accounts receivable formula based revolving credit facility can also be utilized to issue letters of credit with a $12.0 million sublimit. We may prepay loans under the SVB Credit Facility in whole or in part at any time without premium or penalty. As of December 31, 2021, available credit under the SVB Credit Facility was $22.5 million, reflecting the lower available limit of $25.0 million less outstanding letters of credit of $2.5 million. As of July 3, 2020, our outstanding debt balance under the SVB Credit Facility, classified as a current liability, was $9.0 million, and the interest rate was 3.75%. We repaid the outstanding debt balance in July 2020. We have not borrowed against the SVB Credit Facility during the six months ended December 31, 2021 and there were no borrowing outstanding as of December 31, 2021 or July 2, 2021.</w:t>
      </w:r>
    </w:p>
    <w:p>
      <w:pPr>
        <w:spacing w:after="0" w:line="136" w:lineRule="exact"/>
        <w:rPr>
          <w:sz w:val="20"/>
          <w:szCs w:val="20"/>
          <w:color w:val="auto"/>
        </w:rPr>
      </w:pPr>
    </w:p>
    <w:p>
      <w:pPr>
        <w:jc w:val="both"/>
        <w:ind w:right="100" w:firstLine="470"/>
        <w:spacing w:after="0" w:line="267" w:lineRule="auto"/>
        <w:rPr>
          <w:sz w:val="20"/>
          <w:szCs w:val="20"/>
          <w:color w:val="auto"/>
        </w:rPr>
      </w:pPr>
      <w:r>
        <w:rPr>
          <w:rFonts w:ascii="Arial" w:cs="Arial" w:eastAsia="Arial" w:hAnsi="Arial"/>
          <w:sz w:val="17"/>
          <w:szCs w:val="17"/>
          <w:color w:val="auto"/>
        </w:rPr>
        <w:t>The SVB Credit Facility carries an interest rate computed, at our option, based on either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w:t>
      </w:r>
    </w:p>
    <w:p>
      <w:pPr>
        <w:spacing w:after="0" w:line="123" w:lineRule="exact"/>
        <w:rPr>
          <w:sz w:val="20"/>
          <w:szCs w:val="20"/>
          <w:color w:val="auto"/>
        </w:rPr>
      </w:pPr>
    </w:p>
    <w:p>
      <w:pPr>
        <w:jc w:val="both"/>
        <w:ind w:right="100" w:firstLine="470"/>
        <w:spacing w:after="0" w:line="279" w:lineRule="auto"/>
        <w:rPr>
          <w:sz w:val="20"/>
          <w:szCs w:val="20"/>
          <w:color w:val="auto"/>
        </w:rPr>
      </w:pPr>
      <w:r>
        <w:rPr>
          <w:rFonts w:ascii="Arial" w:cs="Arial" w:eastAsia="Arial" w:hAnsi="Arial"/>
          <w:sz w:val="16"/>
          <w:szCs w:val="16"/>
          <w:color w:val="auto"/>
        </w:rPr>
        <w:t>The SVB Credit Facility contains quarterly financial covenants including minimum adjusted quick ratio and minimum profitability (EBITDA) requirements. In the event our adjusted quick ratio falls below a certain level, cash received in our 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 As of December 31, 2021, we were in compliance with the quarterly financial covenants contained in the SVB Credit Facility, as amended.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63" w:right="239" w:bottom="1440" w:gutter="0" w:footer="0" w:header="0"/>
        </w:sectPr>
      </w:pPr>
    </w:p>
    <w:bookmarkStart w:id="16" w:name="page17"/>
    <w:bookmarkEnd w:id="16"/>
    <w:p>
      <w:pPr>
        <w:jc w:val="both"/>
        <w:ind w:firstLine="470"/>
        <w:spacing w:after="0" w:line="264" w:lineRule="auto"/>
        <w:rPr>
          <w:sz w:val="20"/>
          <w:szCs w:val="20"/>
          <w:color w:val="auto"/>
        </w:rPr>
      </w:pPr>
      <w:r>
        <w:rPr>
          <w:rFonts w:ascii="Arial" w:cs="Arial" w:eastAsia="Arial" w:hAnsi="Arial"/>
          <w:sz w:val="17"/>
          <w:szCs w:val="17"/>
          <w:color w:val="auto"/>
        </w:rPr>
        <w:t>We also obtained an uncommitted short-term line of credit of $0.4 million from a bank in New Zealand to support the operations of our New Zealand subsidiary. This line of credit provides for up to $0.4 million in short-term advances at various interest rates, all of which was available as of December 31, 2021 and July 2, 2021. The line of credit also provides for the issuance of standby letters of credit and company credit cards, of which none was outstanding as of December 31, 2021 and July 2, 2021. This line of credit may be terminated upon notice, is reviewed annually for renewal or modification, and is supported by a corporate guarantee.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Revenue Recognition</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Balances, Performance Obligations, and Backlog</w:t>
      </w:r>
    </w:p>
    <w:p>
      <w:pPr>
        <w:spacing w:after="0" w:line="200" w:lineRule="exact"/>
        <w:rPr>
          <w:sz w:val="20"/>
          <w:szCs w:val="20"/>
          <w:color w:val="auto"/>
        </w:rPr>
      </w:pPr>
    </w:p>
    <w:p>
      <w:pPr>
        <w:spacing w:after="0" w:line="2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about receivables and liabilities from contracts with customers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Pr>
          <w:p>
            <w:pPr>
              <w:spacing w:after="0"/>
              <w:rPr>
                <w:sz w:val="16"/>
                <w:szCs w:val="16"/>
                <w:color w:val="auto"/>
              </w:rPr>
            </w:pPr>
          </w:p>
        </w:tc>
        <w:tc>
          <w:tcPr>
            <w:tcW w:w="1460" w:type="dxa"/>
            <w:vAlign w:val="bottom"/>
          </w:tcPr>
          <w:p>
            <w:pPr>
              <w:jc w:val="right"/>
              <w:ind w:right="456"/>
              <w:spacing w:after="0"/>
              <w:rPr>
                <w:sz w:val="20"/>
                <w:szCs w:val="20"/>
                <w:color w:val="auto"/>
              </w:rPr>
            </w:pPr>
            <w:r>
              <w:rPr>
                <w:rFonts w:ascii="Arial" w:cs="Arial" w:eastAsia="Arial" w:hAnsi="Arial"/>
                <w:sz w:val="14"/>
                <w:szCs w:val="14"/>
                <w:b w:val="1"/>
                <w:bCs w:val="1"/>
                <w:color w:val="auto"/>
              </w:rPr>
              <w:t>July 2, 2021</w:t>
            </w:r>
          </w:p>
        </w:tc>
      </w:tr>
      <w:tr>
        <w:trPr>
          <w:trHeight w:val="209"/>
        </w:trPr>
        <w:tc>
          <w:tcPr>
            <w:tcW w:w="7520" w:type="dxa"/>
            <w:vAlign w:val="bottom"/>
          </w:tcPr>
          <w:p>
            <w:pPr>
              <w:ind w:left="20"/>
              <w:spacing w:after="0"/>
              <w:rPr>
                <w:sz w:val="20"/>
                <w:szCs w:val="20"/>
                <w:color w:val="auto"/>
              </w:rPr>
            </w:pPr>
            <w:r>
              <w:rPr>
                <w:rFonts w:ascii="Arial" w:cs="Arial" w:eastAsia="Arial" w:hAnsi="Arial"/>
                <w:sz w:val="17"/>
                <w:szCs w:val="17"/>
                <w:b w:val="1"/>
                <w:bCs w:val="1"/>
                <w:color w:val="auto"/>
              </w:rPr>
              <w:t>Contract Assets</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 net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69,074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48,135</w:t>
            </w:r>
          </w:p>
        </w:tc>
      </w:tr>
      <w:tr>
        <w:trPr>
          <w:trHeight w:val="222"/>
        </w:trPr>
        <w:tc>
          <w:tcPr>
            <w:tcW w:w="7520" w:type="dxa"/>
            <w:vAlign w:val="bottom"/>
          </w:tcPr>
          <w:p>
            <w:pPr>
              <w:ind w:left="20"/>
              <w:spacing w:after="0"/>
              <w:rPr>
                <w:sz w:val="20"/>
                <w:szCs w:val="20"/>
                <w:color w:val="auto"/>
              </w:rPr>
            </w:pPr>
            <w:r>
              <w:rPr>
                <w:rFonts w:ascii="Arial" w:cs="Arial" w:eastAsia="Arial" w:hAnsi="Arial"/>
                <w:sz w:val="17"/>
                <w:szCs w:val="17"/>
                <w:color w:val="auto"/>
              </w:rPr>
              <w:t>Unbilled receivables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42,919</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37,521</w:t>
            </w: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Capitalized commissions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1,720</w:t>
            </w:r>
          </w:p>
        </w:tc>
      </w:tr>
      <w:tr>
        <w:trPr>
          <w:trHeight w:val="222"/>
        </w:trPr>
        <w:tc>
          <w:tcPr>
            <w:tcW w:w="7520" w:type="dxa"/>
            <w:vAlign w:val="bottom"/>
          </w:tcPr>
          <w:p>
            <w:pPr>
              <w:ind w:left="20"/>
              <w:spacing w:after="0"/>
              <w:rPr>
                <w:sz w:val="20"/>
                <w:szCs w:val="20"/>
                <w:color w:val="auto"/>
              </w:rPr>
            </w:pPr>
            <w:r>
              <w:rPr>
                <w:rFonts w:ascii="Arial" w:cs="Arial" w:eastAsia="Arial" w:hAnsi="Arial"/>
                <w:sz w:val="17"/>
                <w:szCs w:val="17"/>
                <w:b w:val="1"/>
                <w:bCs w:val="1"/>
                <w:color w:val="auto"/>
              </w:rPr>
              <w:t>Contract Liabilities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 payments and unearned revenue</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35,753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32,304</w:t>
            </w:r>
          </w:p>
        </w:tc>
      </w:tr>
      <w:tr>
        <w:trPr>
          <w:trHeight w:val="222"/>
        </w:trPr>
        <w:tc>
          <w:tcPr>
            <w:tcW w:w="7520" w:type="dxa"/>
            <w:vAlign w:val="bottom"/>
          </w:tcPr>
          <w:p>
            <w:pPr>
              <w:ind w:left="20"/>
              <w:spacing w:after="0"/>
              <w:rPr>
                <w:sz w:val="20"/>
                <w:szCs w:val="20"/>
                <w:color w:val="auto"/>
              </w:rPr>
            </w:pPr>
            <w:r>
              <w:rPr>
                <w:rFonts w:ascii="Arial" w:cs="Arial" w:eastAsia="Arial" w:hAnsi="Arial"/>
                <w:sz w:val="17"/>
                <w:szCs w:val="17"/>
                <w:color w:val="auto"/>
              </w:rPr>
              <w:t>Unearned revenue, long-term</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7,959</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8,592</w:t>
            </w:r>
          </w:p>
        </w:tc>
      </w:tr>
    </w:tbl>
    <w:p>
      <w:pPr>
        <w:spacing w:after="0" w:line="23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Significant changes in contract balances may arise as a result of recognition over time for services, transfer of control for equipment, and periodic payments (both in arrears and in advance).</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From time to time, we may experience unforeseen events that could result in a change to the scope or price associated with an arrangement. When such events occur, we update the transaction price and measure of progress for the performance obligation and recognize the change as a cumulative catch-up to revenue. Because of the nature and type of contracts we engage in, the timeframe to completion and satisfaction of current and future performance obligations can shift; however, this will have no impact on our future obligation to bill and collect.</w:t>
      </w:r>
    </w:p>
    <w:p>
      <w:pPr>
        <w:spacing w:after="0" w:line="123"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As of December 31, 2021, we had $43.7 million in advance payments and unearned revenue and long-term unearned revenue, of which approximately 34% is expected to be recognized as revenue in the remainder of fiscal 2022 and the balance thereafter. During the three and six months ended December 31, 2021 we recognized $6.6 million and $13.5 million, respectively, of revenue which was included in advance payments and unearned revenue at July 2, 2021.</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aggregate amount of transaction price allocated to our unsatisfied (or partially unsatisfied) performance obligations was approximately $75 million at December 31, 2021. Of this amount, we expect to recognize approximately 70% as revenue during the next 12 months, with the remaining amount to be recognized as revenue within two to five years.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Segment and Geographic Information</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We operate in one reportable business segment: the design, manufacturing, and sale of a range of wireless networking products, solutions, and services.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Our financial performance is regularly reviewed by our chief operating decision maker who is our Chief Executive Officer (“CEO”).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17" w:name="page18"/>
    <w:bookmarkEnd w:id="17"/>
    <w:p>
      <w:pPr>
        <w:ind w:firstLine="470"/>
        <w:spacing w:after="0" w:line="288" w:lineRule="auto"/>
        <w:rPr>
          <w:sz w:val="20"/>
          <w:szCs w:val="20"/>
          <w:color w:val="auto"/>
        </w:rPr>
      </w:pPr>
      <w:r>
        <w:rPr>
          <w:rFonts w:ascii="Arial" w:cs="Arial" w:eastAsia="Arial" w:hAnsi="Arial"/>
          <w:sz w:val="17"/>
          <w:szCs w:val="17"/>
          <w:color w:val="auto"/>
        </w:rPr>
        <w:t>We report revenue by region and country based on the location where our customers accept delivery of our products and services. Revenue by region for the three and six months ended December 31, 2021 and January 1, 2021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980" w:type="dxa"/>
            <w:vAlign w:val="bottom"/>
            <w:gridSpan w:val="4"/>
          </w:tcPr>
          <w:p>
            <w:pPr>
              <w:jc w:val="right"/>
              <w:ind w:right="97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4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December 31,</w:t>
            </w: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378"/>
              <w:spacing w:after="0" w:line="129"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December 31,</w:t>
            </w: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378"/>
              <w:spacing w:after="0" w:line="12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83"/>
        </w:trPr>
        <w:tc>
          <w:tcPr>
            <w:tcW w:w="44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North America</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94,657</w:t>
            </w:r>
          </w:p>
        </w:tc>
        <w:tc>
          <w:tcPr>
            <w:tcW w:w="0" w:type="dxa"/>
            <w:vAlign w:val="bottom"/>
          </w:tcPr>
          <w:p>
            <w:pPr>
              <w:spacing w:after="0"/>
              <w:rPr>
                <w:sz w:val="1"/>
                <w:szCs w:val="1"/>
                <w:color w:val="auto"/>
              </w:rPr>
            </w:pPr>
          </w:p>
        </w:tc>
      </w:tr>
      <w:tr>
        <w:trPr>
          <w:trHeight w:val="222"/>
        </w:trPr>
        <w:tc>
          <w:tcPr>
            <w:tcW w:w="4480" w:type="dxa"/>
            <w:vAlign w:val="bottom"/>
          </w:tcPr>
          <w:p>
            <w:pPr>
              <w:ind w:left="20"/>
              <w:spacing w:after="0"/>
              <w:rPr>
                <w:sz w:val="20"/>
                <w:szCs w:val="20"/>
                <w:color w:val="auto"/>
              </w:rPr>
            </w:pPr>
            <w:r>
              <w:rPr>
                <w:rFonts w:ascii="Arial" w:cs="Arial" w:eastAsia="Arial" w:hAnsi="Arial"/>
                <w:sz w:val="17"/>
                <w:szCs w:val="17"/>
                <w:color w:val="auto"/>
              </w:rPr>
              <w:t>Africa and the Middle East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13,535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10,663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24,237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21,234</w:t>
            </w:r>
          </w:p>
        </w:tc>
        <w:tc>
          <w:tcPr>
            <w:tcW w:w="0" w:type="dxa"/>
            <w:vAlign w:val="bottom"/>
          </w:tcPr>
          <w:p>
            <w:pPr>
              <w:spacing w:after="0"/>
              <w:rPr>
                <w:sz w:val="1"/>
                <w:szCs w:val="1"/>
                <w:color w:val="auto"/>
              </w:rPr>
            </w:pPr>
          </w:p>
        </w:tc>
      </w:tr>
      <w:tr>
        <w:trPr>
          <w:trHeight w:val="22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Europe and Russia</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3,773</w:t>
            </w:r>
          </w:p>
        </w:tc>
        <w:tc>
          <w:tcPr>
            <w:tcW w:w="0" w:type="dxa"/>
            <w:vAlign w:val="bottom"/>
          </w:tcPr>
          <w:p>
            <w:pPr>
              <w:spacing w:after="0"/>
              <w:rPr>
                <w:sz w:val="1"/>
                <w:szCs w:val="1"/>
                <w:color w:val="auto"/>
              </w:rPr>
            </w:pPr>
          </w:p>
        </w:tc>
      </w:tr>
      <w:tr>
        <w:trPr>
          <w:trHeight w:val="222"/>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Latin America and Asia Pacific</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17,157</w:t>
            </w:r>
          </w:p>
        </w:tc>
        <w:tc>
          <w:tcPr>
            <w:tcW w:w="0" w:type="dxa"/>
            <w:vAlign w:val="bottom"/>
          </w:tcPr>
          <w:p>
            <w:pPr>
              <w:spacing w:after="0"/>
              <w:rPr>
                <w:sz w:val="1"/>
                <w:szCs w:val="1"/>
                <w:color w:val="auto"/>
              </w:rPr>
            </w:pPr>
          </w:p>
        </w:tc>
      </w:tr>
      <w:tr>
        <w:trPr>
          <w:trHeight w:val="240"/>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77,864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70,531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151,022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136,821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loss of a significant portion of business from any significant customers could adversely affect our unaudited condensed consolidated financial statements.</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Customers accounting for 10% or more of our total revenue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3460" w:type="dxa"/>
            <w:vAlign w:val="bottom"/>
            <w:gridSpan w:val="4"/>
          </w:tcPr>
          <w:p>
            <w:pPr>
              <w:ind w:left="1060"/>
              <w:spacing w:after="0"/>
              <w:rPr>
                <w:sz w:val="20"/>
                <w:szCs w:val="20"/>
                <w:color w:val="auto"/>
              </w:rPr>
            </w:pPr>
            <w:r>
              <w:rPr>
                <w:rFonts w:ascii="Arial" w:cs="Arial" w:eastAsia="Arial" w:hAnsi="Arial"/>
                <w:sz w:val="14"/>
                <w:szCs w:val="14"/>
                <w:b w:val="1"/>
                <w:bCs w:val="1"/>
                <w:color w:val="auto"/>
              </w:rPr>
              <w:t>Three Months Ended</w:t>
            </w:r>
          </w:p>
        </w:tc>
        <w:tc>
          <w:tcPr>
            <w:tcW w:w="2060" w:type="dxa"/>
            <w:vAlign w:val="bottom"/>
            <w:gridSpan w:val="3"/>
          </w:tcPr>
          <w:p>
            <w:pPr>
              <w:ind w:left="960"/>
              <w:spacing w:after="0"/>
              <w:rPr>
                <w:sz w:val="20"/>
                <w:szCs w:val="20"/>
                <w:color w:val="auto"/>
              </w:rPr>
            </w:pPr>
            <w:r>
              <w:rPr>
                <w:rFonts w:ascii="Arial" w:cs="Arial" w:eastAsia="Arial" w:hAnsi="Arial"/>
                <w:sz w:val="14"/>
                <w:szCs w:val="14"/>
                <w:b w:val="1"/>
                <w:bCs w:val="1"/>
                <w:color w:val="auto"/>
                <w:w w:val="88"/>
              </w:rPr>
              <w:t>Six Months Ended</w:t>
            </w:r>
          </w:p>
        </w:tc>
        <w:tc>
          <w:tcPr>
            <w:tcW w:w="940" w:type="dxa"/>
            <w:vAlign w:val="bottom"/>
          </w:tcPr>
          <w:p>
            <w:pPr>
              <w:spacing w:after="0"/>
              <w:rPr>
                <w:sz w:val="16"/>
                <w:szCs w:val="16"/>
                <w:color w:val="auto"/>
              </w:rPr>
            </w:pPr>
          </w:p>
        </w:tc>
      </w:tr>
      <w:tr>
        <w:trPr>
          <w:trHeight w:val="129"/>
        </w:trPr>
        <w:tc>
          <w:tcPr>
            <w:tcW w:w="4780" w:type="dxa"/>
            <w:vAlign w:val="bottom"/>
          </w:tcPr>
          <w:p>
            <w:pPr>
              <w:spacing w:after="0"/>
              <w:rPr>
                <w:sz w:val="11"/>
                <w:szCs w:val="11"/>
                <w:color w:val="auto"/>
              </w:rPr>
            </w:pPr>
          </w:p>
        </w:tc>
        <w:tc>
          <w:tcPr>
            <w:tcW w:w="1740" w:type="dxa"/>
            <w:vAlign w:val="bottom"/>
            <w:tcBorders>
              <w:top w:val="single" w:sz="8" w:color="auto"/>
            </w:tcBorders>
            <w:gridSpan w:val="2"/>
          </w:tcPr>
          <w:p>
            <w:pPr>
              <w:ind w:left="420"/>
              <w:spacing w:after="0" w:line="129" w:lineRule="exact"/>
              <w:rPr>
                <w:sz w:val="20"/>
                <w:szCs w:val="20"/>
                <w:color w:val="auto"/>
              </w:rPr>
            </w:pPr>
            <w:r>
              <w:rPr>
                <w:rFonts w:ascii="Arial" w:cs="Arial" w:eastAsia="Arial" w:hAnsi="Arial"/>
                <w:sz w:val="14"/>
                <w:szCs w:val="14"/>
                <w:b w:val="1"/>
                <w:bCs w:val="1"/>
                <w:color w:val="auto"/>
              </w:rPr>
              <w:t>December 31,</w:t>
            </w:r>
          </w:p>
        </w:tc>
        <w:tc>
          <w:tcPr>
            <w:tcW w:w="1620" w:type="dxa"/>
            <w:vAlign w:val="bottom"/>
            <w:tcBorders>
              <w:top w:val="single" w:sz="8" w:color="auto"/>
            </w:tcBorders>
          </w:tcPr>
          <w:p>
            <w:pPr>
              <w:jc w:val="right"/>
              <w:ind w:right="422"/>
              <w:spacing w:after="0" w:line="129"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1"/>
                <w:szCs w:val="11"/>
                <w:color w:val="auto"/>
              </w:rPr>
            </w:pPr>
          </w:p>
        </w:tc>
        <w:tc>
          <w:tcPr>
            <w:tcW w:w="2060" w:type="dxa"/>
            <w:vAlign w:val="bottom"/>
            <w:tcBorders>
              <w:top w:val="single" w:sz="8" w:color="auto"/>
            </w:tcBorders>
            <w:gridSpan w:val="3"/>
          </w:tcPr>
          <w:p>
            <w:pPr>
              <w:ind w:left="420"/>
              <w:spacing w:after="0" w:line="129" w:lineRule="exact"/>
              <w:rPr>
                <w:sz w:val="20"/>
                <w:szCs w:val="20"/>
                <w:color w:val="auto"/>
              </w:rPr>
            </w:pPr>
            <w:r>
              <w:rPr>
                <w:rFonts w:ascii="Arial" w:cs="Arial" w:eastAsia="Arial" w:hAnsi="Arial"/>
                <w:sz w:val="14"/>
                <w:szCs w:val="14"/>
                <w:b w:val="1"/>
                <w:bCs w:val="1"/>
                <w:color w:val="auto"/>
              </w:rPr>
              <w:t>December 31,</w:t>
            </w:r>
          </w:p>
        </w:tc>
        <w:tc>
          <w:tcPr>
            <w:tcW w:w="940" w:type="dxa"/>
            <w:vAlign w:val="bottom"/>
            <w:tcBorders>
              <w:top w:val="single" w:sz="8" w:color="auto"/>
            </w:tcBorders>
          </w:tcPr>
          <w:p>
            <w:pPr>
              <w:jc w:val="right"/>
              <w:ind w:right="242"/>
              <w:spacing w:after="0" w:line="129" w:lineRule="exact"/>
              <w:rPr>
                <w:sz w:val="20"/>
                <w:szCs w:val="20"/>
                <w:color w:val="auto"/>
              </w:rPr>
            </w:pPr>
            <w:r>
              <w:rPr>
                <w:rFonts w:ascii="Arial" w:cs="Arial" w:eastAsia="Arial" w:hAnsi="Arial"/>
                <w:sz w:val="14"/>
                <w:szCs w:val="14"/>
                <w:b w:val="1"/>
                <w:bCs w:val="1"/>
                <w:color w:val="auto"/>
                <w:w w:val="86"/>
              </w:rPr>
              <w:t>January 1,</w:t>
            </w:r>
          </w:p>
        </w:tc>
      </w:tr>
      <w:tr>
        <w:trPr>
          <w:trHeight w:val="183"/>
        </w:trPr>
        <w:tc>
          <w:tcPr>
            <w:tcW w:w="47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r>
      <w:tr>
        <w:trPr>
          <w:trHeight w:val="216"/>
        </w:trPr>
        <w:tc>
          <w:tcPr>
            <w:tcW w:w="47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Motorola Solutions, Inc.</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4780" w:type="dxa"/>
            <w:vAlign w:val="bottom"/>
          </w:tcPr>
          <w:p>
            <w:pPr>
              <w:ind w:left="240"/>
              <w:spacing w:after="0"/>
              <w:rPr>
                <w:sz w:val="20"/>
                <w:szCs w:val="20"/>
                <w:color w:val="auto"/>
              </w:rPr>
            </w:pPr>
            <w:r>
              <w:rPr>
                <w:rFonts w:ascii="Arial" w:cs="Arial" w:eastAsia="Arial" w:hAnsi="Arial"/>
                <w:sz w:val="17"/>
                <w:szCs w:val="17"/>
                <w:color w:val="auto"/>
              </w:rPr>
              <w:t>A U.S. State Government Customer</w:t>
            </w:r>
          </w:p>
        </w:tc>
        <w:tc>
          <w:tcPr>
            <w:tcW w:w="16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12.5 %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79" w:lineRule="exact"/>
        <w:rPr>
          <w:sz w:val="20"/>
          <w:szCs w:val="20"/>
          <w:color w:val="auto"/>
        </w:rPr>
      </w:pPr>
    </w:p>
    <w:p>
      <w:pPr>
        <w:ind w:left="480" w:hanging="240"/>
        <w:spacing w:after="0"/>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Less than 10.0%</w:t>
      </w:r>
    </w:p>
    <w:p>
      <w:pPr>
        <w:spacing w:after="0" w:line="170"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7"/>
          <w:szCs w:val="17"/>
          <w:color w:val="auto"/>
        </w:rPr>
        <w:t>Customer accounting for 10% or more of our accounts receivable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1980" w:type="dxa"/>
            <w:vAlign w:val="bottom"/>
            <w:gridSpan w:val="2"/>
          </w:tcPr>
          <w:p>
            <w:pPr>
              <w:ind w:left="380"/>
              <w:spacing w:after="0"/>
              <w:rPr>
                <w:sz w:val="20"/>
                <w:szCs w:val="20"/>
                <w:color w:val="auto"/>
              </w:rPr>
            </w:pPr>
            <w:r>
              <w:rPr>
                <w:rFonts w:ascii="Arial" w:cs="Arial" w:eastAsia="Arial" w:hAnsi="Arial"/>
                <w:sz w:val="14"/>
                <w:szCs w:val="14"/>
                <w:b w:val="1"/>
                <w:bCs w:val="1"/>
                <w:color w:val="auto"/>
              </w:rPr>
              <w:t>December 31, 2021</w:t>
            </w:r>
          </w:p>
        </w:tc>
        <w:tc>
          <w:tcPr>
            <w:tcW w:w="1900" w:type="dxa"/>
            <w:vAlign w:val="bottom"/>
          </w:tcPr>
          <w:p>
            <w:pPr>
              <w:jc w:val="right"/>
              <w:ind w:right="502"/>
              <w:spacing w:after="0"/>
              <w:rPr>
                <w:sz w:val="20"/>
                <w:szCs w:val="20"/>
                <w:color w:val="auto"/>
              </w:rPr>
            </w:pPr>
            <w:r>
              <w:rPr>
                <w:rFonts w:ascii="Arial" w:cs="Arial" w:eastAsia="Arial" w:hAnsi="Arial"/>
                <w:sz w:val="14"/>
                <w:szCs w:val="14"/>
                <w:b w:val="1"/>
                <w:bCs w:val="1"/>
                <w:color w:val="auto"/>
              </w:rPr>
              <w:t>July 2, 2021</w:t>
            </w:r>
          </w:p>
        </w:tc>
      </w:tr>
      <w:tr>
        <w:trPr>
          <w:trHeight w:val="220"/>
        </w:trPr>
        <w:tc>
          <w:tcPr>
            <w:tcW w:w="73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Mobile Telephone Networks Group (MTN Group)</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16.0 %</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14.0 %</w:t>
            </w:r>
          </w:p>
        </w:tc>
      </w:tr>
      <w:tr>
        <w:trPr>
          <w:trHeight w:val="300"/>
        </w:trPr>
        <w:tc>
          <w:tcPr>
            <w:tcW w:w="7360" w:type="dxa"/>
            <w:vAlign w:val="bottom"/>
          </w:tcPr>
          <w:p>
            <w:pPr>
              <w:ind w:left="240"/>
              <w:spacing w:after="0"/>
              <w:rPr>
                <w:sz w:val="20"/>
                <w:szCs w:val="20"/>
                <w:color w:val="auto"/>
              </w:rPr>
            </w:pPr>
            <w:r>
              <w:rPr>
                <w:rFonts w:ascii="Arial" w:cs="Arial" w:eastAsia="Arial" w:hAnsi="Arial"/>
                <w:sz w:val="17"/>
                <w:szCs w:val="17"/>
                <w:color w:val="auto"/>
              </w:rPr>
              <w:t>*  Less than 10.0%</w:t>
            </w: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Equity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During the second quarter of fiscal 2022 we completed the $7.5 million stock repurchase program approved by our board of directors in May 2018 by purchasing 60,895 shares of our common stock in the open market for an aggregate purchase price, including commissions, of $1.9 million. During the first quarter of fiscal 2022, we repurchased 22,543 shares of our common stock in the open market for an aggregate purchase price, including commissions, of $0.7 million. These shares were recorded as treasury stock and we do not anticipate retiring them.</w:t>
      </w:r>
    </w:p>
    <w:p>
      <w:pPr>
        <w:spacing w:after="0" w:line="1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repurchase program was suspended temporarily from February 2020 to February 2021. During the third quarter of fiscal 2021, our Board of Directors voted to re-instate our stock repurchase program.</w:t>
      </w:r>
    </w:p>
    <w:p>
      <w:pPr>
        <w:spacing w:after="0" w:line="1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 November 2021 our board of directors approved a stock repurchase program to purchase up to $10.0 million of our common stock. As of December 31, 2021, $10.0 million remains available and we may choose to suspend or discontinue the repurchase program at any time.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Incentive Programs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As of December 31, 2021, we had one stock incentive plan for our employees and non-employee directors, the 2018 Incentive Plan (the “2018 Plan”). The 2018 Plan provides for the issuance of share-based awards in the form of stock options, stock appreciation rights, restricted stock awards and units, and performance share awards and units.</w:t>
      </w:r>
    </w:p>
    <w:p>
      <w:pPr>
        <w:spacing w:after="0" w:line="11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Under the 2018 Plan, option exercise prices are equal to the fair market value of our common stock on the date the options are granted using our closing stock price. After vesting, options generally may be exercised within seven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18" w:name="page19"/>
    <w:bookmarkEnd w:id="18"/>
    <w:p>
      <w:pPr>
        <w:jc w:val="both"/>
        <w:ind w:right="100" w:firstLine="470"/>
        <w:spacing w:after="0" w:line="297" w:lineRule="auto"/>
        <w:rPr>
          <w:sz w:val="20"/>
          <w:szCs w:val="20"/>
          <w:color w:val="auto"/>
        </w:rPr>
      </w:pPr>
      <w:r>
        <w:rPr>
          <w:rFonts w:ascii="Arial" w:cs="Arial" w:eastAsia="Arial" w:hAnsi="Arial"/>
          <w:sz w:val="16"/>
          <w:szCs w:val="16"/>
          <w:color w:val="auto"/>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to non-executive board members annually generally vest on the day before the annual stockholders’ meeting.</w:t>
      </w:r>
    </w:p>
    <w:p>
      <w:pPr>
        <w:spacing w:after="0" w:line="101"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Vesting of performance share awards and units is subject to the achievement of predetermined financial performance criteria and continued employment through the end of the applicable period. Market-based stock units vest upon meeting certain predetermined share price performance criteria and continued employment through the end of the applicable period.</w:t>
      </w:r>
    </w:p>
    <w:p>
      <w:pPr>
        <w:spacing w:after="0" w:line="119"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During the six months ended December 31, 2021, we granted 69,196 restricted stock units, 46,533 market-based stock units and 114,012 stock options to purchase shares of our common stock.</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Total compensation expense for share-based awards included in our unaudited condensed consolidated statements of operations was as follows:</w:t>
      </w: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187"/>
        </w:trPr>
        <w:tc>
          <w:tcPr>
            <w:tcW w:w="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58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December 31,</w:t>
            </w:r>
          </w:p>
        </w:tc>
        <w:tc>
          <w:tcPr>
            <w:tcW w:w="1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January 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83"/>
        </w:trPr>
        <w:tc>
          <w:tcPr>
            <w:tcW w:w="3580" w:type="dxa"/>
            <w:vAlign w:val="bottom"/>
            <w:tcBorders>
              <w:bottom w:val="single" w:sz="8" w:color="CCEEFF"/>
            </w:tcBorders>
            <w:gridSpan w:val="4"/>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3"/>
        </w:trPr>
        <w:tc>
          <w:tcPr>
            <w:tcW w:w="48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auto"/>
            </w:tcBorders>
            <w:gridSpan w:val="2"/>
            <w:shd w:val="clear" w:color="auto" w:fill="CCEEFF"/>
          </w:tcPr>
          <w:p>
            <w:pPr>
              <w:spacing w:after="0" w:line="163" w:lineRule="exact"/>
              <w:rPr>
                <w:sz w:val="20"/>
                <w:szCs w:val="20"/>
                <w:color w:val="auto"/>
              </w:rPr>
            </w:pPr>
            <w:r>
              <w:rPr>
                <w:rFonts w:ascii="Arial" w:cs="Arial" w:eastAsia="Arial" w:hAnsi="Arial"/>
                <w:sz w:val="17"/>
                <w:szCs w:val="17"/>
                <w:b w:val="1"/>
                <w:bCs w:val="1"/>
                <w:color w:val="auto"/>
                <w:w w:val="90"/>
              </w:rPr>
              <w:t>By Expense Category:</w:t>
            </w:r>
          </w:p>
        </w:tc>
        <w:tc>
          <w:tcPr>
            <w:tcW w:w="14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3100" w:type="dxa"/>
            <w:vAlign w:val="bottom"/>
            <w:gridSpan w:val="3"/>
          </w:tcPr>
          <w:p>
            <w:pPr>
              <w:ind w:left="120"/>
              <w:spacing w:after="0"/>
              <w:rPr>
                <w:sz w:val="20"/>
                <w:szCs w:val="20"/>
                <w:color w:val="auto"/>
              </w:rPr>
            </w:pPr>
            <w:r>
              <w:rPr>
                <w:rFonts w:ascii="Arial" w:cs="Arial" w:eastAsia="Arial" w:hAnsi="Arial"/>
                <w:sz w:val="17"/>
                <w:szCs w:val="17"/>
                <w:color w:val="auto"/>
              </w:rPr>
              <w:t>Cost of revenues</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1480" w:type="dxa"/>
            <w:vAlign w:val="bottom"/>
          </w:tcPr>
          <w:p>
            <w:pPr>
              <w:jc w:val="right"/>
              <w:ind w:right="819"/>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Research and development</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Selling and administrative</w:t>
            </w: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637</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668</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51"/>
        </w:trPr>
        <w:tc>
          <w:tcPr>
            <w:tcW w:w="480" w:type="dxa"/>
            <w:vAlign w:val="bottom"/>
            <w:shd w:val="clear" w:color="auto" w:fill="CCEEFF"/>
          </w:tcPr>
          <w:p>
            <w:pPr>
              <w:spacing w:after="0"/>
              <w:rPr>
                <w:sz w:val="13"/>
                <w:szCs w:val="13"/>
                <w:color w:val="auto"/>
              </w:rPr>
            </w:pPr>
          </w:p>
        </w:tc>
        <w:tc>
          <w:tcPr>
            <w:tcW w:w="3100" w:type="dxa"/>
            <w:vAlign w:val="bottom"/>
            <w:gridSpan w:val="3"/>
            <w:shd w:val="clear" w:color="auto" w:fill="CCEEFF"/>
          </w:tcPr>
          <w:p>
            <w:pPr>
              <w:ind w:left="320"/>
              <w:spacing w:after="0" w:line="151" w:lineRule="exact"/>
              <w:rPr>
                <w:sz w:val="20"/>
                <w:szCs w:val="20"/>
                <w:color w:val="auto"/>
              </w:rPr>
            </w:pPr>
            <w:r>
              <w:rPr>
                <w:rFonts w:ascii="Arial" w:cs="Arial" w:eastAsia="Arial" w:hAnsi="Arial"/>
                <w:sz w:val="17"/>
                <w:szCs w:val="17"/>
                <w:color w:val="auto"/>
              </w:rPr>
              <w:t>Total share-based compensation</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761</w:t>
            </w:r>
          </w:p>
        </w:tc>
        <w:tc>
          <w:tcPr>
            <w:tcW w:w="1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819"/>
              <w:spacing w:after="0"/>
              <w:rPr>
                <w:sz w:val="20"/>
                <w:szCs w:val="20"/>
                <w:color w:val="auto"/>
              </w:rPr>
            </w:pPr>
            <w:r>
              <w:rPr>
                <w:rFonts w:ascii="Arial" w:cs="Arial" w:eastAsia="Arial" w:hAnsi="Arial"/>
                <w:sz w:val="17"/>
                <w:szCs w:val="17"/>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818</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1,624</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5"/>
        </w:trPr>
        <w:tc>
          <w:tcPr>
            <w:tcW w:w="35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7"/>
                <w:szCs w:val="17"/>
                <w:color w:val="auto"/>
              </w:rPr>
              <w:t>expense</w:t>
            </w: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CCEEFF"/>
              <w:bottom w:val="single" w:sz="8" w:color="CCEEFF"/>
            </w:tcBorders>
            <w:vMerge w:val="restart"/>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spacing w:after="0" w:line="169" w:lineRule="exact"/>
              <w:rPr>
                <w:sz w:val="20"/>
                <w:szCs w:val="20"/>
                <w:color w:val="auto"/>
              </w:rPr>
            </w:pPr>
            <w:r>
              <w:rPr>
                <w:rFonts w:ascii="Arial" w:cs="Arial" w:eastAsia="Arial" w:hAnsi="Arial"/>
                <w:sz w:val="17"/>
                <w:szCs w:val="17"/>
                <w:b w:val="1"/>
                <w:bCs w:val="1"/>
                <w:color w:val="auto"/>
                <w:w w:val="91"/>
              </w:rPr>
              <w:t>By Types of Award:</w:t>
            </w:r>
          </w:p>
        </w:tc>
        <w:tc>
          <w:tcPr>
            <w:tcW w:w="162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80" w:type="dxa"/>
            <w:vAlign w:val="bottom"/>
            <w:vMerge w:val="continue"/>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80" w:type="dxa"/>
            <w:vAlign w:val="bottom"/>
            <w:shd w:val="clear" w:color="auto" w:fill="CCEEFF"/>
          </w:tcPr>
          <w:p>
            <w:pPr>
              <w:spacing w:after="0"/>
              <w:rPr>
                <w:sz w:val="20"/>
                <w:szCs w:val="20"/>
                <w:color w:val="auto"/>
              </w:rPr>
            </w:pPr>
          </w:p>
        </w:tc>
        <w:tc>
          <w:tcPr>
            <w:tcW w:w="310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819"/>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223</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3100" w:type="dxa"/>
            <w:vAlign w:val="bottom"/>
            <w:gridSpan w:val="3"/>
          </w:tcPr>
          <w:p>
            <w:pPr>
              <w:ind w:left="120"/>
              <w:spacing w:after="0" w:line="171" w:lineRule="exact"/>
              <w:rPr>
                <w:sz w:val="20"/>
                <w:szCs w:val="20"/>
                <w:color w:val="auto"/>
              </w:rPr>
            </w:pPr>
            <w:r>
              <w:rPr>
                <w:rFonts w:ascii="Arial" w:cs="Arial" w:eastAsia="Arial" w:hAnsi="Arial"/>
                <w:sz w:val="17"/>
                <w:szCs w:val="17"/>
                <w:color w:val="auto"/>
                <w:w w:val="94"/>
              </w:rPr>
              <w:t>Restricted and performance stock awards</w:t>
            </w:r>
          </w:p>
        </w:tc>
        <w:tc>
          <w:tcPr>
            <w:tcW w:w="6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641</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7"/>
                <w:szCs w:val="17"/>
                <w:color w:val="auto"/>
                <w:w w:val="84"/>
              </w:rPr>
              <w:t>595</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1,329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580" w:type="dxa"/>
            <w:vAlign w:val="bottom"/>
            <w:tcBorders>
              <w:bottom w:val="single" w:sz="8" w:color="CCEEFF"/>
            </w:tcBorders>
            <w:gridSpan w:val="4"/>
          </w:tcPr>
          <w:p>
            <w:pPr>
              <w:ind w:left="140"/>
              <w:spacing w:after="0"/>
              <w:rPr>
                <w:sz w:val="20"/>
                <w:szCs w:val="20"/>
                <w:color w:val="auto"/>
              </w:rPr>
            </w:pPr>
            <w:r>
              <w:rPr>
                <w:rFonts w:ascii="Arial" w:cs="Arial" w:eastAsia="Arial" w:hAnsi="Arial"/>
                <w:sz w:val="17"/>
                <w:szCs w:val="17"/>
                <w:color w:val="auto"/>
              </w:rPr>
              <w:t>and units</w:t>
            </w: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80" w:type="dxa"/>
            <w:vAlign w:val="bottom"/>
            <w:shd w:val="clear" w:color="auto" w:fill="CCEEFF"/>
          </w:tcPr>
          <w:p>
            <w:pPr>
              <w:spacing w:after="0"/>
              <w:rPr>
                <w:sz w:val="13"/>
                <w:szCs w:val="13"/>
                <w:color w:val="auto"/>
              </w:rPr>
            </w:pPr>
          </w:p>
        </w:tc>
        <w:tc>
          <w:tcPr>
            <w:tcW w:w="3100" w:type="dxa"/>
            <w:vAlign w:val="bottom"/>
            <w:gridSpan w:val="3"/>
            <w:shd w:val="clear" w:color="auto" w:fill="CCEEFF"/>
          </w:tcPr>
          <w:p>
            <w:pPr>
              <w:ind w:left="320"/>
              <w:spacing w:after="0" w:line="151" w:lineRule="exact"/>
              <w:rPr>
                <w:sz w:val="20"/>
                <w:szCs w:val="20"/>
                <w:color w:val="auto"/>
              </w:rPr>
            </w:pPr>
            <w:r>
              <w:rPr>
                <w:rFonts w:ascii="Arial" w:cs="Arial" w:eastAsia="Arial" w:hAnsi="Arial"/>
                <w:sz w:val="17"/>
                <w:szCs w:val="17"/>
                <w:color w:val="auto"/>
              </w:rPr>
              <w:t>Total share-based compensation</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761</w:t>
            </w:r>
          </w:p>
        </w:tc>
        <w:tc>
          <w:tcPr>
            <w:tcW w:w="1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819"/>
              <w:spacing w:after="0"/>
              <w:rPr>
                <w:sz w:val="20"/>
                <w:szCs w:val="20"/>
                <w:color w:val="auto"/>
              </w:rPr>
            </w:pPr>
            <w:r>
              <w:rPr>
                <w:rFonts w:ascii="Arial" w:cs="Arial" w:eastAsia="Arial" w:hAnsi="Arial"/>
                <w:sz w:val="17"/>
                <w:szCs w:val="17"/>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818</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1,624</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5"/>
        </w:trPr>
        <w:tc>
          <w:tcPr>
            <w:tcW w:w="35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7"/>
                <w:szCs w:val="17"/>
                <w:color w:val="auto"/>
              </w:rPr>
              <w:t>expense</w:t>
            </w: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right="100" w:firstLine="470"/>
        <w:spacing w:after="0" w:line="297" w:lineRule="auto"/>
        <w:rPr>
          <w:sz w:val="20"/>
          <w:szCs w:val="20"/>
          <w:color w:val="auto"/>
        </w:rPr>
      </w:pPr>
      <w:r>
        <w:rPr>
          <w:rFonts w:ascii="Arial" w:cs="Arial" w:eastAsia="Arial" w:hAnsi="Arial"/>
          <w:sz w:val="16"/>
          <w:szCs w:val="16"/>
          <w:color w:val="auto"/>
        </w:rPr>
        <w:t>As of December 31, 2021, there was approximately $1.3 million of total unrecognized compensation expense related to non-vested stock options granted which is expected to be recognized over a weighted-average period of 1.6 years. As of December 31, 2021, there was $5.6 million of total unrecognized compensation expense related to non-vested stock awards which is expected to be recognized over a weighted-average period of 1.6 years.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Restructuring Activities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restructuring-related activities:</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Severance and Benefits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Facilities and Other</w:t>
            </w:r>
          </w:p>
        </w:tc>
        <w:tc>
          <w:tcPr>
            <w:tcW w:w="300" w:type="dxa"/>
            <w:vAlign w:val="bottom"/>
          </w:tcPr>
          <w:p>
            <w:pPr>
              <w:spacing w:after="0"/>
              <w:rPr>
                <w:sz w:val="16"/>
                <w:szCs w:val="16"/>
                <w:color w:val="auto"/>
              </w:rPr>
            </w:pPr>
          </w:p>
        </w:tc>
        <w:tc>
          <w:tcPr>
            <w:tcW w:w="1020" w:type="dxa"/>
            <w:vAlign w:val="bottom"/>
          </w:tcPr>
          <w:p>
            <w:pPr>
              <w:jc w:val="right"/>
              <w:ind w:right="415"/>
              <w:spacing w:after="0"/>
              <w:rPr>
                <w:sz w:val="20"/>
                <w:szCs w:val="20"/>
                <w:color w:val="auto"/>
              </w:rPr>
            </w:pPr>
            <w:r>
              <w:rPr>
                <w:rFonts w:ascii="Arial" w:cs="Arial" w:eastAsia="Arial" w:hAnsi="Arial"/>
                <w:sz w:val="14"/>
                <w:szCs w:val="14"/>
                <w:b w:val="1"/>
                <w:bCs w:val="1"/>
                <w:color w:val="auto"/>
              </w:rPr>
              <w:t>Total</w:t>
            </w:r>
          </w:p>
        </w:tc>
      </w:tr>
      <w:tr>
        <w:trPr>
          <w:trHeight w:val="183"/>
        </w:trPr>
        <w:tc>
          <w:tcPr>
            <w:tcW w:w="3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2021 Plan</w:t>
            </w: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Q4 2020 Plan</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3"/>
              </w:rPr>
              <w:t>Prior Years' Plan</w:t>
            </w:r>
          </w:p>
        </w:tc>
        <w:tc>
          <w:tcPr>
            <w:tcW w:w="100" w:type="dxa"/>
            <w:vAlign w:val="bottom"/>
          </w:tcPr>
          <w:p>
            <w:pPr>
              <w:spacing w:after="0"/>
              <w:rPr>
                <w:sz w:val="15"/>
                <w:szCs w:val="15"/>
                <w:color w:val="auto"/>
              </w:rPr>
            </w:pP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Fiscal 2015-2016 Plan</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r>
      <w:tr>
        <w:trPr>
          <w:trHeight w:val="21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Accrual balance, July 2, 2021</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2"/>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2,737</w:t>
            </w:r>
          </w:p>
        </w:tc>
      </w:tr>
      <w:tr>
        <w:trPr>
          <w:trHeight w:val="222"/>
        </w:trPr>
        <w:tc>
          <w:tcPr>
            <w:tcW w:w="3920" w:type="dxa"/>
            <w:vAlign w:val="bottom"/>
          </w:tcPr>
          <w:p>
            <w:pPr>
              <w:ind w:left="140"/>
              <w:spacing w:after="0"/>
              <w:rPr>
                <w:sz w:val="20"/>
                <w:szCs w:val="20"/>
                <w:color w:val="auto"/>
              </w:rPr>
            </w:pPr>
            <w:r>
              <w:rPr>
                <w:rFonts w:ascii="Arial" w:cs="Arial" w:eastAsia="Arial" w:hAnsi="Arial"/>
                <w:sz w:val="17"/>
                <w:szCs w:val="17"/>
                <w:color w:val="auto"/>
              </w:rPr>
              <w:t>Charges, net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659</w:t>
            </w:r>
          </w:p>
        </w:tc>
      </w:tr>
      <w:tr>
        <w:trPr>
          <w:trHeight w:val="222"/>
        </w:trPr>
        <w:tc>
          <w:tcPr>
            <w:tcW w:w="3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payments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r>
      <w:tr>
        <w:trPr>
          <w:trHeight w:val="222"/>
        </w:trPr>
        <w:tc>
          <w:tcPr>
            <w:tcW w:w="3920" w:type="dxa"/>
            <w:vAlign w:val="bottom"/>
          </w:tcPr>
          <w:p>
            <w:pPr>
              <w:ind w:left="140"/>
              <w:spacing w:after="0"/>
              <w:rPr>
                <w:sz w:val="20"/>
                <w:szCs w:val="20"/>
                <w:color w:val="auto"/>
              </w:rPr>
            </w:pPr>
            <w:r>
              <w:rPr>
                <w:rFonts w:ascii="Arial" w:cs="Arial" w:eastAsia="Arial" w:hAnsi="Arial"/>
                <w:sz w:val="17"/>
                <w:szCs w:val="17"/>
                <w:color w:val="auto"/>
              </w:rPr>
              <w:t>Foreign exchange impact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5"/>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Accrual balance, October 1, 2021</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3,008</w:t>
            </w:r>
          </w:p>
        </w:tc>
      </w:tr>
      <w:tr>
        <w:trPr>
          <w:trHeight w:val="222"/>
        </w:trPr>
        <w:tc>
          <w:tcPr>
            <w:tcW w:w="3920" w:type="dxa"/>
            <w:vAlign w:val="bottom"/>
          </w:tcPr>
          <w:p>
            <w:pPr>
              <w:ind w:left="140"/>
              <w:spacing w:after="0"/>
              <w:rPr>
                <w:sz w:val="20"/>
                <w:szCs w:val="20"/>
                <w:color w:val="auto"/>
              </w:rPr>
            </w:pPr>
            <w:r>
              <w:rPr>
                <w:rFonts w:ascii="Arial" w:cs="Arial" w:eastAsia="Arial" w:hAnsi="Arial"/>
                <w:sz w:val="17"/>
                <w:szCs w:val="17"/>
                <w:color w:val="auto"/>
              </w:rPr>
              <w:t>Charges (recovery), net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(960)</w:t>
            </w:r>
          </w:p>
        </w:tc>
      </w:tr>
      <w:tr>
        <w:trPr>
          <w:trHeight w:val="222"/>
        </w:trPr>
        <w:tc>
          <w:tcPr>
            <w:tcW w:w="3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payments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r>
      <w:tr>
        <w:trPr>
          <w:trHeight w:val="222"/>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Foreign exchange impact</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r>
      <w:tr>
        <w:trPr>
          <w:trHeight w:val="235"/>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Accrual balance,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1,787</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right="100" w:firstLine="470"/>
        <w:spacing w:after="0" w:line="267" w:lineRule="auto"/>
        <w:rPr>
          <w:sz w:val="20"/>
          <w:szCs w:val="20"/>
          <w:color w:val="auto"/>
        </w:rPr>
      </w:pPr>
      <w:r>
        <w:rPr>
          <w:rFonts w:ascii="Arial" w:cs="Arial" w:eastAsia="Arial" w:hAnsi="Arial"/>
          <w:sz w:val="17"/>
          <w:szCs w:val="17"/>
          <w:color w:val="auto"/>
        </w:rPr>
        <w:t>As of December 31, 2021, the accrual balance of $1.8 million was in short-term restructuring liabilities on our unaudited condensed consolidated balance sheets. Included in the above plans for which we were carrying a provision were positions identified for termination that have not been executed from a restructuring perspective. Due to transition of leadership in the finance function it was concluded that we would not make several of the planned headcount reductions, and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25" w:right="239" w:bottom="1440" w:gutter="0" w:footer="0" w:header="0"/>
        </w:sectPr>
      </w:pPr>
    </w:p>
    <w:bookmarkStart w:id="19" w:name="page20"/>
    <w:bookmarkEnd w:id="19"/>
    <w:p>
      <w:pPr>
        <w:ind w:right="260"/>
        <w:spacing w:after="0" w:line="449" w:lineRule="auto"/>
        <w:rPr>
          <w:sz w:val="20"/>
          <w:szCs w:val="20"/>
          <w:color w:val="auto"/>
        </w:rPr>
      </w:pPr>
      <w:r>
        <w:rPr>
          <w:rFonts w:ascii="Arial" w:cs="Arial" w:eastAsia="Arial" w:hAnsi="Arial"/>
          <w:sz w:val="17"/>
          <w:szCs w:val="17"/>
          <w:color w:val="auto"/>
        </w:rPr>
        <w:t xml:space="preserve">the likelihood of future restructuring for these positions is presently deemed remote. Therefore, we decided it was prudent to reverse the associated provision. </w:t>
      </w:r>
      <w:r>
        <w:rPr>
          <w:rFonts w:ascii="Arial" w:cs="Arial" w:eastAsia="Arial" w:hAnsi="Arial"/>
          <w:sz w:val="17"/>
          <w:szCs w:val="17"/>
          <w:b w:val="1"/>
          <w:bCs w:val="1"/>
          <w:i w:val="1"/>
          <w:iCs w:val="1"/>
          <w:color w:val="auto"/>
        </w:rPr>
        <w:t>Fiscal 2021 Plan</w:t>
      </w:r>
    </w:p>
    <w:p>
      <w:pPr>
        <w:jc w:val="both"/>
        <w:ind w:firstLine="470"/>
        <w:spacing w:after="0" w:line="267" w:lineRule="auto"/>
        <w:rPr>
          <w:sz w:val="20"/>
          <w:szCs w:val="20"/>
          <w:color w:val="auto"/>
        </w:rPr>
      </w:pPr>
      <w:r>
        <w:rPr>
          <w:rFonts w:ascii="Arial" w:cs="Arial" w:eastAsia="Arial" w:hAnsi="Arial"/>
          <w:sz w:val="17"/>
          <w:szCs w:val="17"/>
          <w:color w:val="auto"/>
        </w:rPr>
        <w:t>During the third quarter of fiscal 2021, our Board of Directors approved a restructuring plan (the “Fiscal 2021 Plan”) in order to continue to reduce operating costs and improve profitability as part of our transformational initiative to optimize our business model and increase efficiencies. The Fiscal 2021 Plan was anticipated to entail a reduction in force of approximately 30 employees to be implemented through the second quarter of fiscal year 2022, with a certain number of positions being consolidated and/or relocated.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Q4 2020 Plan</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During the fourth quarter of fiscal 2020, our Board of Directors approved a restructuring plan (the “Q4 2020 Plan”) in order to continue to reduce our operating costs and improve profitability to optimize our business model and increase efficiencies. The Q4 2020 Plan was implemented starting with our fourth fiscal quarter of 2020 through the second fiscal quarter of 2021. This plan has been fully paid.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Prior Years’ Plan</w:t>
      </w:r>
    </w:p>
    <w:p>
      <w:pPr>
        <w:spacing w:after="0" w:line="17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January 2018, we reached a settlement with a certain foreign government for grant liabilities which allowed us to reduce our estimated payments relating to prior years’ restructuring plan by $0.3 million. 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included reductions in workforce across the Company, but primarily in operations outside the United States. Payments related to the accrued restructuring liability balance for this plan are expected to be paid in fiscal 2022.</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Income Taxes</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effective tax rate varies from the U.S. federal statutory rate of 21% primarily due to results of foreign operations that are subject to income taxes at different statutory rates and certain jurisdictions where we cannot recognize tax benefit on current losses. During interim periods, we accrue tax expenses for jurisdictions that are anticipated to be profitable for fiscal 2022.</w:t>
      </w:r>
    </w:p>
    <w:p>
      <w:pPr>
        <w:spacing w:after="0" w:line="12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determination of our income taxes for the six months ended December 31, 2021 and January 1, 2021 was based on our estimated annual effective tax rate adjusted for losses in certain jurisdictions for which no tax benefit can be recognized. Our tax expense for the six months ended December 31, 2021 was primarily due to tax expense related to U.S. and profitable subsidiaries. The tax expense for the six months ended January 1, 2021 was primarily due to tax expense related to profitable subsidiaries and $0.4 million of tax expense related to an audit settlement with the Financial Administration of the Republic of Slovenia.</w:t>
      </w:r>
    </w:p>
    <w:p>
      <w:pPr>
        <w:spacing w:after="0" w:line="127"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entered into a tax sharing agreement with Harris Corporation (“Harris”) effective on January 26, 2007, the acquisition date of Stratex Networks, Inc. The tax sharing agreement addresses, among other things, the settlement process associated with pre-merger tax liabilities and tax attributes that were attributable to the Microwave Communication Division when it was a division of Harris. There have been no settlement payments recorded since the acquisition date. To the extent we become more profitable in the U.S. in the future and utilize these tax attributes, we may be required to make certain payments to Harris which are currently not estimable.</w:t>
      </w:r>
    </w:p>
    <w:p>
      <w:pPr>
        <w:spacing w:after="0" w:line="127"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have a number of open income tax audits covering various tax years, which vary from jurisdiction to jurisdiction. Our major tax jurisdictions that are open and subject to potential audits include the U.S., Singapore, Nigeria, Saudi Arabia and the Ivory Coast. The earliest years for these jurisdictions are as follows: U.S. - 2003; Singapore - 2015; Nigeria - 2006; Saudi Arabia - 2019, and Ivory Coast - 2017.</w:t>
      </w:r>
    </w:p>
    <w:p>
      <w:pPr>
        <w:spacing w:after="0" w:line="11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account for interest and penalties related to unrecognized tax benefits as part of our provision for federal, foreign, and state income taxes. Such interest expense was not material for the six months ended December 31, 2021 and January 1, 2021.</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20" w:name="page21"/>
    <w:bookmarkEnd w:id="20"/>
    <w:p>
      <w:pPr>
        <w:jc w:val="both"/>
        <w:ind w:right="100" w:firstLine="470"/>
        <w:spacing w:after="0" w:line="358" w:lineRule="auto"/>
        <w:rPr>
          <w:sz w:val="20"/>
          <w:szCs w:val="20"/>
          <w:color w:val="auto"/>
        </w:rPr>
      </w:pPr>
      <w:r>
        <w:rPr>
          <w:rFonts w:ascii="Arial" w:cs="Arial" w:eastAsia="Arial" w:hAnsi="Arial"/>
          <w:sz w:val="15"/>
          <w:szCs w:val="15"/>
          <w:color w:val="auto"/>
        </w:rPr>
        <w:t>On December 27, 2020, the U.S. enacted the Consolidated Appropriations Act of 2021 (“CAA”) which extended and expanded certain tax relief measures created by the CARES Act, including, but not limited to, (1) second round of Payroll Protection Program loans, and (2) the Employer Retention Credit for 2021.</w:t>
      </w:r>
    </w:p>
    <w:p>
      <w:pPr>
        <w:spacing w:after="0" w:line="60"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We continue to examine the elements of the CAA and ARPA and the impact they may have on our future business.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Net Income Per Share of Common Stock</w:t>
      </w:r>
    </w:p>
    <w:p>
      <w:pPr>
        <w:spacing w:after="0" w:line="176" w:lineRule="exact"/>
        <w:rPr>
          <w:sz w:val="20"/>
          <w:szCs w:val="20"/>
          <w:color w:val="auto"/>
        </w:rPr>
      </w:pPr>
    </w:p>
    <w:p>
      <w:pPr>
        <w:jc w:val="both"/>
        <w:ind w:right="100" w:firstLine="470"/>
        <w:spacing w:after="0" w:line="264" w:lineRule="auto"/>
        <w:rPr>
          <w:sz w:val="20"/>
          <w:szCs w:val="20"/>
          <w:color w:val="auto"/>
        </w:rPr>
      </w:pPr>
      <w:r>
        <w:rPr>
          <w:rFonts w:ascii="Arial" w:cs="Arial" w:eastAsia="Arial" w:hAnsi="Arial"/>
          <w:sz w:val="17"/>
          <w:szCs w:val="17"/>
          <w:color w:val="auto"/>
        </w:rPr>
        <w:t>Net income per share is computed using the two-class method, by dividing net income attributable to us by the weighted-average number of shares of our outstanding common stock and participating securities outstanding.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as the unvested restricted shares are not contractually obligated to share our losses. The impact on earnings per share of the participating securities under the two-class method was immaterial.</w:t>
      </w:r>
    </w:p>
    <w:p>
      <w:pPr>
        <w:spacing w:after="0" w:line="127"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On April 7, 2021 we effected a two-for-one split in the form of a stock dividend to shareholders of record as of April 1, 2021. Common stock, Additional paid-in-capital, per share and equity award amounts for all periods presented have been retrospectively reclassified to reflect the two-for-one stock split in the form of a stock dividend. The following table presents the computation of basic and diluted net income per share:</w:t>
      </w:r>
    </w:p>
    <w:p>
      <w:pPr>
        <w:spacing w:after="0" w:line="149" w:lineRule="exact"/>
        <w:rPr>
          <w:sz w:val="20"/>
          <w:szCs w:val="20"/>
          <w:color w:val="auto"/>
        </w:rPr>
      </w:pPr>
    </w:p>
    <w:tbl>
      <w:tblPr>
        <w:tblLayout w:type="fixed"/>
        <w:tblInd w:w="48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40" w:type="dxa"/>
            <w:vAlign w:val="bottom"/>
            <w:gridSpan w:val="5"/>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5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 thousands, except per share amounts)</w:t>
            </w:r>
          </w:p>
        </w:tc>
        <w:tc>
          <w:tcPr>
            <w:tcW w:w="6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December 31,</w:t>
            </w:r>
          </w:p>
        </w:tc>
        <w:tc>
          <w:tcPr>
            <w:tcW w:w="6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77"/>
              <w:spacing w:after="0" w:line="129" w:lineRule="exact"/>
              <w:rPr>
                <w:sz w:val="20"/>
                <w:szCs w:val="20"/>
                <w:color w:val="auto"/>
              </w:rPr>
            </w:pPr>
            <w:r>
              <w:rPr>
                <w:rFonts w:ascii="Arial" w:cs="Arial" w:eastAsia="Arial" w:hAnsi="Arial"/>
                <w:sz w:val="14"/>
                <w:szCs w:val="14"/>
                <w:b w:val="1"/>
                <w:bCs w:val="1"/>
                <w:color w:val="auto"/>
              </w:rPr>
              <w:t>January 1,</w:t>
            </w: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December 31,</w:t>
            </w:r>
          </w:p>
        </w:tc>
        <w:tc>
          <w:tcPr>
            <w:tcW w:w="7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83"/>
        </w:trPr>
        <w:tc>
          <w:tcPr>
            <w:tcW w:w="3500" w:type="dxa"/>
            <w:vAlign w:val="bottom"/>
            <w:tcBorders>
              <w:bottom w:val="single" w:sz="8" w:color="CCEEFF"/>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Numerator:</w:t>
            </w:r>
          </w:p>
        </w:tc>
        <w:tc>
          <w:tcPr>
            <w:tcW w:w="6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0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5,916</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6,641</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10,598</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00" w:type="dxa"/>
            <w:vAlign w:val="bottom"/>
          </w:tcPr>
          <w:p>
            <w:pPr>
              <w:ind w:left="20"/>
              <w:spacing w:after="0"/>
              <w:rPr>
                <w:sz w:val="20"/>
                <w:szCs w:val="20"/>
                <w:color w:val="auto"/>
              </w:rPr>
            </w:pPr>
            <w:r>
              <w:rPr>
                <w:rFonts w:ascii="Arial" w:cs="Arial" w:eastAsia="Arial" w:hAnsi="Arial"/>
                <w:sz w:val="17"/>
                <w:szCs w:val="17"/>
                <w:b w:val="1"/>
                <w:bCs w:val="1"/>
                <w:color w:val="auto"/>
              </w:rPr>
              <w:t>Denominator:</w:t>
            </w: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8"/>
              </w:rPr>
              <w:t>Weighted-average shares outstanding, basic</w:t>
            </w: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2"/>
        </w:trPr>
        <w:tc>
          <w:tcPr>
            <w:tcW w:w="350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w w:val="97"/>
              </w:rPr>
              <w:t>Effect of potentially dilutive equivalent shares</w:t>
            </w: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w w:val="95"/>
              </w:rPr>
              <w:t>Weighted-average shares outstanding, diluted</w:t>
            </w:r>
          </w:p>
        </w:tc>
        <w:tc>
          <w:tcPr>
            <w:tcW w:w="6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11,960</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11,420</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11,895</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500" w:type="dxa"/>
            <w:vAlign w:val="bottom"/>
            <w:shd w:val="clear" w:color="auto" w:fill="CCEEFF"/>
          </w:tcPr>
          <w:p>
            <w:pPr>
              <w:ind w:left="640"/>
              <w:spacing w:after="0" w:line="170" w:lineRule="exact"/>
              <w:rPr>
                <w:sz w:val="20"/>
                <w:szCs w:val="20"/>
                <w:color w:val="auto"/>
              </w:rPr>
            </w:pPr>
            <w:r>
              <w:rPr>
                <w:rFonts w:ascii="Arial" w:cs="Arial" w:eastAsia="Arial" w:hAnsi="Arial"/>
                <w:sz w:val="17"/>
                <w:szCs w:val="17"/>
                <w:b w:val="1"/>
                <w:bCs w:val="1"/>
                <w:color w:val="auto"/>
              </w:rPr>
              <w:t>Net income per share of common</w:t>
            </w:r>
          </w:p>
        </w:tc>
        <w:tc>
          <w:tcPr>
            <w:tcW w:w="6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stock outstanding:</w:t>
            </w: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00" w:type="dxa"/>
            <w:vAlign w:val="bottom"/>
          </w:tcPr>
          <w:p>
            <w:pPr>
              <w:ind w:left="160"/>
              <w:spacing w:after="0"/>
              <w:rPr>
                <w:sz w:val="20"/>
                <w:szCs w:val="20"/>
                <w:color w:val="auto"/>
              </w:rPr>
            </w:pPr>
            <w:r>
              <w:rPr>
                <w:rFonts w:ascii="Arial" w:cs="Arial" w:eastAsia="Arial" w:hAnsi="Arial"/>
                <w:sz w:val="17"/>
                <w:szCs w:val="17"/>
                <w:color w:val="auto"/>
              </w:rPr>
              <w:t>Basic</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0.52</w:t>
            </w:r>
          </w:p>
        </w:tc>
        <w:tc>
          <w:tcPr>
            <w:tcW w:w="1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0.60</w:t>
            </w:r>
          </w:p>
        </w:tc>
        <w:tc>
          <w:tcPr>
            <w:tcW w:w="120" w:type="dxa"/>
            <w:vAlign w:val="bottom"/>
          </w:tcPr>
          <w:p>
            <w:pPr>
              <w:spacing w:after="0"/>
              <w:rPr>
                <w:sz w:val="19"/>
                <w:szCs w:val="19"/>
                <w:color w:val="auto"/>
              </w:rPr>
            </w:pP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0.95</w:t>
            </w:r>
          </w:p>
        </w:tc>
        <w:tc>
          <w:tcPr>
            <w:tcW w:w="1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100" w:firstLine="470"/>
        <w:spacing w:after="0" w:line="274" w:lineRule="auto"/>
        <w:rPr>
          <w:sz w:val="20"/>
          <w:szCs w:val="20"/>
          <w:color w:val="auto"/>
        </w:rPr>
      </w:pPr>
      <w:r>
        <w:rPr>
          <w:rFonts w:ascii="Arial" w:cs="Arial" w:eastAsia="Arial" w:hAnsi="Arial"/>
          <w:sz w:val="17"/>
          <w:szCs w:val="17"/>
          <w:color w:val="auto"/>
        </w:rPr>
        <w:t>The following table summarizes the weighted-average equity awards that were excluded from the diluted net income per share calculations since they were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282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9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jc w:val="center"/>
              <w:ind w:left="29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left="330"/>
              <w:spacing w:after="0" w:line="129" w:lineRule="exact"/>
              <w:rPr>
                <w:sz w:val="20"/>
                <w:szCs w:val="20"/>
                <w:color w:val="auto"/>
              </w:rPr>
            </w:pPr>
            <w:r>
              <w:rPr>
                <w:rFonts w:ascii="Arial" w:cs="Arial" w:eastAsia="Arial" w:hAnsi="Arial"/>
                <w:sz w:val="14"/>
                <w:szCs w:val="14"/>
                <w:b w:val="1"/>
                <w:bCs w:val="1"/>
                <w:color w:val="auto"/>
                <w:w w:val="92"/>
              </w:rPr>
              <w:t>January 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rPr>
              <w:t>December 31,</w:t>
            </w:r>
          </w:p>
        </w:tc>
        <w:tc>
          <w:tcPr>
            <w:tcW w:w="1420" w:type="dxa"/>
            <w:vAlign w:val="bottom"/>
          </w:tcPr>
          <w:p>
            <w:pPr>
              <w:jc w:val="right"/>
              <w:ind w:right="320"/>
              <w:spacing w:after="0" w:line="12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83"/>
        </w:trPr>
        <w:tc>
          <w:tcPr>
            <w:tcW w:w="4840" w:type="dxa"/>
            <w:vAlign w:val="bottom"/>
            <w:vMerge w:val="continue"/>
          </w:tcPr>
          <w:p>
            <w:pPr>
              <w:spacing w:after="0"/>
              <w:rPr>
                <w:sz w:val="15"/>
                <w:szCs w:val="15"/>
                <w:color w:val="auto"/>
              </w:rPr>
            </w:pPr>
          </w:p>
        </w:tc>
        <w:tc>
          <w:tcPr>
            <w:tcW w:w="1200" w:type="dxa"/>
            <w:vAlign w:val="bottom"/>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162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20" w:type="dxa"/>
            <w:vAlign w:val="bottom"/>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1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123</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22"/>
        </w:trPr>
        <w:tc>
          <w:tcPr>
            <w:tcW w:w="4840" w:type="dxa"/>
            <w:vAlign w:val="bottom"/>
          </w:tcPr>
          <w:p>
            <w:pPr>
              <w:ind w:left="20"/>
              <w:spacing w:after="0"/>
              <w:rPr>
                <w:sz w:val="20"/>
                <w:szCs w:val="20"/>
                <w:color w:val="auto"/>
              </w:rPr>
            </w:pPr>
            <w:r>
              <w:rPr>
                <w:rFonts w:ascii="Arial" w:cs="Arial" w:eastAsia="Arial" w:hAnsi="Arial"/>
                <w:sz w:val="17"/>
                <w:szCs w:val="17"/>
                <w:color w:val="auto"/>
              </w:rPr>
              <w:t>Restricted stock units and performance stock units</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2"/>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48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shares of common stock excluded</w:t>
            </w:r>
          </w:p>
        </w:tc>
        <w:tc>
          <w:tcPr>
            <w:tcW w:w="1200" w:type="dxa"/>
            <w:vAlign w:val="bottom"/>
            <w:tcBorders>
              <w:top w:val="single" w:sz="8" w:color="auto"/>
              <w:bottom w:val="single" w:sz="8" w:color="auto"/>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Commitments and Contingencies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Orders and Other Commitments</w:t>
      </w:r>
    </w:p>
    <w:p>
      <w:pPr>
        <w:spacing w:after="0" w:line="170"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25"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7"/>
          <w:szCs w:val="17"/>
          <w:color w:val="auto"/>
        </w:rPr>
        <w:t>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December 31, 2021, we had outstanding purchase obligations with our suppliers or contract manufacturers of $36.8 million. In addition, we had contractual obligations of approximately $3.7 million associated with software licenses as of December 31, 2021.</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Guarantees and Commercial Commitments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December 31, 2021, we had no guarantees applicable to our debt arrangements.</w:t>
      </w:r>
    </w:p>
    <w:p>
      <w:pPr>
        <w:spacing w:after="0" w:line="1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December 31, 2021, we had commercial commitments of $64.2 million outstanding that were not recorded on our unaudited condensed consolidated balance sheets. We do not believe, based on historical experience and information currently available, that it is probable that any significant amounts will be required to be paid on these performance guarantees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Indemnifications</w:t>
      </w:r>
    </w:p>
    <w:p>
      <w:pPr>
        <w:spacing w:after="0" w:line="170"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December 31, 2021,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December 31, 2021, we had not recorded any liabilities related to these indemnifications.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70"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We are subject from time to time to disputes with customers concerning our products and services. In May 2016, we received notification of a claim for damages from a customer alleging that certain of our products were defective which we settled with an immaterial amount during the third quarter of 2021.</w:t>
      </w:r>
    </w:p>
    <w:p>
      <w:pPr>
        <w:spacing w:after="0" w:line="83"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Contingent Liabilities</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27"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In March 2016, an enforcement action by the Indian Department of Revenue, Ministry of Finance was brought against our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our directors of Aviat India appeared before the Ministry of Finance Enforcement Directorate. No settlement offers were discussed at the meeting and the matter is still ongoing with no subsequent hearing date currently scheduled.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3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Periodically, we review the status of each significant matter to assess the potential financial exposure. If a potential loss is considered probable and the amount can be reasonably estimated, we reflect the estimated loss in our unaudited condensed consolidated statement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w:t>
      </w:r>
    </w:p>
    <w:p>
      <w:pPr>
        <w:spacing w:after="0" w:line="170"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5"/>
          <w:szCs w:val="15"/>
          <w:color w:val="auto"/>
        </w:rPr>
        <w:t>In March 2020, the World Health Organization characterized a recent pandemic of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pandemic. The COVID-19 pandemic may have an impact on our operations, supply chains and distribution systems and increase our expenses, including as a result of impacts associated with preventive and precautionary measures that we, other businesses and governments are taking or requiring. The extent to which the COVID-19 pandemic impacts our business, prospects and results of operations will depend on future developments, which are highly uncertain and cannot be predicted with certainty, including, but not limited to, the duration and spread of the pandemic, its severity, the actions to contain the virus or treat its impact, and how quickly and to what extent normal economic and operating activities can resume. Management is actively monitoring the impact of the COVID-19 pandemic on our financial condition, liquidity, operations, suppliers, industry, and workforce. Additionally we have undertaken measures to protect our employees, suppliers, and customers, including encouraging, and in many cases requiring employees to work remotely as appropriate. We have also modified some of our controls procedures but those changes have not been significant.</w:t>
      </w:r>
    </w:p>
    <w:p>
      <w:pPr>
        <w:spacing w:after="0" w:line="10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first priority remains the health and safety of our employees and their families. Employees whose tasks can be done off-site have been instructed to work from home. Our manufacturing sites support essential businesses and remain operational. We are maintaining social distancing for workers on-site and have enhanced cleaning protocols and usage of personal protective equipment, where appropriate.</w:t>
      </w:r>
    </w:p>
    <w:p>
      <w:pPr>
        <w:spacing w:after="0" w:line="119"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Our gross margin in the current quarter was negatively impacted by inflationary pressures incurred to overcome supply chain and logistical bottlenecks. These were partially offset by price increases and surcharges. We continue to monitor, assess and adapt to the situation and prepare for implications to our business, supply chain and customer demand. We expect these challenges to continue until business and economic activities return to more normal levels.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77470</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76"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without limitation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Quarterly Report on Form 10-Q. Important factors that could cause actual results to differ materially from estimates or projections contained in the forward-looking statements include, but are not limited to, the following:</w:t>
      </w:r>
    </w:p>
    <w:p>
      <w:pPr>
        <w:spacing w:after="0" w:line="258" w:lineRule="exact"/>
        <w:rPr>
          <w:sz w:val="20"/>
          <w:szCs w:val="20"/>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COVID-19 on our business, operations and cash flows;</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continued price and margin erosion as a result of increased competition in the microwave transmission industry;</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the volume, timing, and customer, product, and geographic mix of our product orders;</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meet financial covenant requirements which could impact, among other things, our liquidity;</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timing of our receipt of payment for products or services from our customers;</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meet projected new product development dates or anticipated cost reductions of new products;</w:t>
      </w:r>
    </w:p>
    <w:p>
      <w:pPr>
        <w:spacing w:after="0" w:line="105" w:lineRule="exact"/>
        <w:rPr>
          <w:rFonts w:ascii="Arial" w:cs="Arial" w:eastAsia="Arial" w:hAnsi="Arial"/>
          <w:sz w:val="17"/>
          <w:szCs w:val="17"/>
          <w:i w:val="1"/>
          <w:iCs w:val="1"/>
          <w:color w:val="auto"/>
        </w:rPr>
      </w:pPr>
    </w:p>
    <w:p>
      <w:pPr>
        <w:ind w:left="940" w:right="300" w:hanging="308"/>
        <w:spacing w:after="0" w:line="369" w:lineRule="auto"/>
        <w:tabs>
          <w:tab w:leader="none" w:pos="936"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suppliers’ inability to perform and deliver on time as a result of their financial condition, component shortages, the effects of COVID-19 or other supply chain constraints;</w:t>
      </w: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effects of inflation and the timing and extent of changes in the prices and overall demand for and availability of our inputs;</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customer acceptance of new products;</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ability of our subcontractors to timely perform;</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weakness in the global economy affecting customer spending;</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retention of our key personnel;</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manage and maintain key customer relationships;</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uncertain economic conditions in the telecommunications sector combined with operator and supplier consolidation;</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failure to protect our intellectual property rights or defend against intellectual property infringement claims by others;</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results of our restructuring efforts;</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ability to preserve and use our net operating loss carryforwards;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5" w:name="page26"/>
    <w:bookmarkEnd w:id="25"/>
    <w:p>
      <w:pPr>
        <w:ind w:left="940" w:hanging="308"/>
        <w:spacing w:after="0"/>
        <w:tabs>
          <w:tab w:leader="none" w:pos="9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effects of currency and interest rate risks;</w:t>
      </w:r>
    </w:p>
    <w:p>
      <w:pPr>
        <w:spacing w:after="0" w:line="105" w:lineRule="exact"/>
        <w:rPr>
          <w:rFonts w:ascii="Arial" w:cs="Arial" w:eastAsia="Arial" w:hAnsi="Arial"/>
          <w:sz w:val="17"/>
          <w:szCs w:val="17"/>
          <w:i w:val="1"/>
          <w:iCs w:val="1"/>
          <w:color w:val="auto"/>
        </w:rPr>
      </w:pPr>
    </w:p>
    <w:p>
      <w:pPr>
        <w:ind w:left="940" w:right="40" w:hanging="308"/>
        <w:spacing w:after="0" w:line="369" w:lineRule="auto"/>
        <w:tabs>
          <w:tab w:leader="none" w:pos="936"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effects of current and future government regulations, including the effects of current restrictions on various commercial and economic activities in response to the COVID-19 pandemic;</w:t>
      </w:r>
    </w:p>
    <w:p>
      <w:pPr>
        <w:ind w:left="940" w:right="160" w:hanging="308"/>
        <w:spacing w:after="0" w:line="369" w:lineRule="auto"/>
        <w:tabs>
          <w:tab w:leader="none" w:pos="936"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general economic conditions, including uncertainty regarding the timing, pace and extent of an economic recovery in the United States and other countries where we conduct business;</w:t>
      </w:r>
    </w:p>
    <w:p>
      <w:pPr>
        <w:ind w:left="940" w:hanging="308"/>
        <w:spacing w:after="0"/>
        <w:tabs>
          <w:tab w:leader="none" w:pos="9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the conduct of unethical business practices in developing countries;</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political turmoil in countries where we have significant business;</w:t>
      </w:r>
    </w:p>
    <w:p>
      <w:pPr>
        <w:spacing w:after="0" w:line="105" w:lineRule="exact"/>
        <w:rPr>
          <w:rFonts w:ascii="Arial" w:cs="Arial" w:eastAsia="Arial" w:hAnsi="Arial"/>
          <w:sz w:val="17"/>
          <w:szCs w:val="17"/>
          <w:i w:val="1"/>
          <w:iCs w:val="1"/>
          <w:color w:val="auto"/>
        </w:rPr>
      </w:pPr>
    </w:p>
    <w:p>
      <w:pPr>
        <w:ind w:left="940" w:right="620" w:hanging="308"/>
        <w:spacing w:after="0" w:line="369" w:lineRule="auto"/>
        <w:tabs>
          <w:tab w:leader="none" w:pos="936"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 and</w:t>
      </w:r>
    </w:p>
    <w:p>
      <w:pPr>
        <w:ind w:left="940" w:hanging="308"/>
        <w:spacing w:after="0"/>
        <w:tabs>
          <w:tab w:leader="none" w:pos="9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implement our stock repurchase program or that it will enhance long-term stockholder value.</w:t>
      </w:r>
    </w:p>
    <w:p>
      <w:pPr>
        <w:spacing w:after="0" w:line="21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Other factors besides those listed here could also adversely affect us. See “Item 1A. Risk Factors” in our fiscal 2021 Annual Report on Form 10-K filed with the SEC on August 25, 2021 for more information regarding factors that may cause our results to differ materially from those expressed or implied by the forward-looking statements contained in this Quarterly Report on Form 10-Q.</w:t>
      </w:r>
    </w:p>
    <w:p>
      <w:pPr>
        <w:spacing w:after="0" w:line="12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Business; Operating Environment and Key Factors Impacting Fiscal 2022 and 2021 Results</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herein, our fiscal year ending July 1, 2022 is referred to as “fiscal 2022” or “2022” and our fiscal year ended July 2, 2021 is referred to as “fiscal 2021” or “2021.”</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April 7, 2021, we effected a two-for-one split in the form of a stock dividend to shareholders of record as of April 1, 2021.</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anticipate growth in revenue in fiscal 2022. We continue to have a backlog entering the remaining quarters of fiscal 2022 and we anticipate continuing our strong momentum across all verticals. We have made inroads into the U.S. rural broadband and wireless internet service provider areas and there is now further evidence of investment to support 5G deployments with our U.S. service provider customers. We have also seen continued growth in our international regions.</w:t>
      </w:r>
    </w:p>
    <w:p>
      <w:pPr>
        <w:spacing w:after="0" w:line="1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gross margin in the current quarter was negatively impacted by inflationary pressures incurred to overcome supply chain and logistical bottlenecks. These were partially offset by price increases and surcharges. We are monitoring, assessing and adapting to the situation and preparing for possible implications to our business, supply chain and customer demand. We expect the potential for these challenges to continue until business and economic activities return to more normal levels.</w:t>
      </w:r>
    </w:p>
    <w:p>
      <w:pPr>
        <w:spacing w:after="0" w:line="1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March 2020, the World Health Organization characterized the current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pandemic. The COVID-19 pandemic has had and is likely to continue to have an impact on our operations, supply chains and distribution systems. The COVID-19 pandemic has led to an increase 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6" w:name="page27"/>
    <w:bookmarkEnd w:id="26"/>
    <w:p>
      <w:pPr>
        <w:jc w:val="both"/>
        <w:spacing w:after="0" w:line="307" w:lineRule="auto"/>
        <w:rPr>
          <w:sz w:val="20"/>
          <w:szCs w:val="20"/>
          <w:color w:val="auto"/>
        </w:rPr>
      </w:pPr>
      <w:r>
        <w:rPr>
          <w:rFonts w:ascii="Arial" w:cs="Arial" w:eastAsia="Arial" w:hAnsi="Arial"/>
          <w:sz w:val="15"/>
          <w:szCs w:val="15"/>
          <w:color w:val="auto"/>
        </w:rPr>
        <w:t>our expenses, including as a result of impacts associated with preventive and precautionary measures that we, other businesses and governments are taking or requiring. The extent to which the COVID-19 pandemic impacts our business, prospects and results of operations will depend on future developments, which are highly uncertain and cannot be predicted with certainty, including, but not limited to, the duration and spread of the pandemic, its severity, the actions to contain the virus or treat its impact, including the ongoing vaccination efforts and how quickly and to what extent normal economic and operating activities can resume. Management is actively monitoring the impact of the COVID-19 pandemic on our financial condition, liquidity, operations, suppliers, industry, and workforce.</w:t>
      </w:r>
    </w:p>
    <w:p>
      <w:pPr>
        <w:spacing w:after="0" w:line="9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first priority remains the health and safety of our employees and their families. Employees whose tasks can be done offsite have been instructed to work from home. Our manufacturing sites remain operational, and we are maintaining social distancing and have enhanced cleaning protocols and usage of personal protective equipment, where appropriate.</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Operations Review</w:t>
      </w:r>
    </w:p>
    <w:p>
      <w:pPr>
        <w:spacing w:after="0" w:line="176"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The market for mobile backhaul continued to be our primary addressable market segment globally in the first six months of fiscal 2022. In North America, we supported 5G and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LTE deployments, and 5G deployments. Our position continues to be to support our customers for 5G and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Annual Report on Form 10-K filed with the SEC on August 25, 2021, a number of factors could prevent us from achieving our objectives, including ongoing pricing pressures attributable to competition and macroeconomic conditions in the geographic markets that we serve.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manage our sales activities primarily on a geographic basis in North America and three international geographic regions: (1) Africa and the Middle East, (2) Europe and Russia, and (3) Latin America and Asia Pacific. Revenue by region for the three and six months ended December 31, 2021 and January 1, 2021 and the related changes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840" w:type="dxa"/>
            <w:vAlign w:val="bottom"/>
          </w:tcPr>
          <w:p>
            <w:pPr>
              <w:ind w:left="20"/>
              <w:spacing w:after="0" w:line="131" w:lineRule="exact"/>
              <w:rPr>
                <w:sz w:val="20"/>
                <w:szCs w:val="20"/>
                <w:color w:val="auto"/>
              </w:rPr>
            </w:pPr>
            <w:r>
              <w:rPr>
                <w:rFonts w:ascii="Arial" w:cs="Arial" w:eastAsia="Arial" w:hAnsi="Arial"/>
                <w:sz w:val="14"/>
                <w:szCs w:val="14"/>
                <w:b w:val="1"/>
                <w:bCs w:val="1"/>
                <w:color w:val="auto"/>
              </w:rPr>
              <w:t>(In thousands, except</w:t>
            </w: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8"/>
              </w:rPr>
              <w:t>December 31, 2021</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w w:val="90"/>
              </w:rPr>
              <w:t>January 1, 2021</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5"/>
              </w:rPr>
              <w:t>$ Change</w:t>
            </w:r>
          </w:p>
        </w:tc>
        <w:tc>
          <w:tcPr>
            <w:tcW w:w="80" w:type="dxa"/>
            <w:vAlign w:val="bottom"/>
          </w:tcPr>
          <w:p>
            <w:pPr>
              <w:spacing w:after="0"/>
              <w:rPr>
                <w:sz w:val="11"/>
                <w:szCs w:val="11"/>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20"/>
              <w:spacing w:after="0" w:line="131"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106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w w:val="90"/>
              </w:rPr>
              <w:t>January 1, 2021</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1"/>
                <w:szCs w:val="11"/>
                <w:color w:val="auto"/>
              </w:rPr>
            </w:pPr>
          </w:p>
        </w:tc>
        <w:tc>
          <w:tcPr>
            <w:tcW w:w="110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percentages)</w:t>
            </w:r>
          </w:p>
        </w:tc>
        <w:tc>
          <w:tcPr>
            <w:tcW w:w="11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49,158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206"/>
        </w:trPr>
        <w:tc>
          <w:tcPr>
            <w:tcW w:w="1840" w:type="dxa"/>
            <w:vAlign w:val="bottom"/>
          </w:tcPr>
          <w:p>
            <w:pPr>
              <w:ind w:left="20"/>
              <w:spacing w:after="0"/>
              <w:rPr>
                <w:sz w:val="20"/>
                <w:szCs w:val="20"/>
                <w:color w:val="auto"/>
              </w:rPr>
            </w:pPr>
            <w:r>
              <w:rPr>
                <w:rFonts w:ascii="Arial" w:cs="Arial" w:eastAsia="Arial" w:hAnsi="Arial"/>
                <w:sz w:val="16"/>
                <w:szCs w:val="16"/>
                <w:color w:val="auto"/>
                <w:w w:val="96"/>
              </w:rPr>
              <w:t>Africa and the Middle East</w:t>
            </w: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10,663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2,872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26.9 %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24,237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21,234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14.1 %</w:t>
            </w:r>
          </w:p>
        </w:tc>
        <w:tc>
          <w:tcPr>
            <w:tcW w:w="0" w:type="dxa"/>
            <w:vAlign w:val="bottom"/>
          </w:tcPr>
          <w:p>
            <w:pPr>
              <w:spacing w:after="0"/>
              <w:rPr>
                <w:sz w:val="1"/>
                <w:szCs w:val="1"/>
                <w:color w:val="auto"/>
              </w:rPr>
            </w:pPr>
          </w:p>
        </w:tc>
      </w:tr>
      <w:tr>
        <w:trPr>
          <w:trHeight w:val="212"/>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 and Russia</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48.7 %</w:t>
            </w:r>
          </w:p>
        </w:tc>
        <w:tc>
          <w:tcPr>
            <w:tcW w:w="0" w:type="dxa"/>
            <w:vAlign w:val="bottom"/>
          </w:tcPr>
          <w:p>
            <w:pPr>
              <w:spacing w:after="0"/>
              <w:rPr>
                <w:sz w:val="1"/>
                <w:szCs w:val="1"/>
                <w:color w:val="auto"/>
              </w:rPr>
            </w:pPr>
          </w:p>
        </w:tc>
      </w:tr>
      <w:tr>
        <w:trPr>
          <w:trHeight w:val="160"/>
        </w:trPr>
        <w:tc>
          <w:tcPr>
            <w:tcW w:w="1840" w:type="dxa"/>
            <w:vAlign w:val="bottom"/>
          </w:tcPr>
          <w:p>
            <w:pPr>
              <w:ind w:left="20"/>
              <w:spacing w:after="0" w:line="160" w:lineRule="exact"/>
              <w:rPr>
                <w:sz w:val="20"/>
                <w:szCs w:val="20"/>
                <w:color w:val="auto"/>
              </w:rPr>
            </w:pPr>
            <w:r>
              <w:rPr>
                <w:rFonts w:ascii="Arial" w:cs="Arial" w:eastAsia="Arial" w:hAnsi="Arial"/>
                <w:sz w:val="16"/>
                <w:szCs w:val="16"/>
                <w:color w:val="auto"/>
              </w:rPr>
              <w:t>Latin America and Asia</w:t>
            </w:r>
          </w:p>
        </w:tc>
        <w:tc>
          <w:tcPr>
            <w:tcW w:w="4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10,375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9,199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1,176</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12.8 %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19,191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17,157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2,034</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03"/>
        </w:trPr>
        <w:tc>
          <w:tcPr>
            <w:tcW w:w="1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Pacific</w:t>
            </w: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CCEEFF"/>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CCEE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77,864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70,531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151,022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color w:val="auto"/>
        </w:rPr>
        <w:t>Our revenue in North America increased by $1.9 million, or 3.8%, during the second quarter of fiscal 2022 compared with the same period of fiscal 2021. Revenue in North America increased by $7.3 million, or 7.7%, during the first six months of fiscal 2022 compared with the same period of fiscal 2021. The increase in North America revenue during the three and six months of fiscal 2022 was primarily due to an increase in the number of private network projects.</w:t>
      </w:r>
    </w:p>
    <w:p>
      <w:pPr>
        <w:spacing w:after="0" w:line="8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revenue in Africa and the Middle East increased by $2.9 million or 26.9% during the second quarter of fiscal 2022 compared with the same period of fiscal 2021. Revenue in Africa and the Middle East increased by $3.0 million, or 14.1%, during the first six months of fiscal 2022 compared with the same period of fiscal 2021. This increase in revenue during the three and six months of fiscal 2022 was primarily due to increased sales to mobile operators in the region.</w:t>
      </w:r>
    </w:p>
    <w:p>
      <w:pPr>
        <w:spacing w:after="0" w:line="123"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Revenue in Europe and Russia increased by $1.4 million, or 92.5%, for the second quarter of fiscal 2022 compared with the same period of fiscal 2021. Revenue in Europe and Russia increased by $1.8 million, or 48.7%, during the first six months of fiscal 2022 compared with the same period of fiscal 2021. This increase during the three and six months of fiscal 2021 was primarily due to increased sales to mobile operators in the region.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27" w:name="page28"/>
    <w:bookmarkEnd w:id="27"/>
    <w:p>
      <w:pPr>
        <w:jc w:val="both"/>
        <w:ind w:firstLine="470"/>
        <w:spacing w:after="0" w:line="297" w:lineRule="auto"/>
        <w:rPr>
          <w:sz w:val="20"/>
          <w:szCs w:val="20"/>
          <w:color w:val="auto"/>
        </w:rPr>
      </w:pPr>
      <w:r>
        <w:rPr>
          <w:rFonts w:ascii="Arial" w:cs="Arial" w:eastAsia="Arial" w:hAnsi="Arial"/>
          <w:sz w:val="16"/>
          <w:szCs w:val="16"/>
          <w:color w:val="auto"/>
        </w:rPr>
        <w:t>Revenue in Latin America and Asia Pacific increased by $1.2 million, or 12.8%, during the second quarter of fiscal 2022 compared with the same period of fiscal 2021. Revenue in Latin America and Asia Pacific increased by $2.0 million, or 11.9%, during the first six months of fiscal 2022 compared with the same period of fiscal 2021. The increase during the three and six months of fiscal 2022 was from increased sales to mobile operator customers.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74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(In thousands, except</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ind w:right="45"/>
              <w:spacing w:after="0"/>
              <w:rPr>
                <w:sz w:val="20"/>
                <w:szCs w:val="20"/>
                <w:color w:val="auto"/>
              </w:rPr>
            </w:pPr>
            <w:r>
              <w:rPr>
                <w:rFonts w:ascii="Arial" w:cs="Arial" w:eastAsia="Arial" w:hAnsi="Arial"/>
                <w:sz w:val="14"/>
                <w:szCs w:val="14"/>
                <w:b w:val="1"/>
                <w:bCs w:val="1"/>
                <w:color w:val="auto"/>
                <w:w w:val="88"/>
              </w:rPr>
              <w:t>January 1, 2021</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0"/>
                <w:szCs w:val="10"/>
                <w:color w:val="auto"/>
              </w:rPr>
            </w:pPr>
          </w:p>
        </w:tc>
        <w:tc>
          <w:tcPr>
            <w:tcW w:w="110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 Change</w:t>
            </w:r>
          </w:p>
        </w:tc>
        <w:tc>
          <w:tcPr>
            <w:tcW w:w="80" w:type="dxa"/>
            <w:vAlign w:val="bottom"/>
            <w:vMerge w:val="restart"/>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8"/>
              </w:rPr>
              <w:t>December 31, 2021</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ind w:right="25"/>
              <w:spacing w:after="0"/>
              <w:rPr>
                <w:sz w:val="20"/>
                <w:szCs w:val="20"/>
                <w:color w:val="auto"/>
              </w:rPr>
            </w:pPr>
            <w:r>
              <w:rPr>
                <w:rFonts w:ascii="Arial" w:cs="Arial" w:eastAsia="Arial" w:hAnsi="Arial"/>
                <w:sz w:val="14"/>
                <w:szCs w:val="14"/>
                <w:b w:val="1"/>
                <w:bCs w:val="1"/>
                <w:color w:val="auto"/>
                <w:w w:val="90"/>
              </w:rPr>
              <w:t>January 1, 2021</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0"/>
                <w:szCs w:val="10"/>
                <w:color w:val="auto"/>
              </w:rPr>
            </w:pPr>
          </w:p>
        </w:tc>
        <w:tc>
          <w:tcPr>
            <w:tcW w:w="110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1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percentages)</w:t>
            </w:r>
          </w:p>
        </w:tc>
        <w:tc>
          <w:tcPr>
            <w:tcW w:w="11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sales</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46,691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6,776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14.5 %</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0" w:type="dxa"/>
            <w:vAlign w:val="bottom"/>
          </w:tcPr>
          <w:p>
            <w:pPr>
              <w:spacing w:after="0"/>
              <w:rPr>
                <w:sz w:val="1"/>
                <w:szCs w:val="1"/>
                <w:color w:val="auto"/>
              </w:rPr>
            </w:pPr>
          </w:p>
        </w:tc>
      </w:tr>
      <w:tr>
        <w:trPr>
          <w:trHeight w:val="206"/>
        </w:trPr>
        <w:tc>
          <w:tcPr>
            <w:tcW w:w="1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Services</w:t>
            </w: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23,840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557</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2.3 %</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46,708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45,666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30"/>
        </w:trPr>
        <w:tc>
          <w:tcPr>
            <w:tcW w:w="1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77,864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70,531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7,333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151,022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Our revenue from product sales increased by $6.8 million, or 14.5%, for the second quarter of fiscal 2022 compared with the same quarter of fiscal 2021.</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Our services revenue increased by $0.6 million, or 2.3%, during the second quarter of fiscal 2022 compared with the same quarter of fiscal 2021.</w:t>
      </w:r>
    </w:p>
    <w:p>
      <w:pPr>
        <w:spacing w:after="0" w:line="158" w:lineRule="exact"/>
        <w:rPr>
          <w:sz w:val="20"/>
          <w:szCs w:val="20"/>
          <w:color w:val="auto"/>
        </w:rPr>
      </w:pPr>
    </w:p>
    <w:p>
      <w:pPr>
        <w:ind w:firstLine="470"/>
        <w:spacing w:after="0" w:line="321" w:lineRule="auto"/>
        <w:rPr>
          <w:sz w:val="20"/>
          <w:szCs w:val="20"/>
          <w:color w:val="auto"/>
        </w:rPr>
      </w:pPr>
      <w:r>
        <w:rPr>
          <w:rFonts w:ascii="Arial" w:cs="Arial" w:eastAsia="Arial" w:hAnsi="Arial"/>
          <w:sz w:val="16"/>
          <w:szCs w:val="16"/>
          <w:color w:val="auto"/>
        </w:rPr>
        <w:t>Our revenue from product sales increased by $13.2 million, or 14.4%, for the first six months of fiscal 2022 compared with the same period of fiscal 2021. Our services revenue increased by $1.0 million, or 2.3%, during the first six months of fiscal 2022 compared with the same period of fiscal 2021.</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Margin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04"/>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20" w:type="dxa"/>
            <w:vAlign w:val="bottom"/>
          </w:tcPr>
          <w:p>
            <w:pPr>
              <w:ind w:left="20"/>
              <w:spacing w:after="0" w:line="105" w:lineRule="exact"/>
              <w:rPr>
                <w:sz w:val="20"/>
                <w:szCs w:val="20"/>
                <w:color w:val="auto"/>
              </w:rPr>
            </w:pPr>
            <w:r>
              <w:rPr>
                <w:rFonts w:ascii="Arial" w:cs="Arial" w:eastAsia="Arial" w:hAnsi="Arial"/>
                <w:sz w:val="12"/>
                <w:szCs w:val="12"/>
                <w:b w:val="1"/>
                <w:bCs w:val="1"/>
                <w:color w:val="auto"/>
              </w:rPr>
              <w:t>(In thousands, except</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December 31, 2021</w:t>
            </w:r>
          </w:p>
        </w:tc>
        <w:tc>
          <w:tcPr>
            <w:tcW w:w="100" w:type="dxa"/>
            <w:vAlign w:val="bottom"/>
            <w:vMerge w:val="restart"/>
          </w:tcPr>
          <w:p>
            <w:pPr>
              <w:spacing w:after="0"/>
              <w:rPr>
                <w:sz w:val="9"/>
                <w:szCs w:val="9"/>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January 1, 2021</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9"/>
                <w:szCs w:val="9"/>
                <w:color w:val="auto"/>
              </w:rPr>
            </w:pPr>
          </w:p>
        </w:tc>
        <w:tc>
          <w:tcPr>
            <w:tcW w:w="106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 Change</w:t>
            </w:r>
          </w:p>
        </w:tc>
        <w:tc>
          <w:tcPr>
            <w:tcW w:w="80" w:type="dxa"/>
            <w:vAlign w:val="bottom"/>
            <w:vMerge w:val="restart"/>
          </w:tcPr>
          <w:p>
            <w:pPr>
              <w:spacing w:after="0"/>
              <w:rPr>
                <w:sz w:val="9"/>
                <w:szCs w:val="9"/>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w w:val="92"/>
              </w:rPr>
              <w:t>January 1, 2021</w:t>
            </w:r>
          </w:p>
        </w:tc>
        <w:tc>
          <w:tcPr>
            <w:tcW w:w="100" w:type="dxa"/>
            <w:vAlign w:val="bottom"/>
            <w:vMerge w:val="restart"/>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9"/>
                <w:szCs w:val="9"/>
                <w:color w:val="auto"/>
              </w:rPr>
            </w:pPr>
          </w:p>
        </w:tc>
        <w:tc>
          <w:tcPr>
            <w:tcW w:w="106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5"/>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percentages)</w:t>
            </w:r>
          </w:p>
        </w:tc>
        <w:tc>
          <w:tcPr>
            <w:tcW w:w="12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77,864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70,531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151,022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136,821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0" w:type="dxa"/>
            <w:vAlign w:val="bottom"/>
          </w:tcPr>
          <w:p>
            <w:pPr>
              <w:spacing w:after="0"/>
              <w:rPr>
                <w:sz w:val="1"/>
                <w:szCs w:val="1"/>
                <w:color w:val="auto"/>
              </w:rPr>
            </w:pPr>
          </w:p>
        </w:tc>
      </w:tr>
      <w:tr>
        <w:trPr>
          <w:trHeight w:val="206"/>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49,708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43,622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6,086</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14.0 %</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96,785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85,663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11,122</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230"/>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28,156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26,909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54,237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51,158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 of revenue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8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36.2 %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Arial" w:cs="Arial" w:eastAsia="Arial" w:hAnsi="Arial"/>
                <w:sz w:val="16"/>
                <w:szCs w:val="16"/>
                <w:color w:val="auto"/>
              </w:rPr>
              <w:t>38.2 %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35.9 %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8" w:lineRule="exact"/>
              <w:rPr>
                <w:sz w:val="20"/>
                <w:szCs w:val="20"/>
                <w:color w:val="auto"/>
              </w:rPr>
            </w:pPr>
            <w:r>
              <w:rPr>
                <w:rFonts w:ascii="Arial" w:cs="Arial" w:eastAsia="Arial" w:hAnsi="Arial"/>
                <w:sz w:val="16"/>
                <w:szCs w:val="16"/>
                <w:color w:val="auto"/>
              </w:rPr>
              <w:t>37.4 %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 margin %</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Service margin %</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32.2 %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33.7 %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Gross margin for the second quarter of fiscal 2022 increased by $1.2 million, or 4.6% compared with the same quarter of fiscal 2021. Gross margin for the first six months of fiscal 2022 increased by $3.1 million, or 6.0%. For the three and six months of fiscal 2022, gross margin improved over the same period in fiscal 2021 primarily due to higher volume of Private Network business and increased sales through the Aviat Store which serves primarily the Rural Broadband space. Gross margins continue to be pressured by expedite fees and inflation as we work to overcome supply chain issues. However, our pricing actions to offset higher costs are gaining momentum.</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Product margin as a percentage of product revenue decreased in the second quarter and in the first six months of fiscal 2022 compared with the same</w:t>
      </w:r>
    </w:p>
    <w:p>
      <w:pPr>
        <w:spacing w:after="0" w:line="64"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period of fiscal 2021 primarily due to increased supply chain costs. Service margin as a percentage of service revenue increased in the second quarter and in the first six months of fiscal 2022 compared to the same periods in fiscal 2021 primarily due to stronger profitability in the North America region.</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68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(In thousands, except</w:t>
            </w: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December 31, 2021</w:t>
            </w:r>
          </w:p>
        </w:tc>
        <w:tc>
          <w:tcPr>
            <w:tcW w:w="12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1, 2021</w:t>
            </w:r>
          </w:p>
        </w:tc>
        <w:tc>
          <w:tcPr>
            <w:tcW w:w="14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December 31, 2021</w:t>
            </w:r>
          </w:p>
        </w:tc>
        <w:tc>
          <w:tcPr>
            <w:tcW w:w="12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1, 2021</w:t>
            </w:r>
          </w:p>
        </w:tc>
        <w:tc>
          <w:tcPr>
            <w:tcW w:w="14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percentages)</w:t>
            </w:r>
          </w:p>
        </w:tc>
        <w:tc>
          <w:tcPr>
            <w:tcW w:w="13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68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6"/>
                <w:szCs w:val="16"/>
                <w:color w:val="auto"/>
              </w:rPr>
              <w:t>Research and</w:t>
            </w:r>
          </w:p>
        </w:tc>
        <w:tc>
          <w:tcPr>
            <w:tcW w:w="380" w:type="dxa"/>
            <w:vAlign w:val="bottom"/>
            <w:tcBorders>
              <w:top w:val="single" w:sz="8" w:color="auto"/>
            </w:tcBorders>
            <w:vMerge w:val="restart"/>
            <w:shd w:val="clear" w:color="auto" w:fill="CCEEFF"/>
          </w:tcPr>
          <w:p>
            <w:pPr>
              <w:jc w:val="right"/>
              <w:ind w:right="206"/>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6,169</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shd w:val="clear" w:color="auto" w:fill="CCEEFF"/>
          </w:tcPr>
          <w:p>
            <w:pPr>
              <w:jc w:val="right"/>
              <w:ind w:right="126"/>
              <w:spacing w:after="0"/>
              <w:rPr>
                <w:sz w:val="20"/>
                <w:szCs w:val="20"/>
                <w:color w:val="auto"/>
              </w:rPr>
            </w:pPr>
            <w:r>
              <w:rPr>
                <w:rFonts w:ascii="Arial" w:cs="Arial" w:eastAsia="Arial" w:hAnsi="Arial"/>
                <w:sz w:val="16"/>
                <w:szCs w:val="16"/>
                <w:color w:val="auto"/>
              </w:rPr>
              <w:t>5,419</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750</w:t>
            </w:r>
          </w:p>
        </w:tc>
        <w:tc>
          <w:tcPr>
            <w:tcW w:w="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vMerge w:val="restart"/>
            <w:shd w:val="clear" w:color="auto" w:fill="CCEEFF"/>
          </w:tcPr>
          <w:p>
            <w:pPr>
              <w:jc w:val="right"/>
              <w:ind w:right="186"/>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shd w:val="clear" w:color="auto" w:fill="CCEEFF"/>
          </w:tcPr>
          <w:p>
            <w:pPr>
              <w:jc w:val="right"/>
              <w:ind w:right="102"/>
              <w:spacing w:after="0"/>
              <w:rPr>
                <w:sz w:val="20"/>
                <w:szCs w:val="20"/>
                <w:color w:val="auto"/>
              </w:rPr>
            </w:pPr>
            <w:r>
              <w:rPr>
                <w:rFonts w:ascii="Arial" w:cs="Arial" w:eastAsia="Arial" w:hAnsi="Arial"/>
                <w:sz w:val="16"/>
                <w:szCs w:val="16"/>
                <w:color w:val="auto"/>
              </w:rPr>
              <w:t>12,079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shd w:val="clear" w:color="auto" w:fill="CCEEFF"/>
          </w:tcPr>
          <w:p>
            <w:pPr>
              <w:jc w:val="right"/>
              <w:ind w:right="126"/>
              <w:spacing w:after="0"/>
              <w:rPr>
                <w:sz w:val="20"/>
                <w:szCs w:val="20"/>
                <w:color w:val="auto"/>
              </w:rPr>
            </w:pPr>
            <w:r>
              <w:rPr>
                <w:rFonts w:ascii="Arial" w:cs="Arial" w:eastAsia="Arial" w:hAnsi="Arial"/>
                <w:sz w:val="16"/>
                <w:szCs w:val="16"/>
                <w:color w:val="auto"/>
              </w:rPr>
              <w:t>10,266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10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0" w:type="dxa"/>
            <w:vAlign w:val="bottom"/>
          </w:tcPr>
          <w:p>
            <w:pPr>
              <w:spacing w:after="0"/>
              <w:rPr>
                <w:sz w:val="1"/>
                <w:szCs w:val="1"/>
                <w:color w:val="auto"/>
              </w:rPr>
            </w:pPr>
          </w:p>
        </w:tc>
      </w:tr>
      <w:tr>
        <w:trPr>
          <w:trHeight w:val="206"/>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development</w:t>
            </w:r>
          </w:p>
        </w:tc>
        <w:tc>
          <w:tcPr>
            <w:tcW w:w="3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research and development expenses increased by $0.8 million and $1.8 million, or 13.8% and 17.7%, in the three and six months, respectively of fiscal 2022 compared with the same periods of fiscal 2021 primarily due to the increased spending resulting from R&amp;D efforts to design around problematic suppliers.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Selling and Administrative Expenses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68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(In thousands, except</w:t>
            </w: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December 31, 2021</w:t>
            </w:r>
          </w:p>
        </w:tc>
        <w:tc>
          <w:tcPr>
            <w:tcW w:w="12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1, 2021</w:t>
            </w:r>
          </w:p>
        </w:tc>
        <w:tc>
          <w:tcPr>
            <w:tcW w:w="14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December 31, 2021</w:t>
            </w:r>
          </w:p>
        </w:tc>
        <w:tc>
          <w:tcPr>
            <w:tcW w:w="12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1, 2021</w:t>
            </w:r>
          </w:p>
        </w:tc>
        <w:tc>
          <w:tcPr>
            <w:tcW w:w="14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percentages)</w:t>
            </w:r>
          </w:p>
        </w:tc>
        <w:tc>
          <w:tcPr>
            <w:tcW w:w="13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68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6"/>
                <w:szCs w:val="16"/>
                <w:color w:val="auto"/>
              </w:rPr>
              <w:t>Selling and</w:t>
            </w:r>
          </w:p>
        </w:tc>
        <w:tc>
          <w:tcPr>
            <w:tcW w:w="340" w:type="dxa"/>
            <w:vAlign w:val="bottom"/>
            <w:tcBorders>
              <w:top w:val="single" w:sz="8" w:color="auto"/>
            </w:tcBorders>
            <w:vMerge w:val="restart"/>
            <w:shd w:val="clear" w:color="auto" w:fill="CCEEFF"/>
          </w:tcPr>
          <w:p>
            <w:pPr>
              <w:jc w:val="right"/>
              <w:ind w:right="166"/>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13,739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shd w:val="clear" w:color="auto" w:fill="CCEEFF"/>
          </w:tcPr>
          <w:p>
            <w:pPr>
              <w:jc w:val="right"/>
              <w:ind w:right="126"/>
              <w:spacing w:after="0"/>
              <w:rPr>
                <w:sz w:val="20"/>
                <w:szCs w:val="20"/>
                <w:color w:val="auto"/>
              </w:rPr>
            </w:pPr>
            <w:r>
              <w:rPr>
                <w:rFonts w:ascii="Arial" w:cs="Arial" w:eastAsia="Arial" w:hAnsi="Arial"/>
                <w:sz w:val="16"/>
                <w:szCs w:val="16"/>
                <w:color w:val="auto"/>
              </w:rPr>
              <w:t>13,612</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vMerge w:val="restart"/>
            <w:shd w:val="clear" w:color="auto" w:fill="CCEEFF"/>
          </w:tcPr>
          <w:p>
            <w:pPr>
              <w:jc w:val="right"/>
              <w:ind w:right="186"/>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shd w:val="clear" w:color="auto" w:fill="CCEEFF"/>
          </w:tcPr>
          <w:p>
            <w:pPr>
              <w:jc w:val="right"/>
              <w:ind w:right="102"/>
              <w:spacing w:after="0"/>
              <w:rPr>
                <w:sz w:val="20"/>
                <w:szCs w:val="20"/>
                <w:color w:val="auto"/>
              </w:rPr>
            </w:pPr>
            <w:r>
              <w:rPr>
                <w:rFonts w:ascii="Arial" w:cs="Arial" w:eastAsia="Arial" w:hAnsi="Arial"/>
                <w:sz w:val="16"/>
                <w:szCs w:val="16"/>
                <w:color w:val="auto"/>
              </w:rPr>
              <w:t>26,437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shd w:val="clear" w:color="auto" w:fill="CCEEFF"/>
          </w:tcPr>
          <w:p>
            <w:pPr>
              <w:jc w:val="right"/>
              <w:ind w:right="126"/>
              <w:spacing w:after="0"/>
              <w:rPr>
                <w:sz w:val="20"/>
                <w:szCs w:val="20"/>
                <w:color w:val="auto"/>
              </w:rPr>
            </w:pPr>
            <w:r>
              <w:rPr>
                <w:rFonts w:ascii="Arial" w:cs="Arial" w:eastAsia="Arial" w:hAnsi="Arial"/>
                <w:sz w:val="16"/>
                <w:szCs w:val="16"/>
                <w:color w:val="auto"/>
              </w:rPr>
              <w:t>26,449</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vMerge w:val="restart"/>
            <w:shd w:val="clear" w:color="auto" w:fill="CCEEFF"/>
          </w:tcPr>
          <w:p>
            <w:pPr>
              <w:ind w:left="720"/>
              <w:spacing w:after="0"/>
              <w:rPr>
                <w:sz w:val="20"/>
                <w:szCs w:val="20"/>
                <w:color w:val="auto"/>
              </w:rPr>
            </w:pPr>
            <w:r>
              <w:rPr>
                <w:rFonts w:ascii="Arial" w:cs="Arial" w:eastAsia="Arial" w:hAnsi="Arial"/>
                <w:sz w:val="16"/>
                <w:szCs w:val="16"/>
                <w:color w:val="auto"/>
                <w:w w:val="92"/>
              </w:rPr>
              <w:t>— %</w:t>
            </w:r>
          </w:p>
        </w:tc>
        <w:tc>
          <w:tcPr>
            <w:tcW w:w="0" w:type="dxa"/>
            <w:vAlign w:val="bottom"/>
          </w:tcPr>
          <w:p>
            <w:pPr>
              <w:spacing w:after="0"/>
              <w:rPr>
                <w:sz w:val="1"/>
                <w:szCs w:val="1"/>
                <w:color w:val="auto"/>
              </w:rPr>
            </w:pPr>
          </w:p>
        </w:tc>
      </w:tr>
      <w:tr>
        <w:trPr>
          <w:trHeight w:val="206"/>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34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19.3 %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19.3 %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selling and administrative expenses increased by $0.1 million, or 0.9%, in the second quarter of fiscal 2022 compared with the same period in fiscal</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2021. Our selling and administrative expenses decreased by $12 thousand, or —%, for the six months of fiscal 2022 compared with the same period in fiscal</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2021. The increase for the three period compared to comparable period of fiscal 2021 was primarily due to higher travel expenses and variable compensation.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movement in the six month comparable periods was not significant.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Charges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82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(In thousands, except</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January 1, 2021</w:t>
            </w:r>
          </w:p>
        </w:tc>
        <w:tc>
          <w:tcPr>
            <w:tcW w:w="80" w:type="dxa"/>
            <w:vAlign w:val="bottom"/>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84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0"/>
                <w:szCs w:val="10"/>
                <w:color w:val="auto"/>
              </w:rPr>
            </w:pPr>
          </w:p>
        </w:tc>
        <w:tc>
          <w:tcPr>
            <w:tcW w:w="9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0"/>
                <w:szCs w:val="10"/>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January 1, 2021</w:t>
            </w:r>
          </w:p>
        </w:tc>
        <w:tc>
          <w:tcPr>
            <w:tcW w:w="80" w:type="dxa"/>
            <w:vAlign w:val="bottom"/>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84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0"/>
                <w:szCs w:val="10"/>
                <w:color w:val="auto"/>
              </w:rPr>
            </w:pPr>
          </w:p>
        </w:tc>
        <w:tc>
          <w:tcPr>
            <w:tcW w:w="9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percentages)</w:t>
            </w:r>
          </w:p>
        </w:tc>
        <w:tc>
          <w:tcPr>
            <w:tcW w:w="12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820" w:type="dxa"/>
            <w:vAlign w:val="bottom"/>
            <w:shd w:val="clear" w:color="auto" w:fill="CCEEFF"/>
          </w:tcPr>
          <w:p>
            <w:pPr>
              <w:ind w:left="20"/>
              <w:spacing w:after="0" w:line="141" w:lineRule="exact"/>
              <w:rPr>
                <w:sz w:val="20"/>
                <w:szCs w:val="20"/>
                <w:color w:val="auto"/>
              </w:rPr>
            </w:pPr>
            <w:r>
              <w:rPr>
                <w:rFonts w:ascii="Arial" w:cs="Arial" w:eastAsia="Arial" w:hAnsi="Arial"/>
                <w:sz w:val="16"/>
                <w:szCs w:val="16"/>
                <w:color w:val="auto"/>
              </w:rPr>
              <w:t>Restructuring (recovery)</w:t>
            </w:r>
          </w:p>
        </w:tc>
        <w:tc>
          <w:tcPr>
            <w:tcW w:w="460" w:type="dxa"/>
            <w:vAlign w:val="bottom"/>
            <w:vMerge w:val="restart"/>
            <w:shd w:val="clear" w:color="auto" w:fill="CCEEFF"/>
          </w:tcPr>
          <w:p>
            <w:pPr>
              <w:jc w:val="right"/>
              <w:ind w:right="286"/>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3"/>
            <w:vMerge w:val="restart"/>
            <w:shd w:val="clear" w:color="auto" w:fill="CCEEFF"/>
          </w:tcPr>
          <w:p>
            <w:pPr>
              <w:ind w:left="880"/>
              <w:spacing w:after="0"/>
              <w:rPr>
                <w:sz w:val="20"/>
                <w:szCs w:val="20"/>
                <w:color w:val="auto"/>
              </w:rPr>
            </w:pPr>
            <w:r>
              <w:rPr>
                <w:rFonts w:ascii="Arial" w:cs="Arial" w:eastAsia="Arial" w:hAnsi="Arial"/>
                <w:sz w:val="16"/>
                <w:szCs w:val="16"/>
                <w:color w:val="auto"/>
              </w:rPr>
              <w:t>—  $</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N/A</w:t>
            </w:r>
          </w:p>
        </w:tc>
        <w:tc>
          <w:tcPr>
            <w:tcW w:w="460" w:type="dxa"/>
            <w:vAlign w:val="bottom"/>
            <w:vMerge w:val="restart"/>
            <w:shd w:val="clear" w:color="auto" w:fill="CCEEFF"/>
          </w:tcPr>
          <w:p>
            <w:pPr>
              <w:jc w:val="right"/>
              <w:ind w:right="286"/>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vMerge w:val="restart"/>
            <w:shd w:val="clear" w:color="auto" w:fill="CCEEFF"/>
          </w:tcPr>
          <w:p>
            <w:pPr>
              <w:ind w:left="880"/>
              <w:spacing w:after="0"/>
              <w:rPr>
                <w:sz w:val="20"/>
                <w:szCs w:val="20"/>
                <w:color w:val="auto"/>
              </w:rPr>
            </w:pPr>
            <w:r>
              <w:rPr>
                <w:rFonts w:ascii="Arial" w:cs="Arial" w:eastAsia="Arial" w:hAnsi="Arial"/>
                <w:sz w:val="16"/>
                <w:szCs w:val="16"/>
                <w:color w:val="auto"/>
              </w:rPr>
              <w:t>—  $</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700"/>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6"/>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charges</w:t>
            </w:r>
          </w:p>
        </w:tc>
        <w:tc>
          <w:tcPr>
            <w:tcW w:w="4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340" w:type="dxa"/>
            <w:vAlign w:val="bottom"/>
            <w:gridSpan w:val="3"/>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340" w:type="dxa"/>
            <w:vAlign w:val="bottom"/>
            <w:gridSpan w:val="3"/>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 the second quarter of fiscal 2022, we recorded restructuring recoveries of $(1.0) million primarily related to the restructuring plan (the “Fiscal 2021 Plan”).</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Included in our restructuring plans for which we were carrying a provision were positions identified for termination that have not been executed from a restructuring perspective. Due to transition of leadership in the finance function it was concluded that we would not make several of the planned headcount reductions, and the likelihood of future restructuring for these positions is presently deemed remote. Therefore, we decided it was prudent to reverse the associated provision.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Expense/Income,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760" w:type="dxa"/>
            <w:vAlign w:val="bottom"/>
          </w:tcPr>
          <w:p>
            <w:pPr>
              <w:ind w:left="20"/>
              <w:spacing w:after="0" w:line="131" w:lineRule="exact"/>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January 1, 2021</w:t>
            </w: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December 31, 2021</w:t>
            </w:r>
          </w:p>
        </w:tc>
        <w:tc>
          <w:tcPr>
            <w:tcW w:w="10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1, 2021</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10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percentages)</w:t>
            </w:r>
          </w:p>
        </w:tc>
        <w:tc>
          <w:tcPr>
            <w:tcW w:w="140" w:type="dxa"/>
            <w:vAlign w:val="bottom"/>
          </w:tcPr>
          <w:p>
            <w:pPr>
              <w:spacing w:after="0"/>
              <w:rPr>
                <w:sz w:val="15"/>
                <w:szCs w:val="15"/>
                <w:color w:val="auto"/>
              </w:rPr>
            </w:pPr>
          </w:p>
        </w:tc>
        <w:tc>
          <w:tcPr>
            <w:tcW w:w="980" w:type="dxa"/>
            <w:vAlign w:val="bottom"/>
          </w:tcPr>
          <w:p>
            <w:pPr>
              <w:jc w:val="right"/>
              <w:ind w:right="34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6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6"/>
                <w:szCs w:val="16"/>
                <w:color w:val="auto"/>
                <w:w w:val="97"/>
              </w:rPr>
              <w:t>Other expense (income),</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278</w:t>
            </w:r>
          </w:p>
        </w:tc>
        <w:tc>
          <w:tcPr>
            <w:tcW w:w="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(731.6)%</w:t>
            </w: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212</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(390.4)%</w:t>
            </w:r>
          </w:p>
        </w:tc>
        <w:tc>
          <w:tcPr>
            <w:tcW w:w="0" w:type="dxa"/>
            <w:vAlign w:val="bottom"/>
          </w:tcPr>
          <w:p>
            <w:pPr>
              <w:spacing w:after="0"/>
              <w:rPr>
                <w:sz w:val="1"/>
                <w:szCs w:val="1"/>
                <w:color w:val="auto"/>
              </w:rPr>
            </w:pPr>
          </w:p>
        </w:tc>
      </w:tr>
      <w:tr>
        <w:trPr>
          <w:trHeight w:val="206"/>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w:t>
            </w:r>
          </w:p>
        </w:tc>
        <w:tc>
          <w:tcPr>
            <w:tcW w:w="14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other expenses (income), net increased by $0.3 million, in the three and six months of fiscal 2022 compared with the same periods of fiscal 2021 primarily due to the movement in foreign exchange.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760" w:type="dxa"/>
            <w:vAlign w:val="bottom"/>
          </w:tcPr>
          <w:p>
            <w:pPr>
              <w:ind w:left="20"/>
              <w:spacing w:after="0" w:line="131" w:lineRule="exact"/>
              <w:rPr>
                <w:sz w:val="20"/>
                <w:szCs w:val="20"/>
                <w:color w:val="auto"/>
              </w:rPr>
            </w:pPr>
            <w:r>
              <w:rPr>
                <w:rFonts w:ascii="Arial" w:cs="Arial" w:eastAsia="Arial" w:hAnsi="Arial"/>
                <w:sz w:val="14"/>
                <w:szCs w:val="14"/>
                <w:b w:val="1"/>
                <w:bCs w:val="1"/>
                <w:color w:val="auto"/>
              </w:rPr>
              <w:t>(In thousands, except</w:t>
            </w:r>
          </w:p>
        </w:tc>
        <w:tc>
          <w:tcPr>
            <w:tcW w:w="120" w:type="dxa"/>
            <w:vAlign w:val="bottom"/>
          </w:tcPr>
          <w:p>
            <w:pPr>
              <w:spacing w:after="0"/>
              <w:rPr>
                <w:sz w:val="11"/>
                <w:szCs w:val="11"/>
                <w:color w:val="auto"/>
              </w:rPr>
            </w:pPr>
          </w:p>
        </w:tc>
        <w:tc>
          <w:tcPr>
            <w:tcW w:w="1080" w:type="dxa"/>
            <w:vAlign w:val="bottom"/>
            <w:gridSpan w:val="2"/>
          </w:tcPr>
          <w:p>
            <w:pPr>
              <w:ind w:left="20"/>
              <w:spacing w:after="0" w:line="131"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January 1, 2021</w:t>
            </w:r>
          </w:p>
        </w:tc>
        <w:tc>
          <w:tcPr>
            <w:tcW w:w="14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2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December 31, 2021</w:t>
            </w:r>
          </w:p>
        </w:tc>
        <w:tc>
          <w:tcPr>
            <w:tcW w:w="10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January 1, 2021</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100" w:type="dxa"/>
            <w:vAlign w:val="bottom"/>
            <w:vMerge w:val="restart"/>
          </w:tcPr>
          <w:p>
            <w:pPr>
              <w:jc w:val="right"/>
              <w:ind w:right="16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percentages)</w:t>
            </w:r>
          </w:p>
        </w:tc>
        <w:tc>
          <w:tcPr>
            <w:tcW w:w="120" w:type="dxa"/>
            <w:vAlign w:val="bottom"/>
          </w:tcPr>
          <w:p>
            <w:pPr>
              <w:spacing w:after="0"/>
              <w:rPr>
                <w:sz w:val="15"/>
                <w:szCs w:val="15"/>
                <w:color w:val="auto"/>
              </w:rPr>
            </w:pPr>
          </w:p>
        </w:tc>
        <w:tc>
          <w:tcPr>
            <w:tcW w:w="980" w:type="dxa"/>
            <w:vAlign w:val="bottom"/>
          </w:tcPr>
          <w:p>
            <w:pPr>
              <w:jc w:val="right"/>
              <w:ind w:right="32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6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6"/>
                <w:szCs w:val="16"/>
                <w:color w:val="auto"/>
              </w:rPr>
              <w:t>Income before income</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8,968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7,916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15,810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14,516</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06"/>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12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gridSpan w:val="2"/>
          </w:tcPr>
          <w:p>
            <w:pPr>
              <w:ind w:left="20"/>
              <w:spacing w:after="0"/>
              <w:rPr>
                <w:sz w:val="20"/>
                <w:szCs w:val="20"/>
                <w:color w:val="auto"/>
              </w:rPr>
            </w:pPr>
            <w:r>
              <w:rPr>
                <w:rFonts w:ascii="Arial" w:cs="Arial" w:eastAsia="Arial" w:hAnsi="Arial"/>
                <w:sz w:val="16"/>
                <w:szCs w:val="16"/>
                <w:color w:val="auto"/>
                <w:w w:val="91"/>
              </w:rPr>
              <w:t>Provision for income taxes $</w:t>
            </w:r>
          </w:p>
        </w:tc>
        <w:tc>
          <w:tcPr>
            <w:tcW w:w="980" w:type="dxa"/>
            <w:vAlign w:val="bottom"/>
          </w:tcPr>
          <w:p>
            <w:pPr>
              <w:jc w:val="right"/>
              <w:spacing w:after="0"/>
              <w:rPr>
                <w:sz w:val="20"/>
                <w:szCs w:val="20"/>
                <w:color w:val="auto"/>
              </w:rPr>
            </w:pPr>
            <w:r>
              <w:rPr>
                <w:rFonts w:ascii="Arial" w:cs="Arial" w:eastAsia="Arial" w:hAnsi="Arial"/>
                <w:sz w:val="16"/>
                <w:szCs w:val="16"/>
                <w:color w:val="auto"/>
              </w:rPr>
              <w:t>3,052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1,777</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139.4 %</w:t>
            </w:r>
          </w:p>
        </w:tc>
        <w:tc>
          <w:tcPr>
            <w:tcW w:w="8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5,212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1,939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3,273</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168.8 %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tax expense for the first six months of fiscal 2022 was primarily due to the tax expense related to U.S. and profitable subsidiaries. The tax expense for the first six months of fiscal 2021 was primarily due to tax expense related to profitable subsidiaries and $0.4 million of tax expense related to an audit settlement with the Financial Administration of the Republic of Slovenia.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29" w:name="page30"/>
    <w:bookmarkEnd w:id="29"/>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Capital Resources, and Financial Strategies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Cash</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of December 31, 2021, our total cash and cash equivalents were $42.3 million. Approximately $16.8 million, or 39.6%, was held in the United States. The remaining balance of $25.6 million, or 60.4%, was held by entities outside the United States. Of the amount of cash and cash equivalents held by our foreign subsidiaries on December 31, 2021, $23.4 million was held in jurisdictions where our undistributed earnings are indefinitely reinvested, and if repatriated, would be subject to foreign withholding taxes.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70"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Cash provided by or used in operating activities is presented as net income adjusted for non-cash items and changes in operating assets and liabilities. Net cash used in operating activities was $2.2 million for the first six months of fiscal 2022, compared to $10.2 million cash provided from operations for the first six months of fiscal 2021; this difference was primarily related to a net change in Accounts receivable and partially offset by the net change in Accounts payable. Net cash provided by noncash items was $8.7 million for the first six months of 2022. The net changes in operating assets and liabilities resulted in a net use of cash of $21.1 million for the first six months of fiscal 2022, compared to net use of cash of $8.0 million for the same period in fiscal 2021.</w:t>
      </w:r>
    </w:p>
    <w:p>
      <w:pPr>
        <w:spacing w:after="0" w:line="11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Changes in operating assets and liabilities resulted in a net use of cash for the first six months of fiscal 2022 primarily related to Accounts receivable that fluctuate from period to period, depending on the amount, timing of sales and billing activities and cash collections; and an increase in certain levels of inventories primarily to mitigate supply chain constraints. The use of cash from assets and liabilities was partially offset by the timing of payments from Accounts payable and by customer Advance payments and unearned revenue.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Net cash used in investing activities was $0.8 million and $1.4 million for the first six months of fiscal 2022 and 2021, respectively, which consisted of capital expenditures. During the remainder of fiscal year 2022, we expect to spend approximately $4 million for capital expenditures, primarily on equipment for development and manufacturing of new products and IT infrastructure.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7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Financing cash flows consist primarily from repayments of short-term debt, repurchase of stock and proceeds from the sale of shares of common stock through employee equity plans. Net cash used in financing activities was $2.4 million for the first six months of fiscal 2022, primarily due to repurchase of $2.6 million of stock which was partially offset by cash proceeds from the issuance of common stock under employee stock plans of $0.6 million net of payments for taxes related to settlement of equity awards of $0.4 million. Net cash used in financing activities was $7.7 million for the first six months of fiscal 2021, primarily due to $9.0 million repayment of short-term debt partially offset by cash proceeds from the issuance of common stock under employee stock plans of $1.5 net of the payments for taxes related to settlement of equity awards of $0.2 million.</w:t>
      </w:r>
    </w:p>
    <w:p>
      <w:pPr>
        <w:spacing w:after="0" w:line="126"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As of December 31, 2021, our principal sources of liquidity consisted of $42.3 million in cash and cash equivalents; $22.5 million of available credit under our $25.0 million SVB Credit Facility, which matures on June 28, 2024, and future collections of receivables from customers. We regularly require letters of credit from certain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 Additionally, we have an effective shelf registration statement on Form S-3 allowing us to offer and sell, either individually or in combination, in one or more offerings, up to a total dollar amount of $200 million of any combination of the securities described in the shelf registration statement or a related prospectus supplement.</w:t>
      </w:r>
    </w:p>
    <w:p>
      <w:pPr>
        <w:spacing w:after="0" w:line="13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On May 17, 2021, we entered into Amendment No. 4 to Third Amended and Restated Loan and Security Agreement to extend the maturity date to June 28, 2024. The SVB Credit Facility provides for a $25.0 million accounts receivable formula-based revolving credit facility that can be borrowed by the U.S.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both"/>
        <w:spacing w:after="0" w:line="261" w:lineRule="auto"/>
        <w:rPr>
          <w:sz w:val="20"/>
          <w:szCs w:val="20"/>
          <w:color w:val="auto"/>
        </w:rPr>
      </w:pPr>
      <w:r>
        <w:rPr>
          <w:rFonts w:ascii="Arial" w:cs="Arial" w:eastAsia="Arial" w:hAnsi="Arial"/>
          <w:sz w:val="17"/>
          <w:szCs w:val="17"/>
          <w:color w:val="auto"/>
        </w:rPr>
        <w:t>with a $25.0 million sub-limit that can be borrowed by our U.S. and Singapore entities. Loans may be advanced under the SVB Credit Facility based on a borrowing base equal to a specified percentage of the value of eligible accounts of all borrowers under the SVB Credit Facility. The borrowing base is subject to certain eligibility criteria. Availability under the accounts receivable formula-based revolving credit facility can also be utilized to issue letters of credit with a $12.0 million sub-limit. We may prepay loans under the SVB Credit Facility in whole or in part at any time without premium or penalty. As of December 31, 2021, available credit under the SVB Credit Facility was $22.5 million reflecting the calculated borrowing base of $25.0 million less outstanding letters of credit of $2.5 million. We did not borrow against the SVB Credit Facility during the six months ended December 31, 2021 and there was no borrowing outstanding as of December 31, 2021 or July 2, 2021</w:t>
      </w:r>
    </w:p>
    <w:p>
      <w:pPr>
        <w:spacing w:after="0" w:line="13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As of December 31, 2021, we were in compliance with the quarterly financial covenants, as amended, contained in the SVB Credit Facility and there was no amount outstanding under the SVB Credit Facility.</w:t>
      </w:r>
    </w:p>
    <w:p>
      <w:pPr>
        <w:spacing w:after="0" w:line="10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addition, we have an uncommitted short-term line of credit of $0.4 million from a bank in New Zealand to support the operations of our subsidiary located there. This line of credit provides for $0.4 million in short-term advances at various interest rates, all of which was available as of December 31, 2021 and July 2, 2021. The line of credit also provides for the issuance of standby letters of credit and company credit cards, of which none was outstanding as of December 31, 2021 and July 2, 2021. This facility may be terminated upon notice, is reviewed annually for renewal or modification, and is supported by a corporate guarantee.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Payments</w:t>
      </w:r>
    </w:p>
    <w:p>
      <w:pPr>
        <w:spacing w:after="0" w:line="170"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We had liabilities for restructuring activities totaling $1.8 million as of December 31, 2021, which were classified as current liabilities and expected to be paid out in cash over the next 12 months. We expect to fund these future payments with available cash and cash provided by operations.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amounts disclosed in our fiscal 2021 Annual Report on Form 10-K filed with the SEC on August 25, 2021 include our commercial commitments and contractual obligations. During the first six months of fiscal 2022, no material changes occurred in our contractual obligations to purchase goods and services or to make payments under operating leases or our contingent liabilities on outstanding letters of credit, guarantees, and other arrangements as disclosed in our fiscal 2021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consider the following items to qualify as off-balance sheet arrangements:</w:t>
      </w:r>
    </w:p>
    <w:p>
      <w:pPr>
        <w:spacing w:after="0" w:line="170" w:lineRule="exact"/>
        <w:rPr>
          <w:sz w:val="20"/>
          <w:szCs w:val="20"/>
          <w:color w:val="auto"/>
        </w:rPr>
      </w:pPr>
    </w:p>
    <w:p>
      <w:pPr>
        <w:ind w:left="620" w:hanging="145"/>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obligation under certain guarantee contracts;</w:t>
      </w:r>
    </w:p>
    <w:p>
      <w:pPr>
        <w:spacing w:after="0" w:line="170" w:lineRule="exact"/>
        <w:rPr>
          <w:rFonts w:ascii="Arial" w:cs="Arial" w:eastAsia="Arial" w:hAnsi="Arial"/>
          <w:sz w:val="17"/>
          <w:szCs w:val="17"/>
          <w:color w:val="auto"/>
        </w:rPr>
      </w:pPr>
    </w:p>
    <w:p>
      <w:pPr>
        <w:ind w:firstLine="475"/>
        <w:spacing w:after="0" w:line="288" w:lineRule="auto"/>
        <w:tabs>
          <w:tab w:leader="none" w:pos="623" w:val="left"/>
        </w:tabs>
        <w:numPr>
          <w:ilvl w:val="0"/>
          <w:numId w:val="8"/>
        </w:numPr>
        <w:rPr>
          <w:rFonts w:ascii="Arial" w:cs="Arial" w:eastAsia="Arial" w:hAnsi="Arial"/>
          <w:sz w:val="17"/>
          <w:szCs w:val="17"/>
          <w:color w:val="auto"/>
        </w:rPr>
      </w:pPr>
      <w:r>
        <w:rPr>
          <w:rFonts w:ascii="Arial" w:cs="Arial" w:eastAsia="Arial" w:hAnsi="Arial"/>
          <w:sz w:val="17"/>
          <w:szCs w:val="17"/>
          <w:color w:val="auto"/>
        </w:rPr>
        <w:t>a retained or contingent interest in assets transferred to an unconsolidated entity or similar entity or similar arrangement that serves as credit, liquidity or market risk support to that entity for such assets;</w:t>
      </w:r>
    </w:p>
    <w:p>
      <w:pPr>
        <w:spacing w:after="0" w:line="105" w:lineRule="exact"/>
        <w:rPr>
          <w:rFonts w:ascii="Arial" w:cs="Arial" w:eastAsia="Arial" w:hAnsi="Arial"/>
          <w:sz w:val="17"/>
          <w:szCs w:val="17"/>
          <w:color w:val="auto"/>
        </w:rPr>
      </w:pPr>
    </w:p>
    <w:p>
      <w:pPr>
        <w:ind w:left="620" w:hanging="145"/>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obligation, including a contingent obligation, under certain derivative instruments; and</w:t>
      </w:r>
    </w:p>
    <w:p>
      <w:pPr>
        <w:spacing w:after="0" w:line="170" w:lineRule="exact"/>
        <w:rPr>
          <w:rFonts w:ascii="Arial" w:cs="Arial" w:eastAsia="Arial" w:hAnsi="Arial"/>
          <w:sz w:val="17"/>
          <w:szCs w:val="17"/>
          <w:color w:val="auto"/>
        </w:rPr>
      </w:pPr>
    </w:p>
    <w:p>
      <w:pPr>
        <w:ind w:firstLine="475"/>
        <w:spacing w:after="0" w:line="288" w:lineRule="auto"/>
        <w:tabs>
          <w:tab w:leader="none" w:pos="623"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obligation, including a contingent obligation, arising out of a material variable interest held by us in an unconsolidated entity that provides financing, liquidity, market risk or credit risk support to us, or engages in leasing, hedging or research and development services with us.</w:t>
      </w:r>
    </w:p>
    <w:p>
      <w:pPr>
        <w:spacing w:after="0" w:line="1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December 31, 2021, we did not have material financial guarantees or other contractual commitments that are reasonably likely to adversely affect our current or future financial condition. In addition, we are not currently a party to any related party transactions that materially affect our results of operations, cash flows or financial condition.</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December 31, 2021, we had commercial commitments of $64.2 million.</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Please refer to “Note 12 Commitments and Contingencies” of the Notes to unaudited condensed consolidated financial statements in this Quarterly Report on Form 10-Q for Contractual Obligations and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For information about our critical accounting estimates, see the “Critical Accounting Estimates” section of “Item 7. Management’s Discussion and Analysis of Financial Condition and Results of Operations” in our fiscal 2021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Rate Risk</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use foreign exchange forward contracts to hedge forecasted foreign currency transactions relating to forecasted sales and purchase transactions. The foreign exchange hedges do not qualify as cash flow hedges. The changes in fair value related to the hedges were recorded in income or expenses line items on our statements of operations.</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December 31, 2021, we had no foreign currency forward contracts.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Net foreign exchange income (loss) recorded in our unaudited condensed consolidated statements of operations during the three and six months ended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and January 1, 2021 was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960" w:type="dxa"/>
            <w:vAlign w:val="bottom"/>
            <w:gridSpan w:val="4"/>
          </w:tcPr>
          <w:p>
            <w:pPr>
              <w:jc w:val="right"/>
              <w:ind w:right="96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382"/>
              <w:spacing w:after="0" w:line="129" w:lineRule="exact"/>
              <w:rPr>
                <w:sz w:val="20"/>
                <w:szCs w:val="20"/>
                <w:color w:val="auto"/>
              </w:rPr>
            </w:pPr>
            <w:r>
              <w:rPr>
                <w:rFonts w:ascii="Arial" w:cs="Arial" w:eastAsia="Arial" w:hAnsi="Arial"/>
                <w:sz w:val="14"/>
                <w:szCs w:val="14"/>
                <w:b w:val="1"/>
                <w:bCs w:val="1"/>
                <w:color w:val="auto"/>
              </w:rPr>
              <w:t>January 1,</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December 31,</w:t>
            </w:r>
          </w:p>
        </w:tc>
        <w:tc>
          <w:tcPr>
            <w:tcW w:w="3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382"/>
              <w:spacing w:after="0" w:line="12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83"/>
        </w:trPr>
        <w:tc>
          <w:tcPr>
            <w:tcW w:w="476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 included in costs of revenues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ind w:left="1000"/>
              <w:spacing w:after="0"/>
              <w:rPr>
                <w:sz w:val="20"/>
                <w:szCs w:val="20"/>
                <w:color w:val="auto"/>
              </w:rPr>
            </w:pPr>
            <w:r>
              <w:rPr>
                <w:rFonts w:ascii="Arial" w:cs="Arial" w:eastAsia="Arial" w:hAnsi="Arial"/>
                <w:sz w:val="17"/>
                <w:szCs w:val="17"/>
                <w:color w:val="auto"/>
                <w:w w:val="99"/>
              </w:rPr>
              <w:t>(31)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331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w:t>
            </w:r>
          </w:p>
        </w:tc>
        <w:tc>
          <w:tcPr>
            <w:tcW w:w="0" w:type="dxa"/>
            <w:vAlign w:val="bottom"/>
          </w:tcPr>
          <w:p>
            <w:pPr>
              <w:spacing w:after="0"/>
              <w:rPr>
                <w:sz w:val="1"/>
                <w:szCs w:val="1"/>
                <w:color w:val="auto"/>
              </w:rPr>
            </w:pPr>
          </w:p>
        </w:tc>
      </w:tr>
      <w:tr>
        <w:trPr>
          <w:trHeight w:val="222"/>
        </w:trPr>
        <w:tc>
          <w:tcPr>
            <w:tcW w:w="4760" w:type="dxa"/>
            <w:vAlign w:val="bottom"/>
          </w:tcPr>
          <w:p>
            <w:pPr>
              <w:ind w:left="20"/>
              <w:spacing w:after="0"/>
              <w:rPr>
                <w:sz w:val="20"/>
                <w:szCs w:val="20"/>
                <w:color w:val="auto"/>
              </w:rPr>
            </w:pPr>
            <w:r>
              <w:rPr>
                <w:rFonts w:ascii="Arial" w:cs="Arial" w:eastAsia="Arial" w:hAnsi="Arial"/>
                <w:sz w:val="17"/>
                <w:szCs w:val="17"/>
                <w:color w:val="auto"/>
              </w:rPr>
              <w:t>Amount included in other expense/(income), net</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Pr>
          <w:p>
            <w:pPr>
              <w:ind w:left="980"/>
              <w:spacing w:after="0"/>
              <w:rPr>
                <w:sz w:val="20"/>
                <w:szCs w:val="20"/>
                <w:color w:val="auto"/>
              </w:rPr>
            </w:pPr>
            <w:r>
              <w:rPr>
                <w:rFonts w:ascii="Arial" w:cs="Arial" w:eastAsia="Arial" w:hAnsi="Arial"/>
                <w:sz w:val="17"/>
                <w:szCs w:val="17"/>
                <w:color w:val="auto"/>
              </w:rPr>
              <w:t>273</w:t>
            </w:r>
          </w:p>
        </w:tc>
        <w:tc>
          <w:tcPr>
            <w:tcW w:w="8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3"/>
              <w:spacing w:after="0"/>
              <w:rPr>
                <w:sz w:val="20"/>
                <w:szCs w:val="20"/>
                <w:color w:val="auto"/>
              </w:rPr>
            </w:pPr>
            <w:r>
              <w:rPr>
                <w:rFonts w:ascii="Arial" w:cs="Arial" w:eastAsia="Arial" w:hAnsi="Arial"/>
                <w:sz w:val="17"/>
                <w:szCs w:val="17"/>
                <w:color w:val="auto"/>
              </w:rPr>
              <w:t>273</w:t>
            </w:r>
          </w:p>
        </w:tc>
        <w:tc>
          <w:tcPr>
            <w:tcW w:w="8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Certain of our international business is transacted in non-U.S. dollar currency. As discussed above, we utilize foreign currency hedging instruments to minimize the currency risk of international transactions. The impact of translating the assets and liabilities of foreign operations to U.S. dollars for the first six months of fiscal 2022 and 2021 was $(0.3) million and $0.6 million, respectively, and was included as a component of stockholders’ equity. As of December 31, 2021 and July 2, 2021, the cumulative translation adjustment decreased our equity by $14.6 million and $14.3 million,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exposure to market risk for changes in interest rates relates primarily to our cash equivalents and borrowings under our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Exposure on Cash Equivalents</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had $42.3 million in total cash and cash equivalents as of December 31, 2021. Cash equivalents totaled $19.3 million as of December 31, 2021 and were comprised of money market funds and bank certificates of deposit. Cash equivalents investments have been recorded at fair value on our balance sheet. Fair value is measured using inputs that fall into a three-level hierarchy that prioritizes the inputs used to measure fair value based on observability of such inputs. For more information on the fair value measurements of cash equivalents, please refer to “Note 3 Fair Value Measurements of</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9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Assets and Liabilities” of the Notes to unaudited condensed consolidated financial statements in this Quarterly Report on Form 10-Q.</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cash equivalents earn interest at fixed rates; therefore, changes in interest rates will not generate a gain or loss on these investments unless they are sold prior to maturity. The weighted-average days to maturity for cash equivalents held as of December 31, 2021 was 20 days, and these investments had an average yield of approximately 4.3% per annum. A 10% change in interest rates on our cash equivalents is not expected to have a material impact on our financial position, results of operations, or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Exposure on Borrowings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borrowings under the SVB Credit Facility incurred interest at the prime rate plus a spread of 0.50% to 1.50% with such spread determined based on our adjusted quick ratio. During the first six months of fiscal 2022, our weighted-average interest rate was 3.75%, and the interest expense on these borrowings was immaterial.</w:t>
      </w:r>
    </w:p>
    <w:p>
      <w:pPr>
        <w:spacing w:after="0" w:line="12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Based on management’s evaluation, with the participation of our President and CEO, and Chief Financial Officer (“CFO”), as of December 31, 2021, our CEO and CFO have concluded that our disclosure controls and procedures, as defined in Rules 13a-15(e) and 15d-15(e) under the Exchange Act, are effective to provide reasonable assurance that the information required to be disclosed in reports that we file or submit under the Exchange Act is accumulated and communicated to management, including our CEO and CFO, in a manner that allows for timely decisions regarding required disclosures and is recorded, processed, summarized, and reported within the time periods specified in the SEC’s rules and forms.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Controls over Financial Reporting</w:t>
      </w:r>
    </w:p>
    <w:p>
      <w:pPr>
        <w:spacing w:after="0" w:line="170"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There were no changes to our internal controls over financial reporting as defined in Rules 13a-15(f) or 15d-15(f) that occurred during the quarter ended December 31, 2021 that have materially affected, or are reasonably likely to materially affect, our internal controls over financial reporting. Management is actively monitoring the impact of the COVID-19 pandemic on our financial condition, liquidity, operations, suppliers, industry, and workforce. Additionally we have undertaken measures to protect our employees, suppliers, and customers, including encouraging, and in many cases requiring employees to work remotely as appropriate. We have also modified some of our controls procedures but those changes have not been material.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Inherent Limitations on Effectiveness of Controls</w:t>
      </w:r>
    </w:p>
    <w:p>
      <w:pPr>
        <w:spacing w:after="0" w:line="170" w:lineRule="exact"/>
        <w:rPr>
          <w:sz w:val="20"/>
          <w:szCs w:val="20"/>
          <w:color w:val="auto"/>
        </w:rPr>
      </w:pPr>
    </w:p>
    <w:p>
      <w:pPr>
        <w:jc w:val="both"/>
        <w:ind w:firstLine="470"/>
        <w:spacing w:after="0" w:line="300" w:lineRule="auto"/>
        <w:rPr>
          <w:sz w:val="20"/>
          <w:szCs w:val="20"/>
          <w:color w:val="auto"/>
        </w:rPr>
      </w:pPr>
      <w:r>
        <w:rPr>
          <w:rFonts w:ascii="Arial" w:cs="Arial" w:eastAsia="Arial" w:hAnsi="Arial"/>
          <w:sz w:val="15"/>
          <w:szCs w:val="15"/>
          <w:color w:val="auto"/>
        </w:rPr>
        <w:t>Our management, including our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33" w:name="page34"/>
    <w:bookmarkEnd w:id="33"/>
    <w:p>
      <w:pPr>
        <w:spacing w:after="0" w:line="200" w:lineRule="exact"/>
        <w:rPr>
          <w:sz w:val="20"/>
          <w:szCs w:val="20"/>
          <w:color w:val="auto"/>
        </w:rPr>
      </w:pPr>
    </w:p>
    <w:p>
      <w:pPr>
        <w:spacing w:after="0" w:line="28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PART II.</w:t>
        <w:tab/>
        <w:t>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For a discussion of legal proceedings as of December 31, 2021, please refer to “Legal Proceedings” and “Contingent Liabilities” under “Note 12 Commitments and Contingencies” of the Notes to unaudited condensed consolidated financial statements in this Quarterly Report on Form 10-Q, which are incorporated into this item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76"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Investors should carefully review and consider the information regarding certain factors which could materially affect our business, operating results, cash flows, and financial condition set forth under Item 1A, Risk Factors, in our fiscal 2021 Annual Report on Form 10-K filed with the SEC on August 25, 2021.</w:t>
      </w:r>
    </w:p>
    <w:p>
      <w:pPr>
        <w:spacing w:after="0" w:line="6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There have been no material changes from the risk factors described in our Annual Report,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During the second quarter of fiscal 2022 we completed the $7.5 million stock repurchase program approved by our board of directors in May 2018 by purchasing 60,895 shares of our common stock in the open market for an aggregate purchase price, including commissions, of $1.9 million. These shares were recorded as treasury stock and we do not anticipate retiring them.</w:t>
      </w:r>
    </w:p>
    <w:p>
      <w:pPr>
        <w:spacing w:after="0" w:line="120"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In November 2021 our board of directors approved a stock repurchase program to purchase up to $10.0 million of our common stock. As of December 31, 2021, $10.0 million remains available under the stock repurchase program, and we may choose to suspend or discontinue the repurchase program at any time.</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Following is a summary of stock repurchases for the three months ended December 31, 2021:</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4"/>
                <w:szCs w:val="14"/>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Average Price Paid</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 Number of Shares</w:t>
            </w:r>
          </w:p>
        </w:tc>
        <w:tc>
          <w:tcPr>
            <w:tcW w:w="24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Approximate Dollar Value of Shares that</w:t>
            </w:r>
          </w:p>
        </w:tc>
        <w:tc>
          <w:tcPr>
            <w:tcW w:w="0" w:type="dxa"/>
            <w:vAlign w:val="bottom"/>
          </w:tcPr>
          <w:p>
            <w:pPr>
              <w:spacing w:after="0"/>
              <w:rPr>
                <w:sz w:val="1"/>
                <w:szCs w:val="1"/>
                <w:color w:val="auto"/>
              </w:rPr>
            </w:pPr>
          </w:p>
        </w:tc>
      </w:tr>
      <w:tr>
        <w:trPr>
          <w:trHeight w:val="131"/>
        </w:trPr>
        <w:tc>
          <w:tcPr>
            <w:tcW w:w="3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16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89"/>
              </w:rPr>
              <w:t>Repurchased as Part of Publicly</w:t>
            </w:r>
          </w:p>
        </w:tc>
        <w:tc>
          <w:tcPr>
            <w:tcW w:w="140" w:type="dxa"/>
            <w:vAlign w:val="bottom"/>
          </w:tcPr>
          <w:p>
            <w:pPr>
              <w:spacing w:after="0"/>
              <w:rPr>
                <w:sz w:val="11"/>
                <w:szCs w:val="11"/>
                <w:color w:val="auto"/>
              </w:rPr>
            </w:pPr>
          </w:p>
        </w:tc>
        <w:tc>
          <w:tcPr>
            <w:tcW w:w="2340" w:type="dxa"/>
            <w:vAlign w:val="bottom"/>
          </w:tcPr>
          <w:p>
            <w:pPr>
              <w:jc w:val="center"/>
              <w:ind w:right="60"/>
              <w:spacing w:after="0" w:line="131" w:lineRule="exact"/>
              <w:rPr>
                <w:sz w:val="20"/>
                <w:szCs w:val="20"/>
                <w:color w:val="auto"/>
              </w:rPr>
            </w:pPr>
            <w:r>
              <w:rPr>
                <w:rFonts w:ascii="Arial" w:cs="Arial" w:eastAsia="Arial" w:hAnsi="Arial"/>
                <w:sz w:val="14"/>
                <w:szCs w:val="14"/>
                <w:b w:val="1"/>
                <w:bCs w:val="1"/>
                <w:color w:val="auto"/>
                <w:w w:val="90"/>
              </w:rPr>
              <w:t>May Yet be Repurchased Under the</w:t>
            </w:r>
          </w:p>
        </w:tc>
        <w:tc>
          <w:tcPr>
            <w:tcW w:w="0" w:type="dxa"/>
            <w:vAlign w:val="bottom"/>
          </w:tcPr>
          <w:p>
            <w:pPr>
              <w:spacing w:after="0"/>
              <w:rPr>
                <w:sz w:val="1"/>
                <w:szCs w:val="1"/>
                <w:color w:val="auto"/>
              </w:rPr>
            </w:pPr>
          </w:p>
        </w:tc>
      </w:tr>
      <w:tr>
        <w:trPr>
          <w:trHeight w:val="183"/>
        </w:trPr>
        <w:tc>
          <w:tcPr>
            <w:tcW w:w="3680" w:type="dxa"/>
            <w:vAlign w:val="bottom"/>
            <w:gridSpan w:val="2"/>
            <w:vMerge w:val="continue"/>
          </w:tcPr>
          <w:p>
            <w:pPr>
              <w:spacing w:after="0"/>
              <w:rPr>
                <w:sz w:val="15"/>
                <w:szCs w:val="15"/>
                <w:color w:val="auto"/>
              </w:rPr>
            </w:pPr>
          </w:p>
        </w:tc>
        <w:tc>
          <w:tcPr>
            <w:tcW w:w="1500" w:type="dxa"/>
            <w:vAlign w:val="bottom"/>
          </w:tcPr>
          <w:p>
            <w:pPr>
              <w:jc w:val="right"/>
              <w:ind w:right="279"/>
              <w:spacing w:after="0"/>
              <w:rPr>
                <w:sz w:val="20"/>
                <w:szCs w:val="20"/>
                <w:color w:val="auto"/>
              </w:rPr>
            </w:pPr>
            <w:r>
              <w:rPr>
                <w:rFonts w:ascii="Arial" w:cs="Arial" w:eastAsia="Arial" w:hAnsi="Arial"/>
                <w:sz w:val="14"/>
                <w:szCs w:val="14"/>
                <w:b w:val="1"/>
                <w:bCs w:val="1"/>
                <w:color w:val="auto"/>
              </w:rPr>
              <w:t>Repurchased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per Share</w:t>
            </w: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Announced Program</w:t>
            </w:r>
          </w:p>
        </w:tc>
        <w:tc>
          <w:tcPr>
            <w:tcW w:w="140" w:type="dxa"/>
            <w:vAlign w:val="bottom"/>
          </w:tcPr>
          <w:p>
            <w:pPr>
              <w:spacing w:after="0"/>
              <w:rPr>
                <w:sz w:val="15"/>
                <w:szCs w:val="15"/>
                <w:color w:val="auto"/>
              </w:rPr>
            </w:pPr>
          </w:p>
        </w:tc>
        <w:tc>
          <w:tcPr>
            <w:tcW w:w="2340" w:type="dxa"/>
            <w:vAlign w:val="bottom"/>
          </w:tcPr>
          <w:p>
            <w:pPr>
              <w:jc w:val="center"/>
              <w:ind w:right="40"/>
              <w:spacing w:after="0" w:line="183" w:lineRule="exact"/>
              <w:rPr>
                <w:sz w:val="20"/>
                <w:szCs w:val="20"/>
                <w:color w:val="auto"/>
              </w:rPr>
            </w:pPr>
            <w:r>
              <w:rPr>
                <w:rFonts w:ascii="Arial" w:cs="Arial" w:eastAsia="Arial" w:hAnsi="Arial"/>
                <w:sz w:val="14"/>
                <w:szCs w:val="14"/>
                <w:b w:val="1"/>
                <w:bCs w:val="1"/>
                <w:color w:val="auto"/>
                <w:w w:val="85"/>
              </w:rPr>
              <w:t xml:space="preserve">Program </w:t>
            </w:r>
            <w:r>
              <w:rPr>
                <w:rFonts w:ascii="Arial" w:cs="Arial" w:eastAsia="Arial" w:hAnsi="Arial"/>
                <w:sz w:val="18"/>
                <w:szCs w:val="18"/>
                <w:b w:val="1"/>
                <w:bCs w:val="1"/>
                <w:color w:val="auto"/>
                <w:w w:val="85"/>
                <w:vertAlign w:val="superscript"/>
              </w:rPr>
              <w:t>(1)(2)</w:t>
            </w:r>
          </w:p>
        </w:tc>
        <w:tc>
          <w:tcPr>
            <w:tcW w:w="0" w:type="dxa"/>
            <w:vAlign w:val="bottom"/>
          </w:tcPr>
          <w:p>
            <w:pPr>
              <w:spacing w:after="0"/>
              <w:rPr>
                <w:sz w:val="1"/>
                <w:szCs w:val="1"/>
                <w:color w:val="auto"/>
              </w:rPr>
            </w:pPr>
          </w:p>
        </w:tc>
      </w:tr>
      <w:tr>
        <w:trPr>
          <w:trHeight w:val="199"/>
        </w:trPr>
        <w:tc>
          <w:tcPr>
            <w:tcW w:w="3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87"/>
              </w:rPr>
              <w:t>(in thousands)</w:t>
            </w:r>
          </w:p>
        </w:tc>
        <w:tc>
          <w:tcPr>
            <w:tcW w:w="0" w:type="dxa"/>
            <w:vAlign w:val="bottom"/>
          </w:tcPr>
          <w:p>
            <w:pPr>
              <w:spacing w:after="0"/>
              <w:rPr>
                <w:sz w:val="1"/>
                <w:szCs w:val="1"/>
                <w:color w:val="auto"/>
              </w:rPr>
            </w:pPr>
          </w:p>
        </w:tc>
      </w:tr>
      <w:tr>
        <w:trPr>
          <w:trHeight w:val="225"/>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2, 2021 through October 29, 2021</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5,900</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34.03</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1,714</w:t>
            </w:r>
          </w:p>
        </w:tc>
        <w:tc>
          <w:tcPr>
            <w:tcW w:w="0" w:type="dxa"/>
            <w:vAlign w:val="bottom"/>
          </w:tcPr>
          <w:p>
            <w:pPr>
              <w:spacing w:after="0"/>
              <w:rPr>
                <w:sz w:val="1"/>
                <w:szCs w:val="1"/>
                <w:color w:val="auto"/>
              </w:rPr>
            </w:pPr>
          </w:p>
        </w:tc>
      </w:tr>
      <w:tr>
        <w:trPr>
          <w:trHeight w:val="222"/>
        </w:trPr>
        <w:tc>
          <w:tcPr>
            <w:tcW w:w="3680" w:type="dxa"/>
            <w:vAlign w:val="bottom"/>
            <w:gridSpan w:val="2"/>
          </w:tcPr>
          <w:p>
            <w:pPr>
              <w:ind w:left="20"/>
              <w:spacing w:after="0"/>
              <w:rPr>
                <w:sz w:val="20"/>
                <w:szCs w:val="20"/>
                <w:color w:val="auto"/>
              </w:rPr>
            </w:pPr>
            <w:r>
              <w:rPr>
                <w:rFonts w:ascii="Arial" w:cs="Arial" w:eastAsia="Arial" w:hAnsi="Arial"/>
                <w:sz w:val="17"/>
                <w:szCs w:val="17"/>
                <w:color w:val="auto"/>
              </w:rPr>
              <w:t>October 30, 2021 through November 26, 2021</w:t>
            </w:r>
          </w:p>
        </w:tc>
        <w:tc>
          <w:tcPr>
            <w:tcW w:w="1500" w:type="dxa"/>
            <w:vAlign w:val="bottom"/>
          </w:tcPr>
          <w:p>
            <w:pPr>
              <w:jc w:val="right"/>
              <w:spacing w:after="0"/>
              <w:rPr>
                <w:sz w:val="20"/>
                <w:szCs w:val="20"/>
                <w:color w:val="auto"/>
              </w:rPr>
            </w:pPr>
            <w:r>
              <w:rPr>
                <w:rFonts w:ascii="Arial" w:cs="Arial" w:eastAsia="Arial" w:hAnsi="Arial"/>
                <w:sz w:val="17"/>
                <w:szCs w:val="17"/>
                <w:color w:val="auto"/>
              </w:rPr>
              <w:t>54,995</w:t>
            </w:r>
          </w:p>
        </w:tc>
        <w:tc>
          <w:tcPr>
            <w:tcW w:w="300" w:type="dxa"/>
            <w:vAlign w:val="bottom"/>
            <w:gridSpan w:val="2"/>
          </w:tcPr>
          <w:p>
            <w:pPr>
              <w:jc w:val="right"/>
              <w:ind w:right="3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31.07</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54,995</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234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2"/>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November 27, 2021 through December 31,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15"/>
        </w:trPr>
        <w:tc>
          <w:tcPr>
            <w:tcW w:w="3680" w:type="dxa"/>
            <w:vAlign w:val="bottom"/>
            <w:gridSpan w:val="2"/>
          </w:tcPr>
          <w:p>
            <w:pPr>
              <w:ind w:left="120"/>
              <w:spacing w:after="0"/>
              <w:rPr>
                <w:sz w:val="20"/>
                <w:szCs w:val="20"/>
                <w:color w:val="auto"/>
              </w:rPr>
            </w:pPr>
            <w:r>
              <w:rPr>
                <w:rFonts w:ascii="Arial" w:cs="Arial" w:eastAsia="Arial" w:hAnsi="Arial"/>
                <w:sz w:val="17"/>
                <w:szCs w:val="17"/>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40" w:hanging="235"/>
        <w:spacing w:after="0" w:line="242"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 May 2018, our board of directors approved a stock repurchase program, which does not have an expiration date, for the repurchase of up to $7.5 million of our common stock. The May 2018 program has been completed and no amount remains available under the program.</w:t>
      </w:r>
    </w:p>
    <w:p>
      <w:pPr>
        <w:spacing w:after="0" w:line="1" w:lineRule="exact"/>
        <w:rPr>
          <w:rFonts w:ascii="Arial" w:cs="Arial" w:eastAsia="Arial" w:hAnsi="Arial"/>
          <w:sz w:val="21"/>
          <w:szCs w:val="21"/>
          <w:color w:val="auto"/>
          <w:vertAlign w:val="superscript"/>
        </w:rPr>
      </w:pPr>
    </w:p>
    <w:p>
      <w:pPr>
        <w:ind w:left="240" w:hanging="235"/>
        <w:spacing w:after="0" w:line="235"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 November 2021, our board of directors approved a stock repurchase program, which does not have an expiration date, for the repurchase of up to $10.0 million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center"/>
        <w:ind w:right="7199"/>
        <w:spacing w:after="0"/>
        <w:rPr>
          <w:sz w:val="20"/>
          <w:szCs w:val="20"/>
          <w:color w:val="auto"/>
        </w:rPr>
      </w:pPr>
      <w:r>
        <w:rPr>
          <w:rFonts w:ascii="Arial" w:cs="Arial" w:eastAsia="Arial" w:hAnsi="Arial"/>
          <w:sz w:val="15"/>
          <w:szCs w:val="15"/>
          <w:b w:val="1"/>
          <w:bCs w:val="1"/>
          <w:color w:val="auto"/>
        </w:rPr>
        <w:t>Item 3. Defaults Upon Senior Securities</w:t>
      </w:r>
    </w:p>
    <w:p>
      <w:pPr>
        <w:spacing w:after="0" w:line="199" w:lineRule="exact"/>
        <w:rPr>
          <w:sz w:val="20"/>
          <w:szCs w:val="20"/>
          <w:color w:val="auto"/>
        </w:rPr>
      </w:pPr>
    </w:p>
    <w:p>
      <w:pPr>
        <w:jc w:val="center"/>
        <w:ind w:right="8139"/>
        <w:spacing w:after="0"/>
        <w:rPr>
          <w:sz w:val="20"/>
          <w:szCs w:val="20"/>
          <w:color w:val="auto"/>
        </w:rPr>
      </w:pPr>
      <w:r>
        <w:rPr>
          <w:rFonts w:ascii="Arial" w:cs="Arial" w:eastAsia="Arial" w:hAnsi="Arial"/>
          <w:sz w:val="17"/>
          <w:szCs w:val="17"/>
          <w:color w:val="auto"/>
        </w:rPr>
        <w:t>Not applicable.</w:t>
      </w:r>
    </w:p>
    <w:p>
      <w:pPr>
        <w:spacing w:after="0" w:line="164" w:lineRule="exact"/>
        <w:rPr>
          <w:sz w:val="20"/>
          <w:szCs w:val="20"/>
          <w:color w:val="auto"/>
        </w:rPr>
      </w:pPr>
    </w:p>
    <w:p>
      <w:pPr>
        <w:jc w:val="center"/>
        <w:ind w:right="7799"/>
        <w:spacing w:after="0"/>
        <w:rPr>
          <w:sz w:val="20"/>
          <w:szCs w:val="20"/>
          <w:color w:val="auto"/>
        </w:rPr>
      </w:pPr>
      <w:r>
        <w:rPr>
          <w:rFonts w:ascii="Arial" w:cs="Arial" w:eastAsia="Arial" w:hAnsi="Arial"/>
          <w:sz w:val="15"/>
          <w:szCs w:val="15"/>
          <w:b w:val="1"/>
          <w:bCs w:val="1"/>
          <w:color w:val="auto"/>
        </w:rPr>
        <w:t>Item 4. Mine Safety Disclosures</w:t>
      </w:r>
    </w:p>
    <w:p>
      <w:pPr>
        <w:spacing w:after="0" w:line="199" w:lineRule="exact"/>
        <w:rPr>
          <w:sz w:val="20"/>
          <w:szCs w:val="20"/>
          <w:color w:val="auto"/>
        </w:rPr>
      </w:pPr>
    </w:p>
    <w:p>
      <w:pPr>
        <w:jc w:val="center"/>
        <w:ind w:right="8139"/>
        <w:spacing w:after="0"/>
        <w:rPr>
          <w:sz w:val="20"/>
          <w:szCs w:val="20"/>
          <w:color w:val="auto"/>
        </w:rPr>
      </w:pPr>
      <w:r>
        <w:rPr>
          <w:rFonts w:ascii="Arial" w:cs="Arial" w:eastAsia="Arial" w:hAnsi="Arial"/>
          <w:sz w:val="17"/>
          <w:szCs w:val="17"/>
          <w:color w:val="auto"/>
        </w:rPr>
        <w:t>Not applicable.</w:t>
      </w:r>
    </w:p>
    <w:p>
      <w:pPr>
        <w:spacing w:after="0" w:line="164" w:lineRule="exact"/>
        <w:rPr>
          <w:sz w:val="20"/>
          <w:szCs w:val="20"/>
          <w:color w:val="auto"/>
        </w:rPr>
      </w:pPr>
    </w:p>
    <w:p>
      <w:pPr>
        <w:jc w:val="center"/>
        <w:ind w:right="8179"/>
        <w:spacing w:after="0"/>
        <w:rPr>
          <w:sz w:val="20"/>
          <w:szCs w:val="20"/>
          <w:color w:val="auto"/>
        </w:rPr>
      </w:pPr>
      <w:r>
        <w:rPr>
          <w:rFonts w:ascii="Arial" w:cs="Arial" w:eastAsia="Arial" w:hAnsi="Arial"/>
          <w:sz w:val="16"/>
          <w:szCs w:val="16"/>
          <w:b w:val="1"/>
          <w:bCs w:val="1"/>
          <w:color w:val="auto"/>
        </w:rPr>
        <w:t>Item 5. Other Information</w:t>
      </w:r>
    </w:p>
    <w:p>
      <w:pPr>
        <w:spacing w:after="0" w:line="188" w:lineRule="exact"/>
        <w:rPr>
          <w:sz w:val="20"/>
          <w:szCs w:val="20"/>
          <w:color w:val="auto"/>
        </w:rPr>
      </w:pPr>
    </w:p>
    <w:p>
      <w:pPr>
        <w:jc w:val="center"/>
        <w:ind w:right="8139"/>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219" w:right="1440"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Item 6. Exhibits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exhibits are filed herewith or incorporated by reference to exhibits previously filed with the SEC: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40" w:type="dxa"/>
            <w:vAlign w:val="bottom"/>
            <w:gridSpan w:val="6"/>
          </w:tcPr>
          <w:p>
            <w:pPr>
              <w:ind w:left="40"/>
              <w:spacing w:after="0"/>
              <w:rPr>
                <w:sz w:val="20"/>
                <w:szCs w:val="20"/>
                <w:color w:val="auto"/>
              </w:rPr>
            </w:pPr>
            <w:r>
              <w:rPr>
                <w:rFonts w:ascii="Arial" w:cs="Arial" w:eastAsia="Arial" w:hAnsi="Arial"/>
                <w:sz w:val="14"/>
                <w:szCs w:val="14"/>
                <w:b w:val="1"/>
                <w:bCs w:val="1"/>
                <w:color w:val="auto"/>
              </w:rPr>
              <w:t>Descriptions</w:t>
            </w:r>
          </w:p>
        </w:tc>
      </w:tr>
      <w:tr>
        <w:trPr>
          <w:trHeight w:val="181"/>
        </w:trPr>
        <w:tc>
          <w:tcPr>
            <w:tcW w:w="1120" w:type="dxa"/>
            <w:vAlign w:val="bottom"/>
            <w:tcBorders>
              <w:top w:val="single" w:sz="8" w:color="auto"/>
            </w:tcBorders>
            <w:shd w:val="clear" w:color="auto" w:fill="CCEEFF"/>
          </w:tcPr>
          <w:p>
            <w:pPr>
              <w:ind w:left="20"/>
              <w:spacing w:after="0" w:line="181" w:lineRule="exact"/>
              <w:rPr>
                <w:sz w:val="20"/>
                <w:szCs w:val="20"/>
                <w:color w:val="auto"/>
              </w:rPr>
            </w:pPr>
            <w:r>
              <w:rPr>
                <w:rFonts w:ascii="Arial" w:cs="Arial" w:eastAsia="Arial" w:hAnsi="Arial"/>
                <w:sz w:val="17"/>
                <w:szCs w:val="17"/>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00" w:type="dxa"/>
            <w:vAlign w:val="bottom"/>
            <w:tcBorders>
              <w:top w:val="single" w:sz="8" w:color="auto"/>
            </w:tcBorders>
            <w:gridSpan w:val="8"/>
            <w:shd w:val="clear" w:color="auto" w:fill="CCEEFF"/>
          </w:tcPr>
          <w:p>
            <w:pPr>
              <w:spacing w:after="0" w:line="181" w:lineRule="exact"/>
              <w:rPr>
                <w:rFonts w:ascii="Arial" w:cs="Arial" w:eastAsia="Arial" w:hAnsi="Arial"/>
                <w:sz w:val="17"/>
                <w:szCs w:val="17"/>
                <w:color w:val="0000FF"/>
                <w:w w:val="98"/>
              </w:rPr>
            </w:pPr>
            <w:hyperlink r:id="rId50">
              <w:r>
                <w:rPr>
                  <w:rFonts w:ascii="Arial" w:cs="Arial" w:eastAsia="Arial" w:hAnsi="Arial"/>
                  <w:sz w:val="17"/>
                  <w:szCs w:val="17"/>
                  <w:color w:val="0000FF"/>
                  <w:w w:val="98"/>
                </w:rPr>
                <w:t>Amended and Restated Certificate of Incorporation of Aviat Networks, Inc., as amended (incorporated by reference to Exhibit 3.1 to the</w:t>
              </w:r>
            </w:hyperlink>
          </w:p>
        </w:tc>
      </w:tr>
      <w:tr>
        <w:trPr>
          <w:trHeight w:val="169"/>
        </w:trPr>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480" w:type="dxa"/>
            <w:vAlign w:val="bottom"/>
            <w:tcBorders>
              <w:top w:val="single" w:sz="8" w:color="0000FF"/>
              <w:bottom w:val="single" w:sz="8" w:color="0000FF"/>
            </w:tcBorders>
            <w:gridSpan w:val="5"/>
            <w:shd w:val="clear" w:color="auto" w:fill="CCEEFF"/>
          </w:tcPr>
          <w:p>
            <w:pPr>
              <w:spacing w:after="0" w:line="150" w:lineRule="exact"/>
              <w:rPr>
                <w:rFonts w:ascii="Arial" w:cs="Arial" w:eastAsia="Arial" w:hAnsi="Arial"/>
                <w:sz w:val="17"/>
                <w:szCs w:val="17"/>
                <w:color w:val="0000FF"/>
                <w:w w:val="93"/>
              </w:rPr>
            </w:pPr>
            <w:hyperlink r:id="rId50">
              <w:r>
                <w:rPr>
                  <w:rFonts w:ascii="Arial" w:cs="Arial" w:eastAsia="Arial" w:hAnsi="Arial"/>
                  <w:sz w:val="17"/>
                  <w:szCs w:val="17"/>
                  <w:color w:val="0000FF"/>
                  <w:w w:val="93"/>
                </w:rPr>
                <w:t>Current Report on Form 10-Q filed with the SEC on February 10, 2017, File No. 001-33278)</w:t>
              </w:r>
            </w:hyperlink>
          </w:p>
        </w:tc>
        <w:tc>
          <w:tcPr>
            <w:tcW w:w="348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1120" w:type="dxa"/>
            <w:vAlign w:val="bottom"/>
          </w:tcPr>
          <w:p>
            <w:pPr>
              <w:ind w:left="20"/>
              <w:spacing w:after="0" w:line="183" w:lineRule="exact"/>
              <w:rPr>
                <w:sz w:val="20"/>
                <w:szCs w:val="20"/>
                <w:color w:val="auto"/>
              </w:rPr>
            </w:pPr>
            <w:r>
              <w:rPr>
                <w:rFonts w:ascii="Arial" w:cs="Arial" w:eastAsia="Arial" w:hAnsi="Arial"/>
                <w:sz w:val="17"/>
                <w:szCs w:val="17"/>
                <w:color w:val="auto"/>
              </w:rPr>
              <w:t>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8"/>
          </w:tcPr>
          <w:p>
            <w:pPr>
              <w:spacing w:after="0" w:line="183" w:lineRule="exact"/>
              <w:rPr>
                <w:rFonts w:ascii="Arial" w:cs="Arial" w:eastAsia="Arial" w:hAnsi="Arial"/>
                <w:sz w:val="17"/>
                <w:szCs w:val="17"/>
                <w:color w:val="0000FF"/>
                <w:w w:val="94"/>
              </w:rPr>
            </w:pPr>
            <w:hyperlink r:id="rId51">
              <w:r>
                <w:rPr>
                  <w:rFonts w:ascii="Arial" w:cs="Arial" w:eastAsia="Arial" w:hAnsi="Arial"/>
                  <w:sz w:val="17"/>
                  <w:szCs w:val="17"/>
                  <w:color w:val="0000FF"/>
                  <w:w w:val="94"/>
                </w:rPr>
                <w:t>Amended and Restated Bylaws of Aviat Networks, Inc. (incorporated by reference to Exhibit 3.1 to the Current Report on Form 8-K filed with</w:t>
              </w:r>
            </w:hyperlink>
          </w:p>
        </w:tc>
      </w:tr>
      <w:tr>
        <w:trPr>
          <w:trHeight w:val="159"/>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bottom w:val="single" w:sz="8" w:color="0000FF"/>
            </w:tcBorders>
          </w:tcPr>
          <w:p>
            <w:pPr>
              <w:spacing w:after="0" w:line="150" w:lineRule="exact"/>
              <w:rPr>
                <w:rFonts w:ascii="Arial" w:cs="Arial" w:eastAsia="Arial" w:hAnsi="Arial"/>
                <w:sz w:val="17"/>
                <w:szCs w:val="17"/>
                <w:color w:val="0000FF"/>
                <w:w w:val="91"/>
              </w:rPr>
            </w:pPr>
            <w:hyperlink r:id="rId51">
              <w:r>
                <w:rPr>
                  <w:rFonts w:ascii="Arial" w:cs="Arial" w:eastAsia="Arial" w:hAnsi="Arial"/>
                  <w:sz w:val="17"/>
                  <w:szCs w:val="17"/>
                  <w:color w:val="0000FF"/>
                  <w:w w:val="91"/>
                </w:rPr>
                <w:t>the SEC on September 24, 2020, File No. 001-33278)</w:t>
              </w:r>
            </w:hyperlink>
          </w:p>
        </w:tc>
        <w:tc>
          <w:tcPr>
            <w:tcW w:w="62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12"/>
        </w:trPr>
        <w:tc>
          <w:tcPr>
            <w:tcW w:w="112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31.1*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0" w:type="dxa"/>
            <w:vAlign w:val="bottom"/>
            <w:gridSpan w:val="8"/>
            <w:shd w:val="clear" w:color="auto" w:fill="CCEEFF"/>
          </w:tcPr>
          <w:p>
            <w:pPr>
              <w:spacing w:after="0" w:line="193" w:lineRule="exact"/>
              <w:rPr>
                <w:rFonts w:ascii="Arial" w:cs="Arial" w:eastAsia="Arial" w:hAnsi="Arial"/>
                <w:sz w:val="17"/>
                <w:szCs w:val="17"/>
                <w:color w:val="0000FF"/>
              </w:rPr>
            </w:pPr>
            <w:hyperlink w:anchor="page38">
              <w:r>
                <w:rPr>
                  <w:rFonts w:ascii="Arial" w:cs="Arial" w:eastAsia="Arial" w:hAnsi="Arial"/>
                  <w:sz w:val="17"/>
                  <w:szCs w:val="17"/>
                  <w:color w:val="0000FF"/>
                </w:rPr>
                <w:t>Rule 13a-14(a)/15d-14(a) Certification of President and Chief Executive Officer</w:t>
              </w:r>
            </w:hyperlink>
          </w:p>
        </w:tc>
      </w:tr>
      <w:tr>
        <w:trPr>
          <w:trHeight w:val="193"/>
        </w:trPr>
        <w:tc>
          <w:tcPr>
            <w:tcW w:w="1120" w:type="dxa"/>
            <w:vAlign w:val="bottom"/>
            <w:tcBorders>
              <w:top w:val="single" w:sz="8" w:color="CCEEFF"/>
            </w:tcBorders>
          </w:tcPr>
          <w:p>
            <w:pPr>
              <w:ind w:left="20"/>
              <w:spacing w:after="0" w:line="183" w:lineRule="exact"/>
              <w:rPr>
                <w:sz w:val="20"/>
                <w:szCs w:val="20"/>
                <w:color w:val="auto"/>
              </w:rPr>
            </w:pPr>
            <w:r>
              <w:rPr>
                <w:rFonts w:ascii="Arial" w:cs="Arial" w:eastAsia="Arial" w:hAnsi="Arial"/>
                <w:sz w:val="17"/>
                <w:szCs w:val="17"/>
                <w:color w:val="auto"/>
              </w:rPr>
              <w:t>31.2*</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560" w:type="dxa"/>
            <w:vAlign w:val="bottom"/>
            <w:tcBorders>
              <w:top w:val="single" w:sz="8" w:color="0000FF"/>
              <w:bottom w:val="single" w:sz="8" w:color="0000FF"/>
            </w:tcBorders>
            <w:gridSpan w:val="2"/>
          </w:tcPr>
          <w:p>
            <w:pPr>
              <w:spacing w:after="0" w:line="183" w:lineRule="exact"/>
              <w:rPr>
                <w:rFonts w:ascii="Arial" w:cs="Arial" w:eastAsia="Arial" w:hAnsi="Arial"/>
                <w:sz w:val="17"/>
                <w:szCs w:val="17"/>
                <w:color w:val="0000FF"/>
                <w:w w:val="95"/>
              </w:rPr>
            </w:pPr>
            <w:hyperlink w:anchor="page39">
              <w:r>
                <w:rPr>
                  <w:rFonts w:ascii="Arial" w:cs="Arial" w:eastAsia="Arial" w:hAnsi="Arial"/>
                  <w:sz w:val="17"/>
                  <w:szCs w:val="17"/>
                  <w:color w:val="0000FF"/>
                  <w:w w:val="95"/>
                </w:rPr>
                <w:t>Rule 13a-14(a)/15d-14(a) Certification of Chief Financial Officer</w:t>
              </w:r>
            </w:hyperlink>
          </w:p>
        </w:tc>
        <w:tc>
          <w:tcPr>
            <w:tcW w:w="1020" w:type="dxa"/>
            <w:vAlign w:val="bottom"/>
            <w:tcBorders>
              <w:top w:val="single" w:sz="8" w:color="0000FF"/>
            </w:tcBorders>
          </w:tcPr>
          <w:p>
            <w:pPr>
              <w:spacing w:after="0"/>
              <w:rPr>
                <w:sz w:val="16"/>
                <w:szCs w:val="16"/>
                <w:color w:val="auto"/>
              </w:rPr>
            </w:pPr>
          </w:p>
        </w:tc>
        <w:tc>
          <w:tcPr>
            <w:tcW w:w="4420" w:type="dxa"/>
            <w:vAlign w:val="bottom"/>
            <w:tcBorders>
              <w:top w:val="single" w:sz="8" w:color="CCEEFF"/>
            </w:tcBorders>
            <w:gridSpan w:val="5"/>
          </w:tcPr>
          <w:p>
            <w:pPr>
              <w:spacing w:after="0"/>
              <w:rPr>
                <w:sz w:val="16"/>
                <w:szCs w:val="16"/>
                <w:color w:val="auto"/>
              </w:rPr>
            </w:pPr>
          </w:p>
        </w:tc>
      </w:tr>
      <w:tr>
        <w:trPr>
          <w:trHeight w:val="212"/>
        </w:trPr>
        <w:tc>
          <w:tcPr>
            <w:tcW w:w="112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32.1**</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700" w:type="dxa"/>
            <w:vAlign w:val="bottom"/>
            <w:tcBorders>
              <w:bottom w:val="single" w:sz="8" w:color="0000FF"/>
            </w:tcBorders>
            <w:gridSpan w:val="4"/>
            <w:shd w:val="clear" w:color="auto" w:fill="CCEEFF"/>
          </w:tcPr>
          <w:p>
            <w:pPr>
              <w:spacing w:after="0" w:line="193" w:lineRule="exact"/>
              <w:rPr>
                <w:rFonts w:ascii="Arial" w:cs="Arial" w:eastAsia="Arial" w:hAnsi="Arial"/>
                <w:sz w:val="17"/>
                <w:szCs w:val="17"/>
                <w:color w:val="0000FF"/>
                <w:w w:val="95"/>
              </w:rPr>
            </w:pPr>
            <w:hyperlink w:anchor="page40">
              <w:r>
                <w:rPr>
                  <w:rFonts w:ascii="Arial" w:cs="Arial" w:eastAsia="Arial" w:hAnsi="Arial"/>
                  <w:sz w:val="17"/>
                  <w:szCs w:val="17"/>
                  <w:color w:val="0000FF"/>
                  <w:w w:val="95"/>
                </w:rPr>
                <w:t>Section 1350 Certification of Chief Executive Officer and Chief Financial Officer</w:t>
              </w:r>
            </w:hyperlink>
          </w:p>
        </w:tc>
        <w:tc>
          <w:tcPr>
            <w:tcW w:w="4300" w:type="dxa"/>
            <w:vAlign w:val="bottom"/>
            <w:tcBorders>
              <w:bottom w:val="single" w:sz="8" w:color="CCEEFF"/>
            </w:tcBorders>
            <w:gridSpan w:val="4"/>
            <w:shd w:val="clear" w:color="auto" w:fill="CCEEFF"/>
          </w:tcPr>
          <w:p>
            <w:pPr>
              <w:spacing w:after="0"/>
              <w:rPr>
                <w:sz w:val="18"/>
                <w:szCs w:val="18"/>
                <w:color w:val="auto"/>
              </w:rPr>
            </w:pPr>
          </w:p>
        </w:tc>
      </w:tr>
      <w:tr>
        <w:trPr>
          <w:trHeight w:val="222"/>
        </w:trPr>
        <w:tc>
          <w:tcPr>
            <w:tcW w:w="1240" w:type="dxa"/>
            <w:vAlign w:val="bottom"/>
            <w:gridSpan w:val="2"/>
          </w:tcPr>
          <w:p>
            <w:pPr>
              <w:ind w:left="20"/>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Arial" w:cs="Arial" w:eastAsia="Arial" w:hAnsi="Arial"/>
                <w:sz w:val="17"/>
                <w:szCs w:val="17"/>
                <w:color w:val="auto"/>
              </w:rPr>
              <w:t>XBRL Instance Document</w:t>
            </w:r>
          </w:p>
        </w:tc>
      </w:tr>
      <w:tr>
        <w:trPr>
          <w:trHeight w:val="222"/>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101.SCH</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XBRL Taxonomy Extension Schema Document</w:t>
            </w:r>
          </w:p>
        </w:tc>
      </w:tr>
      <w:tr>
        <w:trPr>
          <w:trHeight w:val="222"/>
        </w:trPr>
        <w:tc>
          <w:tcPr>
            <w:tcW w:w="1240" w:type="dxa"/>
            <w:vAlign w:val="bottom"/>
            <w:gridSpan w:val="2"/>
          </w:tcPr>
          <w:p>
            <w:pPr>
              <w:ind w:left="20"/>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222"/>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101.DEF</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222"/>
        </w:trPr>
        <w:tc>
          <w:tcPr>
            <w:tcW w:w="1240" w:type="dxa"/>
            <w:vAlign w:val="bottom"/>
            <w:gridSpan w:val="2"/>
          </w:tcPr>
          <w:p>
            <w:pPr>
              <w:ind w:left="2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222"/>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101.PRE</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22"/>
        </w:trPr>
        <w:tc>
          <w:tcPr>
            <w:tcW w:w="1120" w:type="dxa"/>
            <w:vAlign w:val="bottom"/>
          </w:tcPr>
          <w:p>
            <w:pPr>
              <w:ind w:left="20"/>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36765" cy="140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ind w:left="1260" w:hanging="1238"/>
        <w:spacing w:after="0"/>
        <w:tabs>
          <w:tab w:leader="none" w:pos="1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7" w:lineRule="exact"/>
        <w:rPr>
          <w:sz w:val="20"/>
          <w:szCs w:val="20"/>
          <w:color w:val="auto"/>
        </w:rPr>
      </w:pPr>
    </w:p>
    <w:p>
      <w:pPr>
        <w:ind w:left="1260" w:hanging="1238"/>
        <w:spacing w:after="0"/>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t>SIGNATURES</w:t>
      </w:r>
    </w:p>
    <w:p>
      <w:pPr>
        <w:spacing w:after="0" w:line="176"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64"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AVIAT NETWORKS, INC.</w:t>
      </w:r>
    </w:p>
    <w:p>
      <w:pPr>
        <w:ind w:left="6220"/>
        <w:spacing w:after="0"/>
        <w:rPr>
          <w:sz w:val="20"/>
          <w:szCs w:val="20"/>
          <w:color w:val="auto"/>
        </w:rPr>
      </w:pPr>
      <w:r>
        <w:rPr>
          <w:rFonts w:ascii="Arial" w:cs="Arial" w:eastAsia="Arial" w:hAnsi="Arial"/>
          <w:sz w:val="17"/>
          <w:szCs w:val="17"/>
          <w:color w:val="auto"/>
        </w:rPr>
        <w:t>(Registrant)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 2022</w:t>
      </w:r>
    </w:p>
    <w:p>
      <w:pPr>
        <w:spacing w:after="0" w:line="314"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7"/>
          <w:szCs w:val="17"/>
          <w:color w:val="auto"/>
        </w:rPr>
        <w:t>By:</w:t>
        <w:tab/>
        <w:t>/s/ David M.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33020</wp:posOffset>
            </wp:positionV>
            <wp:extent cx="31616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161665" cy="8255"/>
                    </a:xfrm>
                    <a:prstGeom prst="rect">
                      <a:avLst/>
                    </a:prstGeom>
                    <a:noFill/>
                  </pic:spPr>
                </pic:pic>
              </a:graphicData>
            </a:graphic>
          </wp:anchor>
        </w:drawing>
      </w:r>
    </w:p>
    <w:p>
      <w:pPr>
        <w:spacing w:after="0" w:line="139"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David M. Gray</w:t>
      </w:r>
    </w:p>
    <w:p>
      <w:pPr>
        <w:ind w:left="6280"/>
        <w:spacing w:after="0" w:line="208" w:lineRule="auto"/>
        <w:rPr>
          <w:sz w:val="20"/>
          <w:szCs w:val="20"/>
          <w:color w:val="auto"/>
        </w:rPr>
      </w:pPr>
      <w:r>
        <w:rPr>
          <w:rFonts w:ascii="Arial" w:cs="Arial" w:eastAsia="Arial" w:hAnsi="Arial"/>
          <w:sz w:val="17"/>
          <w:szCs w:val="17"/>
          <w:color w:val="auto"/>
        </w:rPr>
        <w:t>Senior Vice President and Chief Financial Officer (duly authorized</w:t>
      </w:r>
    </w:p>
    <w:p>
      <w:pPr>
        <w:ind w:left="6280"/>
        <w:spacing w:after="0"/>
        <w:rPr>
          <w:sz w:val="20"/>
          <w:szCs w:val="20"/>
          <w:color w:val="auto"/>
        </w:rPr>
      </w:pPr>
      <w:r>
        <w:rPr>
          <w:rFonts w:ascii="Arial" w:cs="Arial" w:eastAsia="Arial" w:hAnsi="Arial"/>
          <w:sz w:val="17"/>
          <w:szCs w:val="17"/>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40"/>
          </w:cols>
          <w:pgMar w:left="320" w:top="129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302(a)</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Peter A. Smith, certify that:</w:t>
      </w:r>
    </w:p>
    <w:p>
      <w:pPr>
        <w:spacing w:after="0" w:line="170" w:lineRule="exact"/>
        <w:rPr>
          <w:sz w:val="20"/>
          <w:szCs w:val="20"/>
          <w:color w:val="auto"/>
        </w:rPr>
      </w:pPr>
    </w:p>
    <w:p>
      <w:pPr>
        <w:ind w:left="640" w:hanging="322"/>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fiscal quarter ended December 31, 2021, of Aviat Networks, Inc.;</w:t>
      </w:r>
    </w:p>
    <w:p>
      <w:pPr>
        <w:spacing w:after="0" w:line="170"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51"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4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7"/>
          <w:szCs w:val="17"/>
          <w:color w:val="auto"/>
        </w:rPr>
      </w:pPr>
    </w:p>
    <w:p>
      <w:pPr>
        <w:ind w:left="1260" w:hanging="315"/>
        <w:spacing w:after="0" w:line="321" w:lineRule="auto"/>
        <w:tabs>
          <w:tab w:leader="none" w:pos="125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260" w:hanging="315"/>
        <w:spacing w:after="0" w:line="272" w:lineRule="auto"/>
        <w:tabs>
          <w:tab w:leader="none" w:pos="124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260" w:hanging="315"/>
        <w:spacing w:after="0" w:line="288" w:lineRule="auto"/>
        <w:tabs>
          <w:tab w:leader="none" w:pos="1251"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260" w:hanging="315"/>
        <w:spacing w:after="0" w:line="288" w:lineRule="auto"/>
        <w:tabs>
          <w:tab w:leader="none" w:pos="1248" w:val="left"/>
        </w:tabs>
        <w:numPr>
          <w:ilvl w:val="1"/>
          <w:numId w:val="1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6300" w:type="dxa"/>
            <w:vAlign w:val="bottom"/>
          </w:tcPr>
          <w:p>
            <w:pPr>
              <w:spacing w:after="0"/>
              <w:rPr>
                <w:sz w:val="20"/>
                <w:szCs w:val="20"/>
                <w:color w:val="auto"/>
              </w:rPr>
            </w:pPr>
            <w:r>
              <w:rPr>
                <w:rFonts w:ascii="Arial" w:cs="Arial" w:eastAsia="Arial" w:hAnsi="Arial"/>
                <w:sz w:val="17"/>
                <w:szCs w:val="17"/>
                <w:color w:val="auto"/>
              </w:rPr>
              <w:t>Date: February 2, 2022</w:t>
            </w:r>
          </w:p>
        </w:tc>
        <w:tc>
          <w:tcPr>
            <w:tcW w:w="47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Peter A. Smith</w:t>
            </w:r>
          </w:p>
        </w:tc>
      </w:tr>
      <w:tr>
        <w:trPr>
          <w:trHeight w:val="215"/>
        </w:trPr>
        <w:tc>
          <w:tcPr>
            <w:tcW w:w="630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Arial" w:cs="Arial" w:eastAsia="Arial" w:hAnsi="Arial"/>
                <w:sz w:val="17"/>
                <w:szCs w:val="17"/>
                <w:color w:val="auto"/>
              </w:rPr>
              <w:t>Name:</w:t>
            </w:r>
          </w:p>
        </w:tc>
        <w:tc>
          <w:tcPr>
            <w:tcW w:w="3960" w:type="dxa"/>
            <w:vAlign w:val="bottom"/>
          </w:tcPr>
          <w:p>
            <w:pPr>
              <w:ind w:left="300"/>
              <w:spacing w:after="0"/>
              <w:rPr>
                <w:sz w:val="20"/>
                <w:szCs w:val="20"/>
                <w:color w:val="auto"/>
              </w:rPr>
            </w:pPr>
            <w:r>
              <w:rPr>
                <w:rFonts w:ascii="Arial" w:cs="Arial" w:eastAsia="Arial" w:hAnsi="Arial"/>
                <w:sz w:val="17"/>
                <w:szCs w:val="17"/>
                <w:color w:val="auto"/>
              </w:rPr>
              <w:t>Peter A. Smith</w:t>
            </w:r>
          </w:p>
        </w:tc>
      </w:tr>
      <w:tr>
        <w:trPr>
          <w:trHeight w:val="222"/>
        </w:trPr>
        <w:tc>
          <w:tcPr>
            <w:tcW w:w="63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Arial" w:cs="Arial" w:eastAsia="Arial" w:hAnsi="Arial"/>
                <w:sz w:val="17"/>
                <w:szCs w:val="17"/>
                <w:color w:val="auto"/>
              </w:rPr>
              <w:t>Title:</w:t>
            </w:r>
          </w:p>
        </w:tc>
        <w:tc>
          <w:tcPr>
            <w:tcW w:w="3960" w:type="dxa"/>
            <w:vAlign w:val="bottom"/>
          </w:tcPr>
          <w:p>
            <w:pPr>
              <w:ind w:left="300"/>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240"/>
          </w:cols>
          <w:pgMar w:left="320" w:top="866"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t>Exhibit 31.2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302(a)</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David M. Gray, certify that:</w:t>
      </w:r>
    </w:p>
    <w:p>
      <w:pPr>
        <w:spacing w:after="0" w:line="170" w:lineRule="exact"/>
        <w:rPr>
          <w:sz w:val="20"/>
          <w:szCs w:val="20"/>
          <w:color w:val="auto"/>
        </w:rPr>
      </w:pPr>
    </w:p>
    <w:p>
      <w:pPr>
        <w:ind w:left="640" w:hanging="322"/>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fiscal quarter ended December 31, 2021, of Aviat Networks, Inc.;</w:t>
      </w:r>
    </w:p>
    <w:p>
      <w:pPr>
        <w:spacing w:after="0" w:line="170"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51"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4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7"/>
          <w:szCs w:val="17"/>
          <w:color w:val="auto"/>
        </w:rPr>
      </w:pPr>
    </w:p>
    <w:p>
      <w:pPr>
        <w:ind w:left="1260" w:hanging="315"/>
        <w:spacing w:after="0" w:line="321" w:lineRule="auto"/>
        <w:tabs>
          <w:tab w:leader="none" w:pos="125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260" w:hanging="315"/>
        <w:spacing w:after="0" w:line="272" w:lineRule="auto"/>
        <w:tabs>
          <w:tab w:leader="none" w:pos="124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260" w:hanging="315"/>
        <w:spacing w:after="0" w:line="288" w:lineRule="auto"/>
        <w:tabs>
          <w:tab w:leader="none" w:pos="1251"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260" w:hanging="315"/>
        <w:spacing w:after="0" w:line="288" w:lineRule="auto"/>
        <w:tabs>
          <w:tab w:leader="none" w:pos="1248"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5500" w:type="dxa"/>
            <w:vAlign w:val="bottom"/>
          </w:tcPr>
          <w:p>
            <w:pPr>
              <w:spacing w:after="0"/>
              <w:rPr>
                <w:sz w:val="20"/>
                <w:szCs w:val="20"/>
                <w:color w:val="auto"/>
              </w:rPr>
            </w:pPr>
            <w:r>
              <w:rPr>
                <w:rFonts w:ascii="Arial" w:cs="Arial" w:eastAsia="Arial" w:hAnsi="Arial"/>
                <w:sz w:val="17"/>
                <w:szCs w:val="17"/>
                <w:color w:val="auto"/>
              </w:rPr>
              <w:t>Date: February 2, 2022</w:t>
            </w:r>
          </w:p>
        </w:tc>
        <w:tc>
          <w:tcPr>
            <w:tcW w:w="55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David M. Gray</w:t>
            </w:r>
          </w:p>
        </w:tc>
      </w:tr>
      <w:tr>
        <w:trPr>
          <w:trHeight w:val="215"/>
        </w:trPr>
        <w:tc>
          <w:tcPr>
            <w:tcW w:w="550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7"/>
                <w:szCs w:val="17"/>
                <w:color w:val="auto"/>
              </w:rPr>
              <w:t>Name:</w:t>
            </w:r>
          </w:p>
        </w:tc>
        <w:tc>
          <w:tcPr>
            <w:tcW w:w="4860" w:type="dxa"/>
            <w:vAlign w:val="bottom"/>
          </w:tcPr>
          <w:p>
            <w:pPr>
              <w:ind w:left="200"/>
              <w:spacing w:after="0"/>
              <w:rPr>
                <w:sz w:val="20"/>
                <w:szCs w:val="20"/>
                <w:color w:val="auto"/>
              </w:rPr>
            </w:pPr>
            <w:r>
              <w:rPr>
                <w:rFonts w:ascii="Arial" w:cs="Arial" w:eastAsia="Arial" w:hAnsi="Arial"/>
                <w:sz w:val="17"/>
                <w:szCs w:val="17"/>
                <w:color w:val="auto"/>
              </w:rPr>
              <w:t>David M. Gray</w:t>
            </w:r>
          </w:p>
        </w:tc>
      </w:tr>
      <w:tr>
        <w:trPr>
          <w:trHeight w:val="222"/>
        </w:trPr>
        <w:tc>
          <w:tcPr>
            <w:tcW w:w="550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7"/>
                <w:szCs w:val="17"/>
                <w:color w:val="auto"/>
              </w:rPr>
              <w:t>Title:</w:t>
            </w:r>
          </w:p>
        </w:tc>
        <w:tc>
          <w:tcPr>
            <w:tcW w:w="4860" w:type="dxa"/>
            <w:vAlign w:val="bottom"/>
          </w:tcPr>
          <w:p>
            <w:pPr>
              <w:ind w:left="200"/>
              <w:spacing w:after="0"/>
              <w:rPr>
                <w:sz w:val="20"/>
                <w:szCs w:val="20"/>
                <w:color w:val="auto"/>
              </w:rPr>
            </w:pPr>
            <w:r>
              <w:rPr>
                <w:rFonts w:ascii="Arial" w:cs="Arial" w:eastAsia="Arial" w:hAnsi="Arial"/>
                <w:sz w:val="17"/>
                <w:szCs w:val="17"/>
                <w:color w:val="auto"/>
              </w:rPr>
              <w:t>Senior Vice President and Chief Financial Officer</w:t>
            </w:r>
          </w:p>
        </w:tc>
      </w:tr>
    </w:tbl>
    <w:p>
      <w:pPr>
        <w:sectPr>
          <w:pgSz w:w="11900" w:h="16838" w:orient="portrait"/>
          <w:cols w:equalWidth="0" w:num="1">
            <w:col w:w="11240"/>
          </w:cols>
          <w:pgMar w:left="320" w:top="866"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7"/>
          <w:szCs w:val="17"/>
          <w:b w:val="1"/>
          <w:bCs w:val="1"/>
          <w:color w:val="auto"/>
        </w:rPr>
        <w:t>Exhibit 32.1</w:t>
      </w:r>
    </w:p>
    <w:p>
      <w:pPr>
        <w:spacing w:after="0" w:line="301" w:lineRule="exact"/>
        <w:rPr>
          <w:sz w:val="20"/>
          <w:szCs w:val="20"/>
          <w:color w:val="auto"/>
        </w:rPr>
      </w:pPr>
    </w:p>
    <w:p>
      <w:pPr>
        <w:jc w:val="center"/>
        <w:spacing w:after="0" w:line="333" w:lineRule="auto"/>
        <w:rPr>
          <w:sz w:val="20"/>
          <w:szCs w:val="20"/>
          <w:color w:val="auto"/>
        </w:rPr>
      </w:pPr>
      <w:r>
        <w:rPr>
          <w:rFonts w:ascii="Arial" w:cs="Arial" w:eastAsia="Arial" w:hAnsi="Arial"/>
          <w:sz w:val="17"/>
          <w:szCs w:val="17"/>
          <w:b w:val="1"/>
          <w:bCs w:val="1"/>
          <w:color w:val="auto"/>
        </w:rPr>
        <w:t>CERTIFICATIONS OF CHIEF EXECUTIVE OFFICER AND PRINCIPAL FINANCIAL OFFICER OF AVIAT NETWORKS, INC. PURSUANT TO TITLE 18 OF THE UNITED STATES CODE SECTION 1350, AS ADOPTED PURSUANT TO SECTION 906 OF THE SARBANES-OXLEY ACT OF 2002</w:t>
      </w:r>
    </w:p>
    <w:p>
      <w:pPr>
        <w:spacing w:after="0" w:line="35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connection with the filing of the Quarterly Report on Form 10-Q of Aviat Networks, Inc. (“Aviat Networks”) for the fiscal quarter ended December 31, 2021, as filed with the Securities and Exchange Commission on the date hereof (the “Report”), we, Peter A. Smith, President and Chief Executive Officer of Aviat Networks, and David M. Gray, Senior Vice President and Chief Financial Officer of Aviat Networks, hereby certify, pursuant to Section 906 of the Sarbanes-Oxley Act of 2002, 18 U.S.C. §1350, that:</w:t>
      </w:r>
    </w:p>
    <w:p>
      <w:pPr>
        <w:spacing w:after="0" w:line="136" w:lineRule="exact"/>
        <w:rPr>
          <w:sz w:val="20"/>
          <w:szCs w:val="20"/>
          <w:color w:val="auto"/>
        </w:rPr>
      </w:pPr>
    </w:p>
    <w:p>
      <w:pPr>
        <w:ind w:left="640" w:hanging="322"/>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8" w:lineRule="exact"/>
        <w:rPr>
          <w:rFonts w:ascii="Arial" w:cs="Arial" w:eastAsia="Arial" w:hAnsi="Arial"/>
          <w:sz w:val="16"/>
          <w:szCs w:val="16"/>
          <w:color w:val="auto"/>
        </w:rPr>
      </w:pPr>
    </w:p>
    <w:p>
      <w:pPr>
        <w:ind w:left="640" w:hanging="322"/>
        <w:spacing w:after="0" w:line="288"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376" w:lineRule="exact"/>
        <w:rPr>
          <w:sz w:val="20"/>
          <w:szCs w:val="20"/>
          <w:color w:val="auto"/>
        </w:rPr>
      </w:pPr>
    </w:p>
    <w:tbl>
      <w:tblPr>
        <w:tblLayout w:type="fixed"/>
        <w:tblInd w:w="180" w:type="dxa"/>
        <w:tblCellMar>
          <w:top w:w="0" w:type="dxa"/>
          <w:left w:w="0" w:type="dxa"/>
          <w:bottom w:w="0" w:type="dxa"/>
          <w:right w:w="0" w:type="dxa"/>
        </w:tblCellMar>
      </w:tblPr>
      <w:tr>
        <w:trPr>
          <w:trHeight w:val="196"/>
        </w:trPr>
        <w:tc>
          <w:tcPr>
            <w:tcW w:w="5840" w:type="dxa"/>
            <w:vAlign w:val="bottom"/>
          </w:tcPr>
          <w:p>
            <w:pPr>
              <w:spacing w:after="0"/>
              <w:rPr>
                <w:sz w:val="20"/>
                <w:szCs w:val="20"/>
                <w:color w:val="auto"/>
              </w:rPr>
            </w:pPr>
            <w:r>
              <w:rPr>
                <w:rFonts w:ascii="Arial" w:cs="Arial" w:eastAsia="Arial" w:hAnsi="Arial"/>
                <w:sz w:val="17"/>
                <w:szCs w:val="17"/>
                <w:color w:val="auto"/>
              </w:rPr>
              <w:t>Date:</w:t>
            </w:r>
          </w:p>
        </w:tc>
        <w:tc>
          <w:tcPr>
            <w:tcW w:w="5080" w:type="dxa"/>
            <w:vAlign w:val="bottom"/>
          </w:tcPr>
          <w:p>
            <w:pPr>
              <w:spacing w:after="0"/>
              <w:rPr>
                <w:sz w:val="17"/>
                <w:szCs w:val="17"/>
                <w:color w:val="auto"/>
              </w:rPr>
            </w:pPr>
          </w:p>
        </w:tc>
      </w:tr>
      <w:tr>
        <w:trPr>
          <w:trHeight w:val="221"/>
        </w:trPr>
        <w:tc>
          <w:tcPr>
            <w:tcW w:w="5840" w:type="dxa"/>
            <w:vAlign w:val="bottom"/>
          </w:tcPr>
          <w:p>
            <w:pPr>
              <w:ind w:left="660"/>
              <w:spacing w:after="0"/>
              <w:rPr>
                <w:sz w:val="20"/>
                <w:szCs w:val="20"/>
                <w:color w:val="auto"/>
              </w:rPr>
            </w:pPr>
            <w:r>
              <w:rPr>
                <w:rFonts w:ascii="Arial" w:cs="Arial" w:eastAsia="Arial" w:hAnsi="Arial"/>
                <w:sz w:val="17"/>
                <w:szCs w:val="17"/>
                <w:color w:val="auto"/>
              </w:rPr>
              <w:t>February 2, 2022</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Peter A. Smith</w:t>
            </w:r>
          </w:p>
        </w:tc>
      </w:tr>
      <w:tr>
        <w:trPr>
          <w:trHeight w:val="215"/>
        </w:trPr>
        <w:tc>
          <w:tcPr>
            <w:tcW w:w="58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Name: Peter A. Smith</w:t>
            </w:r>
          </w:p>
        </w:tc>
      </w:tr>
      <w:tr>
        <w:trPr>
          <w:trHeight w:val="222"/>
        </w:trPr>
        <w:tc>
          <w:tcPr>
            <w:tcW w:w="58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Title: President and Chief Executive Officer</w:t>
            </w:r>
          </w:p>
        </w:tc>
      </w:tr>
      <w:tr>
        <w:trPr>
          <w:trHeight w:val="419"/>
        </w:trPr>
        <w:tc>
          <w:tcPr>
            <w:tcW w:w="5840" w:type="dxa"/>
            <w:vAlign w:val="bottom"/>
          </w:tcPr>
          <w:p>
            <w:pPr>
              <w:spacing w:after="0"/>
              <w:rPr>
                <w:sz w:val="20"/>
                <w:szCs w:val="20"/>
                <w:color w:val="auto"/>
              </w:rPr>
            </w:pPr>
            <w:r>
              <w:rPr>
                <w:rFonts w:ascii="Arial" w:cs="Arial" w:eastAsia="Arial" w:hAnsi="Arial"/>
                <w:sz w:val="17"/>
                <w:szCs w:val="17"/>
                <w:color w:val="auto"/>
              </w:rPr>
              <w:t>Date:</w:t>
            </w:r>
          </w:p>
        </w:tc>
        <w:tc>
          <w:tcPr>
            <w:tcW w:w="5080" w:type="dxa"/>
            <w:vAlign w:val="bottom"/>
          </w:tcPr>
          <w:p>
            <w:pPr>
              <w:spacing w:after="0"/>
              <w:rPr>
                <w:sz w:val="24"/>
                <w:szCs w:val="24"/>
                <w:color w:val="auto"/>
              </w:rPr>
            </w:pPr>
          </w:p>
        </w:tc>
      </w:tr>
      <w:tr>
        <w:trPr>
          <w:trHeight w:val="221"/>
        </w:trPr>
        <w:tc>
          <w:tcPr>
            <w:tcW w:w="5840" w:type="dxa"/>
            <w:vAlign w:val="bottom"/>
          </w:tcPr>
          <w:p>
            <w:pPr>
              <w:ind w:left="660"/>
              <w:spacing w:after="0"/>
              <w:rPr>
                <w:sz w:val="20"/>
                <w:szCs w:val="20"/>
                <w:color w:val="auto"/>
              </w:rPr>
            </w:pPr>
            <w:r>
              <w:rPr>
                <w:rFonts w:ascii="Arial" w:cs="Arial" w:eastAsia="Arial" w:hAnsi="Arial"/>
                <w:sz w:val="17"/>
                <w:szCs w:val="17"/>
                <w:color w:val="auto"/>
              </w:rPr>
              <w:t>February 2, 2022</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M. Gray</w:t>
            </w:r>
          </w:p>
        </w:tc>
      </w:tr>
      <w:tr>
        <w:trPr>
          <w:trHeight w:val="215"/>
        </w:trPr>
        <w:tc>
          <w:tcPr>
            <w:tcW w:w="58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Name: David M. Gray</w:t>
            </w:r>
          </w:p>
        </w:tc>
      </w:tr>
      <w:tr>
        <w:trPr>
          <w:trHeight w:val="222"/>
        </w:trPr>
        <w:tc>
          <w:tcPr>
            <w:tcW w:w="58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Title: 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0" Type="http://schemas.openxmlformats.org/officeDocument/2006/relationships/hyperlink" Target="http://www.sec.gov/Archives/edgar/data/1377789/000137778917000022/avnwexhibit31amendedandres.htm" TargetMode="External"/><Relationship Id="rId51" Type="http://schemas.openxmlformats.org/officeDocument/2006/relationships/hyperlink" Target="http://www.sec.gov/Archives/edgar/data/1377789/000137778920000079/bylawupdate923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2022-02-02T15:20:22Z</dcterms:created>
  <dcterms:modified xsi:type="dcterms:W3CDTF">2022-02-02T15:20:22Z</dcterms:modified>
</cp:coreProperties>
</file>