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500" w:right="320" w:hanging="465"/>
        <w:spacing w:after="0" w:line="262"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27, 2019</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500" w:right="300" w:hanging="451"/>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416560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9"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4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80" w:type="dxa"/>
            <w:vAlign w:val="bottom"/>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780" w:type="dxa"/>
            <w:vAlign w:val="bottom"/>
          </w:tcPr>
          <w:p>
            <w:pPr>
              <w:jc w:val="center"/>
              <w:ind w:left="1214"/>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98"/>
        </w:trPr>
        <w:tc>
          <w:tcPr>
            <w:tcW w:w="54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w w:val="99"/>
              </w:rPr>
              <w:t>860 N. McCarthy Blvd., Suite 200, Milpitas, California</w:t>
            </w:r>
          </w:p>
        </w:tc>
        <w:tc>
          <w:tcPr>
            <w:tcW w:w="378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780" w:type="dxa"/>
            <w:vAlign w:val="bottom"/>
          </w:tcPr>
          <w:p>
            <w:pPr>
              <w:jc w:val="center"/>
              <w:ind w:left="121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changes</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ind w:left="476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9" w:lineRule="exact"/>
        <w:rPr>
          <w:sz w:val="24"/>
          <w:szCs w:val="24"/>
          <w:color w:val="auto"/>
        </w:rPr>
      </w:pPr>
    </w:p>
    <w:p>
      <w:pPr>
        <w:ind w:right="420"/>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1"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t>
            </w:r>
          </w:p>
        </w:tc>
        <w:tc>
          <w:tcPr>
            <w:tcW w:w="5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o</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5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x</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t>
            </w:r>
          </w:p>
        </w:tc>
        <w:tc>
          <w:tcPr>
            <w:tcW w:w="50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17"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tabs>
          <w:tab w:leader="none" w:pos="8340" w:val="left"/>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 o</w:t>
        <w:tab/>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8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registered pursuant to Section 12(b) of the Act:</w:t>
      </w:r>
    </w:p>
    <w:p>
      <w:pPr>
        <w:sectPr>
          <w:pgSz w:w="11900" w:h="16838" w:orient="portrait"/>
          <w:cols w:equalWidth="0" w:num="1">
            <w:col w:w="10900"/>
          </w:cols>
          <w:pgMar w:left="240" w:top="1053" w:right="759" w:bottom="1440" w:gutter="0" w:footer="0" w:header="0"/>
        </w:sectPr>
      </w:pP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9" w:lineRule="exact"/>
        <w:rPr>
          <w:sz w:val="20"/>
          <w:szCs w:val="20"/>
          <w:color w:val="auto"/>
        </w:rPr>
      </w:pPr>
    </w:p>
    <w:p>
      <w:pPr>
        <w:sectPr>
          <w:pgSz w:w="11900" w:h="16838" w:orient="portrait"/>
          <w:cols w:equalWidth="0" w:num="3">
            <w:col w:w="3720" w:space="720"/>
            <w:col w:w="2220" w:space="720"/>
            <w:col w:w="3520"/>
          </w:cols>
          <w:pgMar w:left="240" w:top="1053" w:right="759" w:bottom="1440" w:gutter="0" w:footer="0" w:header="0"/>
          <w:type w:val="continuous"/>
        </w:sectPr>
      </w:pPr>
    </w:p>
    <w:p>
      <w:pPr>
        <w:ind w:left="1160"/>
        <w:spacing w:after="0"/>
        <w:tabs>
          <w:tab w:leader="none" w:pos="4860" w:val="left"/>
          <w:tab w:leader="none" w:pos="790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18"/>
          <w:szCs w:val="18"/>
          <w:color w:val="auto"/>
        </w:rPr>
        <w:t>AVNW</w:t>
      </w:r>
      <w:r>
        <w:rPr>
          <w:sz w:val="20"/>
          <w:szCs w:val="20"/>
          <w:color w:val="auto"/>
        </w:rPr>
        <w:tab/>
      </w:r>
      <w:r>
        <w:rPr>
          <w:rFonts w:ascii="Times New Roman" w:cs="Times New Roman" w:eastAsia="Times New Roman" w:hAnsi="Times New Roman"/>
          <w:sz w:val="17"/>
          <w:szCs w:val="17"/>
          <w:color w:val="auto"/>
        </w:rPr>
        <w:t>The Nasdaq Global Select Market</w:t>
      </w:r>
    </w:p>
    <w:p>
      <w:pPr>
        <w:sectPr>
          <w:pgSz w:w="11900" w:h="16838" w:orient="portrait"/>
          <w:cols w:equalWidth="0" w:num="1">
            <w:col w:w="10900"/>
          </w:cols>
          <w:pgMar w:left="240" w:top="1053" w:right="7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October 31, 2019 was 5,426,886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053" w:right="759"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2019</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9"/>
        </w:trPr>
        <w:tc>
          <w:tcPr>
            <w:tcW w:w="1046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b w:val="1"/>
                <w:bCs w:val="1"/>
                <w:color w:val="auto"/>
              </w:rPr>
            </w:pPr>
            <w:hyperlink w:anchor="page4">
              <w:r>
                <w:rPr>
                  <w:rFonts w:ascii="Times New Roman" w:cs="Times New Roman" w:eastAsia="Times New Roman" w:hAnsi="Times New Roman"/>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 Financial Statements</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Condensed Consolidated Statements of Operations (Unaudited)</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Condensed Consolidated Statements of Comprehensive Income (Loss) (Unaudited)</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Condensed Consolidated Statements of Cash Flows (Unaudited)</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Condensed Consolidated Statements of Equity (Unaudited)</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Notes to Condensed Consolidated Financial Statements (Unaudited)</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10</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Item 2. Management’s Discussion and Analysis of Financial Condition and Results of Operations</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3. Quantitative and Qualitative Disclosures About Market Risk</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4. Controls and Procedures</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30</w:t>
              </w:r>
            </w:hyperlink>
          </w:p>
        </w:tc>
        <w:tc>
          <w:tcPr>
            <w:tcW w:w="0" w:type="dxa"/>
            <w:vAlign w:val="bottom"/>
          </w:tcPr>
          <w:p>
            <w:pPr>
              <w:spacing w:after="0"/>
              <w:rPr>
                <w:sz w:val="1"/>
                <w:szCs w:val="1"/>
                <w:color w:val="auto"/>
              </w:rPr>
            </w:pPr>
          </w:p>
        </w:tc>
      </w:tr>
      <w:tr>
        <w:trPr>
          <w:trHeight w:val="243"/>
        </w:trPr>
        <w:tc>
          <w:tcPr>
            <w:tcW w:w="10460" w:type="dxa"/>
            <w:vAlign w:val="bottom"/>
          </w:tcPr>
          <w:p>
            <w:pPr>
              <w:ind w:left="20"/>
              <w:spacing w:after="0"/>
              <w:rPr>
                <w:rFonts w:ascii="Times New Roman" w:cs="Times New Roman" w:eastAsia="Times New Roman" w:hAnsi="Times New Roman"/>
                <w:sz w:val="18"/>
                <w:szCs w:val="18"/>
                <w:b w:val="1"/>
                <w:bCs w:val="1"/>
                <w:color w:val="auto"/>
              </w:rPr>
            </w:pPr>
            <w:hyperlink w:anchor="page33">
              <w:r>
                <w:rPr>
                  <w:rFonts w:ascii="Times New Roman" w:cs="Times New Roman" w:eastAsia="Times New Roman" w:hAnsi="Times New Roman"/>
                  <w:sz w:val="18"/>
                  <w:szCs w:val="18"/>
                  <w:b w:val="1"/>
                  <w:bCs w:val="1"/>
                  <w:color w:val="auto"/>
                </w:rPr>
                <w:t>Part II. Other Information</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1. Legal Proceedings</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1A. Risk Factors</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2. Unregistered Sales of Equity Securities and Use of Proceeds</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3. Defaults upon Senior Securities</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4. Mine Safety Disclosures</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43"/>
        </w:trPr>
        <w:tc>
          <w:tcPr>
            <w:tcW w:w="10460" w:type="dxa"/>
            <w:vAlign w:val="bottom"/>
          </w:tcPr>
          <w:p>
            <w:pPr>
              <w:ind w:left="38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5. Other Information</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Item 6. Exhibits</w:t>
              </w:r>
            </w:hyperlink>
          </w:p>
        </w:tc>
        <w:tc>
          <w:tcPr>
            <w:tcW w:w="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c>
          <w:tcPr>
            <w:tcW w:w="0" w:type="dxa"/>
            <w:vAlign w:val="bottom"/>
          </w:tcPr>
          <w:p>
            <w:pPr>
              <w:spacing w:after="0"/>
              <w:rPr>
                <w:sz w:val="1"/>
                <w:szCs w:val="1"/>
                <w:color w:val="auto"/>
              </w:rPr>
            </w:pPr>
          </w:p>
        </w:tc>
      </w:tr>
      <w:tr>
        <w:trPr>
          <w:trHeight w:val="243"/>
        </w:trPr>
        <w:tc>
          <w:tcPr>
            <w:tcW w:w="10460" w:type="dxa"/>
            <w:vAlign w:val="bottom"/>
          </w:tcPr>
          <w:p>
            <w:pPr>
              <w:ind w:left="20"/>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Signatures</w:t>
              </w:r>
            </w:hyperlink>
          </w:p>
        </w:tc>
        <w:tc>
          <w:tcPr>
            <w:tcW w:w="540" w:type="dxa"/>
            <w:vAlign w:val="bottom"/>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33</w:t>
              </w:r>
            </w:hyperlink>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540" w:type="dxa"/>
            <w:vAlign w:val="bottom"/>
            <w:shd w:val="clear" w:color="auto" w:fill="CCEEFF"/>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33</w:t>
              </w:r>
            </w:hyperlink>
          </w:p>
        </w:tc>
        <w:tc>
          <w:tcPr>
            <w:tcW w:w="0" w:type="dxa"/>
            <w:vAlign w:val="bottom"/>
          </w:tcPr>
          <w:p>
            <w:pPr>
              <w:spacing w:after="0"/>
              <w:rPr>
                <w:sz w:val="1"/>
                <w:szCs w:val="1"/>
                <w:color w:val="auto"/>
              </w:rPr>
            </w:pPr>
          </w:p>
        </w:tc>
      </w:tr>
      <w:tr>
        <w:trPr>
          <w:trHeight w:val="223"/>
        </w:trPr>
        <w:tc>
          <w:tcPr>
            <w:tcW w:w="10460" w:type="dxa"/>
            <w:vAlign w:val="bottom"/>
            <w:tcBorders>
              <w:bottom w:val="single" w:sz="8" w:color="CCEEFF"/>
            </w:tcBorders>
            <w:vMerge w:val="continue"/>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576" w:right="439" w:bottom="1440" w:gutter="0" w:footer="0" w:header="0"/>
        </w:sectPr>
      </w:pPr>
    </w:p>
    <w:bookmarkStart w:id="3" w:name="page4"/>
    <w:bookmarkEnd w:id="3"/>
    <w:p>
      <w:pPr>
        <w:jc w:val="right"/>
        <w:ind w:right="2879"/>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90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amounts)</w:t>
            </w: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3"/>
                <w:szCs w:val="13"/>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31,946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51,937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27,780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125,997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12,077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176,333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169,193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22,555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82,211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revenue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97,677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none issued</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$0.01 par value, 300,000,000 shares authorized, 5,444,671 shares issued and outstanding at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September 27, 2019; 5,359,695 shares issued and outstanding at June 28, 2019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814,113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815,196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(730,998)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69,974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71,516</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176,333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169,193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Pr>
          <w:p>
            <w:pPr>
              <w:spacing w:after="0"/>
              <w:rPr>
                <w:sz w:val="12"/>
                <w:szCs w:val="12"/>
                <w:color w:val="auto"/>
              </w:rPr>
            </w:pPr>
          </w:p>
        </w:tc>
        <w:tc>
          <w:tcPr>
            <w:tcW w:w="15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2"/>
                <w:szCs w:val="12"/>
                <w:color w:val="auto"/>
              </w:rPr>
            </w:pPr>
          </w:p>
        </w:tc>
        <w:tc>
          <w:tcPr>
            <w:tcW w:w="144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39,125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21,379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58,614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60,504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15,780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36,058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17,925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21,037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19,439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Provision for (benefit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84"/>
        </w:trPr>
        <w:tc>
          <w:tcPr>
            <w:tcW w:w="7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outstanding:</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38"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12"/>
                <w:szCs w:val="12"/>
                <w:color w:val="auto"/>
              </w:rPr>
            </w:pPr>
          </w:p>
        </w:tc>
        <w:tc>
          <w:tcPr>
            <w:tcW w:w="1360" w:type="dxa"/>
            <w:vAlign w:val="bottom"/>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20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Recovery from uncollectible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disposition of 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for repurchase of Company stock</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37,764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34,740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5560" w:type="dxa"/>
            <w:vAlign w:val="bottom"/>
            <w:gridSpan w:val="15"/>
          </w:tcPr>
          <w:p>
            <w:pPr>
              <w:jc w:val="center"/>
              <w:ind w:left="496"/>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6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September 27, 2019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7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5"/>
                <w:szCs w:val="15"/>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49"/>
        </w:trPr>
        <w:tc>
          <w:tcPr>
            <w:tcW w:w="26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28, 2019</w:t>
            </w: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5,359,695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815,196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(730,998)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(12,736)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71,516</w:t>
            </w:r>
          </w:p>
        </w:tc>
        <w:tc>
          <w:tcPr>
            <w:tcW w:w="0" w:type="dxa"/>
            <w:vAlign w:val="bottom"/>
          </w:tcPr>
          <w:p>
            <w:pPr>
              <w:spacing w:after="0"/>
              <w:rPr>
                <w:sz w:val="1"/>
                <w:szCs w:val="1"/>
                <w:color w:val="auto"/>
              </w:rPr>
            </w:pPr>
          </w:p>
        </w:tc>
      </w:tr>
      <w:tr>
        <w:trPr>
          <w:trHeight w:val="27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262"/>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under employee</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stock plans</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192,812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4"/>
        </w:trPr>
        <w:tc>
          <w:tcPr>
            <w:tcW w:w="266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Shares withheld for taxes related to vesting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equity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0" w:type="dxa"/>
            <w:vAlign w:val="bottom"/>
          </w:tcPr>
          <w:p>
            <w:pPr>
              <w:spacing w:after="0"/>
              <w:rPr>
                <w:sz w:val="1"/>
                <w:szCs w:val="1"/>
                <w:color w:val="auto"/>
              </w:rPr>
            </w:pPr>
          </w:p>
        </w:tc>
      </w:tr>
      <w:tr>
        <w:trPr>
          <w:trHeight w:val="258"/>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shd w:val="clear" w:color="auto" w:fill="CCEEFF"/>
              </w:rPr>
              <w:t>Stock repurchase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0" w:type="dxa"/>
            <w:vAlign w:val="bottom"/>
          </w:tcPr>
          <w:p>
            <w:pPr>
              <w:spacing w:after="0"/>
              <w:rPr>
                <w:sz w:val="1"/>
                <w:szCs w:val="1"/>
                <w:color w:val="auto"/>
              </w:rPr>
            </w:pPr>
          </w:p>
        </w:tc>
      </w:tr>
      <w:tr>
        <w:trPr>
          <w:trHeight w:val="264"/>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237"/>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Balance as of September 27, 2019</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5,444,671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814,113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(730,944)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69,974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6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September 28, 2018</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7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5"/>
                <w:szCs w:val="15"/>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49"/>
        </w:trPr>
        <w:tc>
          <w:tcPr>
            <w:tcW w:w="26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29, 2018</w:t>
            </w: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5,351,155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816,426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(746,359)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(12,605)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57,516</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Cumulative-effect adjustment for ASC Topic</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606</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5,622</w:t>
            </w:r>
          </w:p>
        </w:tc>
        <w:tc>
          <w:tcPr>
            <w:tcW w:w="0" w:type="dxa"/>
            <w:vAlign w:val="bottom"/>
          </w:tcPr>
          <w:p>
            <w:pPr>
              <w:spacing w:after="0"/>
              <w:rPr>
                <w:sz w:val="1"/>
                <w:szCs w:val="1"/>
                <w:color w:val="auto"/>
              </w:rPr>
            </w:pPr>
          </w:p>
        </w:tc>
      </w:tr>
      <w:tr>
        <w:trPr>
          <w:trHeight w:val="262"/>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27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44"/>
        </w:trPr>
        <w:tc>
          <w:tcPr>
            <w:tcW w:w="266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 plans</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22,202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7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repurchase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264"/>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242"/>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28, 2018</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5,349,778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816,483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(741,487)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62,324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19"/>
          </w:cols>
          <w:pgMar w:left="240" w:top="576" w:right="1440" w:bottom="1440" w:gutter="0" w:footer="0" w:header="0"/>
        </w:sectPr>
      </w:pPr>
    </w:p>
    <w:bookmarkStart w:id="9" w:name="page10"/>
    <w:bookmarkEnd w:id="9"/>
    <w:p>
      <w:pPr>
        <w:ind w:left="46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28, 2019.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months ended September 27, 2019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28, 2019.</w:t>
      </w:r>
    </w:p>
    <w:p>
      <w:pPr>
        <w:spacing w:after="0" w:line="13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on a 52-week or 53-week year ending on the Friday closest to June 30. The first quarter of fiscal 2020 and fiscal 2019 included 13 weeks in each quarter. Fiscal year 2020 will be comprised of 53 weeks and will end on July 3,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lease liabilities, restructuring obligations, product warranty obligations, share-based awards, contingencies, recoverability of long-lived assets and useful lives of property, plant and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of and for the three months ended September 27, 2019, as compared to the significant accounting policies described in our Annual Report on Form 10-K for the fiscal year ended June 28, 2019, with the exception of our adoption of Accounting Standards Update No. 2016-02, Leases (Topic 842) (ASU 2016-02) (“ASC 842”). See Note 4, “Leases” to the Notes to unaudited condensed consolidated financial statements for discussion of the impact of the adoption of this standard on our policies for leases.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ASC 842,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We adopted ASC 842, effective June 29, 2019, using the modified retrospective transition method with the cumulative effect recognized as an adjustment to the opening balance of our accumulated deficit. Prior-period financial statements were not retrospectively restated. We elected the package of practical expedients permitted under the transition guidance, which allowed us to carryforward our historical lease classification, assessment on whether a contract was or contains a lease, and initial direct costs for leases that existed prior to June 28, 2019. We also elected not to recognize right-of-use (“ROU”) assets and lease liabilities for leases with an initial term of 12 months or less. We elected not to apply the hindsight practical expedient when determining lease term and assessing impairment of ROU assets. See Note 4, “Leases” to the Notes to our unaudited condensed consolidated financial statements for more information.</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 Improvement to Nonemployees Share-Based Payment Accounting</w:t>
      </w:r>
      <w:r>
        <w:rPr>
          <w:rFonts w:ascii="Times New Roman" w:cs="Times New Roman" w:eastAsia="Times New Roman" w:hAnsi="Times New Roman"/>
          <w:sz w:val="18"/>
          <w:szCs w:val="18"/>
          <w:color w:val="auto"/>
        </w:rPr>
        <w:t xml:space="preserve"> (ASU 2018-07), which expands the scope of Topic 718 to include all share-based payment 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This ASU is effective for fiscal years beginning after December 15, 2018. We adopted this update during the first quarter of fiscal 2020. The adoption had no material impact on our unaudited condensed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This guidance aligns the requirements for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incurred in a hosting arrangement that is a service contract with the requirements for capitalizing implementation costs incurred to develop or obtain internal-use software. This standard will become effective for interim and annual periods beginning after December 15, 2019, with early adoption permitted. The standard can be adopted either using the prospective or retrospective transition approach. We are evaluating the effect the adoption of the standard will have on our unaudited condensed consolidated financial statements.</w:t>
      </w:r>
    </w:p>
    <w:p>
      <w:pPr>
        <w:spacing w:after="0" w:line="129"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(ASU 2018-13). The update eliminates, adds, and modifies certain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ASU 2018-13 will be effective for us in our first quarter of fiscal 2021 and early adoption is permitted of the entire standard or only the provisions that eliminate or modify disclosure requirements. We are evaluating the impact the adoption of ASU 2018-13 will have on our unaudited condensed consolidated financial statements.</w:t>
      </w:r>
    </w:p>
    <w:p>
      <w:pPr>
        <w:spacing w:after="0" w:line="193" w:lineRule="exact"/>
        <w:rPr>
          <w:sz w:val="20"/>
          <w:szCs w:val="20"/>
          <w:color w:val="auto"/>
        </w:rPr>
      </w:pPr>
    </w:p>
    <w:p>
      <w:pPr>
        <w:jc w:val="both"/>
        <w:ind w:firstLine="513"/>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and also issued subsequent amendments to the initial guidance: ASU 2018-19, ASU 2019-04, and ASU 2019-05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326). Topic 326 requires measurement and recognition of expected credit losses for financial assets held. Topic 326 will be effective for us in our first quarter of fiscal 2021, and earlier adoption is permitted. We are evaluating the impact the adoption of Topic 326 will have on our unaudited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(Loss) Per Share of Common Stock</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income (loss)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38" w:right="2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attributable to our common stockholders: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2"/>
                <w:szCs w:val="12"/>
                <w:color w:val="auto"/>
              </w:rPr>
            </w:pPr>
          </w:p>
        </w:tc>
        <w:tc>
          <w:tcPr>
            <w:tcW w:w="12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311"/>
        </w:trPr>
        <w:tc>
          <w:tcPr>
            <w:tcW w:w="8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(loss) per share calculations since they were anti-dilutive: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8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product sales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services includes certain installation, extended warranty, customer support, consulting, training, and education. Maintenance and support services are generally offered to our customers over a specified period of time and from sales and subsequent renewals of maintenance and support contracts. The services noted are recognized based on an over-time recognition model using the cost input method.</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Revenues related to certain contracts for customized network solutions are recognized over time using the cost input method. In using this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42" w:right="2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the unaudited condensed consolidated balance sheet.</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present transactional taxes such as sales and use tax collected from customers and remitted to government authorities on a net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Bill-and-Hold Sales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6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w:t>
      </w:r>
    </w:p>
    <w:p>
      <w:pPr>
        <w:jc w:val="both"/>
        <w:spacing w:after="0" w:line="261" w:lineRule="auto"/>
        <w:rPr>
          <w:sz w:val="20"/>
          <w:szCs w:val="20"/>
          <w:color w:val="auto"/>
        </w:rPr>
      </w:pPr>
      <w:r>
        <w:rPr>
          <w:rFonts w:ascii="Times New Roman" w:cs="Times New Roman" w:eastAsia="Times New Roman" w:hAnsi="Times New Roman"/>
          <w:sz w:val="18"/>
          <w:szCs w:val="18"/>
          <w:color w:val="auto"/>
        </w:rPr>
        <w:t>basis, with the adjustment recorded in the period in which the change occurs. Changes to variable consideration will be tracked and material changes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When allocating on a relative stand-alone selling price basis, any discount provided in the contract is allocated proportionately to all of the performance obligations in the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our unaudited condensed consolidated statements of operations because they are also included in revenue that we bill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elected the practical expedient to expense sales commissions as incurred when the amortization period of the related asset is one year or less. These costs are recorded as sales and marketing expense and included on our unaudited condensed consolidated balance sheet as accrued expenses until paid. Our amortization expense was not material for the three months ended September 27,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liabilities from contracts with customers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3"/>
                <w:szCs w:val="13"/>
                <w:color w:val="auto"/>
              </w:rPr>
            </w:pPr>
          </w:p>
        </w:tc>
        <w:tc>
          <w:tcPr>
            <w:tcW w:w="9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June 28, 2019</w:t>
            </w:r>
          </w:p>
        </w:tc>
        <w:tc>
          <w:tcPr>
            <w:tcW w:w="0" w:type="dxa"/>
            <w:vAlign w:val="bottom"/>
          </w:tcPr>
          <w:p>
            <w:pPr>
              <w:spacing w:after="0"/>
              <w:rPr>
                <w:sz w:val="1"/>
                <w:szCs w:val="1"/>
                <w:color w:val="auto"/>
              </w:rPr>
            </w:pPr>
          </w:p>
        </w:tc>
      </w:tr>
      <w:tr>
        <w:trPr>
          <w:trHeight w:val="194"/>
        </w:trPr>
        <w:tc>
          <w:tcPr>
            <w:tcW w:w="8560" w:type="dxa"/>
            <w:vAlign w:val="bottom"/>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43,198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51,937</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 receivables</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27,780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commissions</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13,962</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27, 2019 we had $26.9 million in advance payments and unearned revenue and long-term unearned revenue, of which approximately 50% is expected to be recognized as revenue in fiscal 2020 and the remainder thereafter. During the three months ended September 27, 2019 we recognized approximately $3.2 million in maintenance service revenue which was included in advance payments and unearned revenue at the beginning of the reporting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amount of transaction price allocated to our unsatisfied performance obligations (or partially unsatisfied) was approximately $76.4 million at September 27, 2019. Of this amount, we expect to recognize approximately 70% as revenue during the next 12 months, with the remaining amount to be recognized as revenue within two to five years.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June 29, 2019, the first day of our fiscal 2020, we adopted ASC 842 using the modified retrospective transition method, which requires a cumulative-effect adjustment, if any, to the opening balance of accumulated deficit to be recognized on the date of adoption with prior periods not restated.</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These operating leases are included in "Right of use assets" on our September 27, 2019 unaudited condensed consolidated balance sheets and represent our right to use the underlying asset for the lease term. Our obligation to make lease payments are included in "Short-term lease liabilities" and "Long-term lease liabilities" on our September 27, 2019 unaudited condensed consolidated balance sheets. We did not enter into any finance leases during the quarter ended September 27, 2019.</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3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our balance sheet. We recognize lease expense for these leases on a straight-line basis over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842</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Upon our adoption of ASC 842, we recorded total ROU assets of $7.9 million, with corresponding liabilities of $8.3 million, on our unaudited condensed consolidated balance sheets. The ROU assets include adjustments for prepayments and accrued lease payments. The adoption did not impact our prior year condensed consolidated statements of operations and statements of cash flows. As of September 27, 2019, total ROU assets were approximately $6.7 million, and short-term lease liabilities and long-term lease liabilities were approximately $4.2 million and $2.8 million, respectively. Cash paid for lease liabilities was $1.3 million for the three months ended September 27, 2019.</w:t>
      </w:r>
    </w:p>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summarizes our lease costs, lease term and discount rate for the three months ended September 27, 2019 (in thousands, except for weighted average):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5"/>
        </w:trPr>
        <w:tc>
          <w:tcPr>
            <w:tcW w:w="9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5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lease costs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484</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lease costs</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84"/>
        </w:trPr>
        <w:tc>
          <w:tcPr>
            <w:tcW w:w="9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4.5 years</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7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September 27, 2019, our future minimum lease payments under all non-cancelable operating leases with an initial term in excess of one year were as follows (in thousands):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9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5"/>
        </w:trPr>
        <w:tc>
          <w:tcPr>
            <w:tcW w:w="9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(In thousands)</w:t>
            </w:r>
          </w:p>
        </w:tc>
      </w:tr>
      <w:tr>
        <w:trPr>
          <w:trHeight w:val="25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Remainder of 2020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2,011</w:t>
            </w:r>
          </w:p>
        </w:tc>
      </w:tr>
      <w:tr>
        <w:trPr>
          <w:trHeight w:val="237"/>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8,410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57"/>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7,000</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Prior to our adoption of the new lease accounting standard, as of June 28, 2019, our future minimum lease payments under all non-cancelable operating leases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9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55"/>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1,268</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2,090</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6,358</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13"/>
                <w:szCs w:val="13"/>
                <w:color w:val="auto"/>
              </w:rPr>
            </w:pPr>
          </w:p>
        </w:tc>
        <w:tc>
          <w:tcPr>
            <w:tcW w:w="10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31,946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cash, cash equivalents, and restricted cash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34,740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32,201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net accounts receivable are summarized below:</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24"/>
                <w:szCs w:val="24"/>
                <w:color w:val="auto"/>
              </w:rPr>
            </w:pPr>
          </w:p>
        </w:tc>
        <w:tc>
          <w:tcPr>
            <w:tcW w:w="10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53,539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51,937</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inventories are summarized below:</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24"/>
                <w:szCs w:val="24"/>
                <w:color w:val="auto"/>
              </w:rPr>
            </w:pPr>
          </w:p>
        </w:tc>
        <w:tc>
          <w:tcPr>
            <w:tcW w:w="10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recovery or charges to adjust our inventory and customer service inventory due to excess and obsolete inventory resulting from lower sales forecast, product transitioning, or discontinuance. During the three months ended September 27, 2019 and September 28, 2018, we recorded a net charge of $146,000 and a net recovery of $25,000, respectively, in each case related to previously reserved inventory due to sell through. Such recovery or charges during the three months ended September 27, 2019 and September 28, 2018 were classified in cost of product sales as follows:</w:t>
      </w:r>
    </w:p>
    <w:p>
      <w:pPr>
        <w:spacing w:after="0" w:line="282"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24765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020"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obsolete inventory charges (recovery)</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 charges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property, plant and equipment, net are summarized below:</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17,556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50,699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49,733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80,735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79,667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17,255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Included in the total plant, property and equipment above were $3.2 million and $2.8 million of assets in progress which have not been placed in service as of September 27, 2019 and June 28, 2019, respectively. Depreciation and amortization expense related to property, plant and equipment, including amortization of software developed for internal use,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2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CCEEFF"/>
            </w:tcBorders>
            <w:vMerge w:val="continue"/>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466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2"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accrued expenses are summarized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3"/>
                <w:szCs w:val="13"/>
                <w:color w:val="auto"/>
              </w:rPr>
            </w:pPr>
          </w:p>
        </w:tc>
        <w:tc>
          <w:tcPr>
            <w:tcW w:w="11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agent commissions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23,284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22,555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accrue for the estimated cost to repair or replace products under warranty. Changes in our warranty liability, which is included as a component of accrued expenses in our unaudited condensed consolidated balance sheets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2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advance payments and unearned revenue are summarized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24"/>
                <w:szCs w:val="24"/>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revenue</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13,857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12,428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13,962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$8.9 million and $9.7 million in long-term unearned revenue as of September 27, 2019 and June 28,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2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38" w:right="239" w:bottom="1440" w:gutter="0" w:footer="0" w:header="0"/>
        </w:sectPr>
      </w:pPr>
    </w:p>
    <w:bookmarkStart w:id="18" w:name="page19"/>
    <w:bookmarkEnd w:id="18"/>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September 27, 2019 and June 28, 2019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June 28, 2019</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4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7"/>
        </w:trPr>
        <w:tc>
          <w:tcPr>
            <w:tcW w:w="4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mainly are money market funds. As of September 27, 2019 and June 28, 2019, these money market funds were valued at $1.00 net asset value per share.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27, 2019 and June 28, 2019, we did not have any recurring assets or liabilities that were valued using significant unobservable inputs.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the first three months of fiscal 2020 and 2019, we had no transfers between levels of the fair value hierarchy of our assets or liabilities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Facility and Debt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June 10, 2019, we entered into Amendment No. 2 to Third Amended and Restated Loan and Security Agreement with Silicon Valley Bank (the “SVB Credit Facility”). The SVB Credit Facility expires on June 29, 2020. The SVB Credit Facility provides for a $25.0 million accounts receivable formula-based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September 27, 2019, available credit under the SVB Credit Facility was $14.7 million, reflecting the calculated borrowing base of $25.0 million less existing borrowings of $9.0 million and outstanding letters of credit of $1.3 million.</w:t>
      </w:r>
    </w:p>
    <w:p>
      <w:pPr>
        <w:spacing w:after="0" w:line="13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the first three months of fiscal 2020, the weighted-average interest rate on our outstanding loan was 5.50%. As of September 27, 2019 and June 28, 2019, our outstanding debt balance under the SVB Credit Facility was $9.0 million, and the interest rate was 5.50% and 6.00%, respectively.</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2" w:right="2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September 27, 2019, we were in compliance with the quarterly financial covenants, as amended, contained in the SVB Credit Facility. The $9.0 million borrowing was classified as a current liability as of September 27, 2019 and June 28, 2019, and repaid in October 2019 and July 2019, respectively.</w:t>
      </w:r>
    </w:p>
    <w:p>
      <w:pPr>
        <w:spacing w:after="0" w:line="13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28, 2018, we entered into Amendment No. 1 (the “Amendment”) to the Third Amended and Restated Loan and Security Agreement with Silicon Valley Bank. Among other things, the Amendment provides for the definition of Quick Assets set forth in the Agreement to be modified to include up to the lesser of (a) 50% of unbilled accounts receivable or (b) $7.0 million.</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a short-term line of credit for up to $0.3 million from a bank in New Zealand to support the operations of our subsidiary located there. This line of credit provides for up to $0.2 million in short-term advances at various interest rates, all of which was available as of September 27, 2019 and June 28, 2019. The line of credit also provides for the issuance of standby letters of credit and company credit cards, of which $0.1 million was outstanding as of September 27, 2019. This line of credit may be terminated upon notice, is reviewed annually for renewal or modification, and is supported by a corporate guarantee.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Restructuring Activities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restructuring-related activities during the three months ended September 27,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Facilities and</w:t>
            </w:r>
          </w:p>
        </w:tc>
        <w:tc>
          <w:tcPr>
            <w:tcW w:w="160" w:type="dxa"/>
            <w:vAlign w:val="bottom"/>
          </w:tcPr>
          <w:p>
            <w:pPr>
              <w:spacing w:after="0"/>
              <w:rPr>
                <w:sz w:val="13"/>
                <w:szCs w:val="13"/>
                <w:color w:val="auto"/>
              </w:rPr>
            </w:pP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2018-2019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2016-2017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2013-2014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2015-2016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4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balance, June 28,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 (recovery), net</w:t>
            </w:r>
          </w:p>
        </w:tc>
        <w:tc>
          <w:tcPr>
            <w:tcW w:w="1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impact</w:t>
            </w:r>
          </w:p>
        </w:tc>
        <w:tc>
          <w:tcPr>
            <w:tcW w:w="1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balance, September 27,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27, 2019, $2.0 million of the accrual balance was in short-term restructuring liabilities while $0.2 million was included in other long-term liabilities on our unaudited condensed consolidated balance sheets.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completed the restructuring activities under our fiscal 2018-2019 restructuring plan (the “Fiscal 2018-2019 Plan”) by the end of fiscal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related to the accrued restructuring liability balance for this plan are expected to be fully paid by the end of fiscal 2020.</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further information, see “Note 7. Restructuring Activities” in Part II, Item 8 of our 2019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42"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9.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2018, our board of directors approved a repurchase program, which does not have an expiration date, for the repurchase of up to $7.5 million of our common stock.</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repurchases of our common stock:</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60" w:type="dxa"/>
            <w:vAlign w:val="bottom"/>
          </w:tcPr>
          <w:p>
            <w:pPr>
              <w:spacing w:after="0"/>
              <w:rPr>
                <w:sz w:val="23"/>
                <w:szCs w:val="2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60" w:type="dxa"/>
            <w:vAlign w:val="bottom"/>
          </w:tcPr>
          <w:p>
            <w:pPr>
              <w:spacing w:after="0"/>
              <w:rPr>
                <w:sz w:val="23"/>
                <w:szCs w:val="23"/>
                <w:color w:val="auto"/>
              </w:rPr>
            </w:pPr>
          </w:p>
        </w:tc>
        <w:tc>
          <w:tcPr>
            <w:tcW w:w="14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28,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23,579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purchase price, including commissions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repurchased shares were retired. As of September 27, 2019, $4.4 million remained available under our stock repurchase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27, 2019, we had two stock incentive plans for our employees and nonemployee directors, the 2018 Incentive Plan and the 2007 Stock Equity Plan, as amended and restated effective November 13, 2015. During the three months ended September 27, 2019, we granted to our employees 63,030 restricted stock units, 51,706 performance restricted stock units and 126,118 options to purchase shares of our common stock.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our unaudited condensed consolidated statements of operations was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2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By Expense Category:</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7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68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By Types of Award: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and performance stock awards and units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27, 2019, there was approximately $1.5 million of total unrecognized compensation expense related to nonvested stock options granted which are expected to be recognized over a weighted-average period of 2.6 years. As of September 27, 2019, there was $2.1 million of total unrecognized compensation expense related to nonvested stock awards which are expected to be recognized over a weighted-average period of 2.4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 Information</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the three months ended September 27, 2019 and September 28, 2018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39,767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27,763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10,593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and Russia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58,614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60,504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27, 2019, Motorola Solutions, Inc. accounted for 12% of our total revenue. During the three months ended September 28, 2018, Mobile Telephone Networks Group (MTN Group) and Globe Telecom, Inc. (Globe) accounted for 13% and 11% of our total revenue, respectiely. As of September 27, 2019, MTN Group accounted for 12% of our accounts receivable. As of June 28, 2019, MTN Group and Globe accounted for 10% and 11% of our accounts receivable, respectively. We have entered into separate and distinct contracts with Globe and MTN Group, as well as separate arrangements with their various subsidiaries. The loss of all business from Globe and MTN Group, or any other significant customers, could adversely affect our unaudited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ectPr>
          <w:pgSz w:w="11900" w:h="16838" w:orient="portrait"/>
          <w:cols w:equalWidth="0" w:num="1">
            <w:col w:w="11420"/>
          </w:cols>
          <w:pgMar w:left="240" w:top="792" w:right="239" w:bottom="175" w:gutter="0" w:footer="0" w:header="0"/>
        </w:sectPr>
      </w:pPr>
    </w:p>
    <w:bookmarkStart w:id="21" w:name="page22"/>
    <w:bookmarkEnd w:id="2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 varies from the U.S. federal statutory rate of 21% due to results of foreign operations that are subject to income taxes at different statutory rates and certain jurisdictions where we cannot recognize tax benefits on current losses. During interim periods, we accrue tax expenses for jurisdictions that are anticipated to be profitable for fiscal 2020.</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our income taxes for the three months ended September 27, 2019 and September 28, 2018 was based on our estimated annual effective tax rate adjusted for losses in certain jurisdictions for which no tax benefit can be recognized. Our tax expense for the three months ended September 27, 2019 was primarily due to tax expense related to profitable subsidiaries and a $0.6 million increase in our reserves for uncertain tax positions. The tax benefit for the three months ended September 28, 2018 was primarily due to tax expense related to profitable subsidiaries, net against the $1.6 million release of valuation allowance due to the potential foreign tax refund to be received from the Department of Federal Revenue of Brazil.</w:t>
      </w:r>
    </w:p>
    <w:p>
      <w:pPr>
        <w:spacing w:after="0" w:line="13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 During the first quarter of fiscal 2020, we did not record any adjustment to valuation allowance on our U.S. deferred tax assets.</w:t>
      </w:r>
    </w:p>
    <w:p>
      <w:pPr>
        <w:spacing w:after="0" w:line="13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entered into a tax sharing agreement with Harris Corporation (Harris) effective on January 26, 2007, the acquisition date of Stratex.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open income tax audits covering various tax years, which vary from jurisdiction to jurisdiction. Our major tax jurisdictions where audits are pending include Singapore, Nigeria, and Saudi Arabia. The earliest years that are open and subject to potential audits are as follows: U.S. - 2003; Singapore - 2011; Nigeria - 2006: Saudi Arabia - 2010, and Ivory Coast - 2016.</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federal, foreign and state income taxes. Such interest expense was not material for the three months ended September 27, 2019 and September 28,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8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September 27, 2019, we had outstanding purchase obligations with our suppliers or contract manufacturers of $21.1 million. In addition, we had contractual obligations of approximately $2.4 million associated with software licenses as of September 27,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27, 2019, we had no guarantees applicable to our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27, 2019, we had commercial commitments of $60.3 million outstanding that were not recorded on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September 27, 2019,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27, 2019, we had not recorded any liabilities related to these indemnifications.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approximately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("FEMA"). In November 2017, the Indian Department of Revenue, Ministry of Finance also initiated a similar action against Telsima Communications Private Limited (Telsima India)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92" w:right="239" w:bottom="1440" w:gutter="0" w:footer="0" w:header="0"/>
        </w:sectPr>
      </w:pPr>
    </w:p>
    <w:bookmarkStart w:id="23" w:name="page24"/>
    <w:bookmarkEnd w:id="2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28" w:lineRule="exact"/>
        <w:rPr>
          <w:sz w:val="20"/>
          <w:szCs w:val="20"/>
          <w:color w:val="auto"/>
        </w:rPr>
      </w:pPr>
    </w:p>
    <w:p>
      <w:pPr>
        <w:ind w:left="5620" w:right="2320" w:hanging="4964"/>
        <w:spacing w:after="0" w:line="566" w:lineRule="auto"/>
        <w:tabs>
          <w:tab w:leader="none" w:pos="977"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continued price and margin erosion as a result of increased competition in the microwave transmission industry; </w:t>
      </w: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42" w:right="239" w:bottom="1440" w:gutter="0" w:footer="0" w:header="0"/>
        </w:sectPr>
      </w:pPr>
    </w:p>
    <w:bookmarkStart w:id="24" w:name="page25"/>
    <w:bookmarkEnd w:id="24"/>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line="28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or other supply chain constraints;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acceptance of new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preserve and use our net operating loss carryforwards;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conduct of unethical business practices in developing countries;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political turmoil in countries where we have significant business; and</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implement our stock repurchase program or that it will enhance long-term stockholder value.</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our fiscal 2019 Annual Report on Form 10-K filed with the SEC on August 27, 2019 for more information regarding factors that may cause our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2020 and 2019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3, 2020 is referred to as “fiscal 2020” or “2020” and our fiscal year ended June 28, 2019 is referred to as “fiscal 2019” or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513"/>
        <w:spacing w:after="0" w:line="255" w:lineRule="auto"/>
        <w:rPr>
          <w:sz w:val="20"/>
          <w:szCs w:val="20"/>
          <w:color w:val="auto"/>
        </w:rPr>
      </w:pPr>
      <w:r>
        <w:rPr>
          <w:rFonts w:ascii="Times New Roman" w:cs="Times New Roman" w:eastAsia="Times New Roman" w:hAnsi="Times New Roman"/>
          <w:sz w:val="18"/>
          <w:szCs w:val="18"/>
          <w:color w:val="auto"/>
        </w:rPr>
        <w:t>We anticipate our overall revenue in fiscal 2020 to be higher in North America, offset by lower revenue from our international regions. This expectation is based on actual order volumes in fiscal 2019 and our observation of customer spending patterns going into fiscal 2020. We have a healthy backlog entering fiscal 2020 for our North America private network projects and we anticipate continuing our strong momentum across these verticals. We have made inroads into the U.S. rural broadband and wireless internet service provider areas and there is evidence now of investment to support 5G deployments with our U.S. service provider customers. Internationally, we are taking a more conservative view of our revenue opportunity based on a variety of factors that have led to an overall capital spending decline and increased competitive intensity, especially from vendors based in China. While there is an attractive pipeline of international revenue opportunity, it has less clarity on timing and we are consequently lowering our international expectations with respect to fiscal 2020.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3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243" w:lineRule="exact"/>
        <w:rPr>
          <w:sz w:val="20"/>
          <w:szCs w:val="20"/>
          <w:color w:val="auto"/>
        </w:rPr>
      </w:pPr>
    </w:p>
    <w:p>
      <w:pPr>
        <w:jc w:val="both"/>
        <w:ind w:firstLine="513"/>
        <w:spacing w:after="0" w:line="254" w:lineRule="auto"/>
        <w:rPr>
          <w:sz w:val="20"/>
          <w:szCs w:val="20"/>
          <w:color w:val="auto"/>
        </w:rPr>
      </w:pPr>
      <w:r>
        <w:rPr>
          <w:rFonts w:ascii="Times New Roman" w:cs="Times New Roman" w:eastAsia="Times New Roman" w:hAnsi="Times New Roman"/>
          <w:sz w:val="18"/>
          <w:szCs w:val="18"/>
          <w:color w:val="auto"/>
        </w:rPr>
        <w:t>The market for mobile backhaul continues to be our primary addressable market segment globally in fiscal 2020.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2019 Annual Report on Form 10-K, a number of factors could prevent us from achieving our objectives, including ongoing pricing pressures attributable to competition and macroeconomic conditions in the geographic markets that we service.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months ended September 27, 2019 and September 28, 2018 and the related changes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5"/>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12,004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14,147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33"/>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Europe and Russia</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14,882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33"/>
        </w:trPr>
        <w:tc>
          <w:tcPr>
            <w:tcW w:w="5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in North America increased by $12.0 million, or 43.2%, during the first quarter of fiscal 2020 compared with the same quarter of fiscal 2019. The increase in North America revenue during the first quarter of fiscal 2020 was due to an increase in private network projects as well as an increase in mobile operator sales compared to fiscal 2019.</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revenue in Africa and the Middle East decreased by $3.6 million, or 25.1%, for the first quarter of fiscal 2020 compared with the same quarter of fiscal 2019. The decrease in revenue was primarily due to decreased sales to our large mobile operator customers in the region.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in Europe and Russia decreased by $0.3 million, or 8.2%, for the first quarter of fiscal 2020 compared with the same quarter of fiscal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due to lower sales to mobile and private network customers in the region.</w:t>
      </w:r>
    </w:p>
    <w:p>
      <w:pPr>
        <w:spacing w:after="0" w:line="15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Latin America and Asia Pacific decreased by $10.0 million, or 67.4%, during the first quarter of fiscal 2020 compared with the same quarter of fiscal 2019. The decrease was from lower sales to mobile operator customers compared to fiscal 2019.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5"/>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36,594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39,125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21,379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33"/>
        </w:trPr>
        <w:tc>
          <w:tcPr>
            <w:tcW w:w="5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60,504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from product sales decreased by $2.5 million, or 6.5%, for the first quarter of fiscal 2020 compared with the same quarter of fiscal 2019. Increased product sales in North America were offset by a larger volume decrease in international sectors compared to the same quarter in fiscal 2020. Our services revenue increased by $0.6 million, or 3.0%, during the first quarter of fiscal 2020 compared with the same quarter of fiscal 2019. Increased service sales in North America were offset in part by lower sales in most international sectors relative to fiscal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5"/>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58,614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60,504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42,579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33"/>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17,925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25.8 %</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of revenue</w:t>
            </w:r>
          </w:p>
        </w:tc>
        <w:tc>
          <w:tcPr>
            <w:tcW w:w="37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38.5%</w:t>
            </w:r>
          </w:p>
        </w:tc>
        <w:tc>
          <w:tcPr>
            <w:tcW w:w="3620" w:type="dxa"/>
            <w:vAlign w:val="bottom"/>
          </w:tcPr>
          <w:p>
            <w:pPr>
              <w:jc w:val="right"/>
              <w:ind w:right="2519"/>
              <w:spacing w:after="0"/>
              <w:rPr>
                <w:sz w:val="20"/>
                <w:szCs w:val="20"/>
                <w:color w:val="auto"/>
              </w:rPr>
            </w:pPr>
            <w:r>
              <w:rPr>
                <w:rFonts w:ascii="Times New Roman" w:cs="Times New Roman" w:eastAsia="Times New Roman" w:hAnsi="Times New Roman"/>
                <w:sz w:val="16"/>
                <w:szCs w:val="16"/>
                <w:color w:val="auto"/>
              </w:rPr>
              <w:t>29.6%</w:t>
            </w:r>
          </w:p>
        </w:tc>
      </w:tr>
      <w:tr>
        <w:trPr>
          <w:trHeight w:val="33"/>
        </w:trPr>
        <w:tc>
          <w:tcPr>
            <w:tcW w:w="4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margin %</w:t>
            </w:r>
          </w:p>
        </w:tc>
        <w:tc>
          <w:tcPr>
            <w:tcW w:w="3720" w:type="dxa"/>
            <w:vAlign w:val="bottom"/>
            <w:tcBorders>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43.1%</w:t>
            </w:r>
          </w:p>
        </w:tc>
        <w:tc>
          <w:tcPr>
            <w:tcW w:w="3620" w:type="dxa"/>
            <w:vAlign w:val="bottom"/>
            <w:tcBorders>
              <w:bottom w:val="single" w:sz="8" w:color="CCEEFF"/>
            </w:tcBorders>
            <w:shd w:val="clear" w:color="auto" w:fill="CCEEFF"/>
          </w:tcPr>
          <w:p>
            <w:pPr>
              <w:jc w:val="right"/>
              <w:ind w:right="2519"/>
              <w:spacing w:after="0"/>
              <w:rPr>
                <w:sz w:val="20"/>
                <w:szCs w:val="20"/>
                <w:color w:val="auto"/>
              </w:rPr>
            </w:pPr>
            <w:r>
              <w:rPr>
                <w:rFonts w:ascii="Times New Roman" w:cs="Times New Roman" w:eastAsia="Times New Roman" w:hAnsi="Times New Roman"/>
                <w:sz w:val="16"/>
                <w:szCs w:val="16"/>
                <w:color w:val="auto"/>
              </w:rPr>
              <w:t>31.5%</w:t>
            </w:r>
          </w:p>
        </w:tc>
      </w:tr>
      <w:tr>
        <w:trPr>
          <w:trHeight w:val="237"/>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margin %</w:t>
            </w:r>
          </w:p>
        </w:tc>
        <w:tc>
          <w:tcPr>
            <w:tcW w:w="37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30.8%</w:t>
            </w:r>
          </w:p>
        </w:tc>
        <w:tc>
          <w:tcPr>
            <w:tcW w:w="3620" w:type="dxa"/>
            <w:vAlign w:val="bottom"/>
          </w:tcPr>
          <w:p>
            <w:pPr>
              <w:jc w:val="right"/>
              <w:ind w:right="2519"/>
              <w:spacing w:after="0"/>
              <w:rPr>
                <w:sz w:val="20"/>
                <w:szCs w:val="20"/>
                <w:color w:val="auto"/>
              </w:rPr>
            </w:pPr>
            <w:r>
              <w:rPr>
                <w:rFonts w:ascii="Times New Roman" w:cs="Times New Roman" w:eastAsia="Times New Roman" w:hAnsi="Times New Roman"/>
                <w:sz w:val="16"/>
                <w:szCs w:val="16"/>
                <w:color w:val="auto"/>
              </w:rPr>
              <w:t>26.2%</w:t>
            </w:r>
          </w:p>
        </w:tc>
      </w:tr>
    </w:tbl>
    <w:p>
      <w:pPr>
        <w:spacing w:after="0" w:line="17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margin for the first quarter of fiscal 2020 increased by $4.6 million, or 25.8% compared with the same quarter of fiscal 2019. Our gross margin increased from the prior-year quarter, primarily due to the substantial increase in North America sales volume, offset in part by reduced volume in our international sectors. For the first quarter of fiscal 2020, overall gross margin increased on greater product margin and greater services margin in our North America sector.</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Gross margin as a percentage of revenue increased in the first quarter of fiscal 2020 compared with the same quarter of fiscal 2019, primarily due to improved profitability of both product sales and services sales in the quarter. Product margin as a percentage of product revenue improved in the first quarter of fiscal 2020 compared with the same quarter of fiscal 2019 from improved margin rates in North America and international sectors. Service margin as a percentage of service revenue increased in the first quarter of fiscal 2020 compared with the same period in fiscal 2019 due to improved margin rates in our North America and international sectors.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64"/>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4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5"/>
        </w:trPr>
        <w:tc>
          <w:tcPr>
            <w:tcW w:w="5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of revenue</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7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$0.3 million, or 5.7%, in the first quarter of fiscal 2020 compared with the same quarter of fiscal 2019. The increase was primarily due to increased product development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and administrative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14,644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13,706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of revenue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selling and administrative expenses increased by $0.9 million, or 6.8%, in the first quarter of fiscal 2020 compared with the same period in fiscal 2019. The increase was primarily due to higher variable compensation and other legal related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3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reflected interest earned on our cash equivalents which were comprised of money market funds and bank certificates of deposit.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was primarily related to interest associated with borrowings under the SVB Credit Facility and discounts on customer letters of credit.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tax expense for the first quarter of fiscal 2020 was primarily due to tax expense related to profitable subsidiaries and a $0.6 million increase in our reserves for uncertain tax positions. During the first quarter of fiscal 2019, we recorded a net discrete tax benefit of $1.6 million for the release of valuation allowance on a deferred tax asset recorded for $1.9 million of refundable withholding tax credit to be received from the Department of Federal Revenue of Brazil, less tax expense of $0.3 million from recognizing an ASC 740-10 reserve previously recorded as a reduction against the deferred tax for the withholding tax credit.</w:t>
      </w:r>
    </w:p>
    <w:p>
      <w:pPr>
        <w:spacing w:after="0" w:line="13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 During the first quarter of fiscal 2020, we did not record any adjustment to valuation allowance on our U.S. deferred tax assets.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27, 2019, our total cash and cash equivalents were $34.5 million. Approximately $16.5 million, or 47.8%, was held in the United States. The remaining balance of $18.0 million, or 52.2%, was held by entities outside the United States. Of the amount of cash and cash equivalents held by our foreign subsidiaries at September 27, 2019, $17.1 million was held in jurisdictions where our undistributed earnings are indefinitely reinvested, and if repatriated, would be subject to foreign withholding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provided by or used in operating activities is presented as net income (loss) adjusted for non-cash items and changes in operating assets and liabilities. Net cash provided by operating activities was $5.6 million for the first three months of fiscal 2020, compared to cash used in operating activities of $6.8 million for the first three months of fiscal 2019. The net contribution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of non-cash items decreased cash by $0.9 million and net changes in operating assets and liabilities increased cash by $12.6 million for the first three months of fiscal 2020 as compared to the same period in fiscal 2019.</w:t>
      </w:r>
    </w:p>
    <w:p>
      <w:pPr>
        <w:spacing w:after="0" w:line="108"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$0.9 million decrease in the net contribution of non-cash items was primarily due to a $0.9 million net change in deferred tax expense, a $0.3 million decrease in depreciation and amortization, a $0.1 million recovery for uncollectible receivables, and a $0.2 million charge for inventory write-downs.</w:t>
      </w:r>
    </w:p>
    <w:p>
      <w:pPr>
        <w:spacing w:after="0" w:line="33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Changes in operating assets and liabilities resulted in a net increase of $12.6 million to cash for the first three months of fiscal 2020, compared to the same period in 2019. Accounts receivable and unbilled costs fluctuate from period to period, depending on the amount, timing of sales and billing activities and cash collections. The fluctuations in accounts payable and accrued expenses were primarily due to the timing of liabilities incurred and vendor payments. The change in inventories and in customer service inventories were primarily due to demand and our focus on improving our inventory management. The increase in customer advance payments and unearned revenue was due to the timing of payment from customers and revenue recognition. We used $0.3 million in cash during the first three months of fiscal 2020 on expenses related to restructuring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$1.3 million and $1.8 million for the first three months of fiscal 2020 and 2019, respectively, which consisted of capital expenditures. During the remainder of fiscal year 2020, we expect to spend approximately $4.8 million for capital expenditures, primarily on equipment for development and manufacturing of new products and to support customer managed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Financing cash flows consist primarily of proceeds and repayments of short-term debt, repurchase of stock and proceeds from sale of share of common stock through employee equity plans. Net cash used in financing activities was $1.5 million for the first three months of fiscal 2020, primarily due to $0.7 million for repurchases of our common stock and a $0.7 million payment for taxes related to the net settlement of equity awards.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September 27, 2019, our principal sources of liquidity consisted of $34.5 million in cash, cash equivalents, and short-term investments; $14.7 million of available credit under our $25.0 million SVB Credit Facility, which expires on June 29, 2020;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2020.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39"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As of September 27, 2019, we were in compliance with the quarterly financial covenants, as amended, contained in the SVB Credit Facility. The $9.0 million borrowing was classified as a current liability as of September 27, 2019 and June 28, 2019 and repaid in October 2019 and July 2019, respectively.</w:t>
      </w:r>
    </w:p>
    <w:p>
      <w:pPr>
        <w:spacing w:after="0" w:line="33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have an uncommitted short-term line of credit of $0.3 million from a bank in New Zealand to support the operations of our subsidiary located there. This line of credit provides for $0.2 million in short-term advances at various interest rates, all of which was available as of September 27, 2019 and June 28, 2019. The line of credit also provides for the issuance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42" w:right="2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of standby letters of credit and company credit cards, of which $0.1 million was outstanding as of September 27, 2019. This facility may be terminated upon notice, is reviewed annually for renewal or modification, and is supported by a corporate guarantee.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had liabilities for restructuring activities totaling $2.2 million as of September 27, 2019, $2.0 million of which was classified as current liabilities and expected to be paid out in cash over the next 12 months. We expect to fund these future payments with available cash and cash provided by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amounts disclosed in our fiscal 2019 Annual Report on Form 10-K filed with the SEC on August 27, 2019 include our commercial commitments and contractual obligations. During the first three months of fiscal 2020, no material changes occurred in our contractual obligations to purchase goods and services and to make payments under operating leases or our contingent liabilities on outstanding letters of credit, guarantees, and other arrangements as disclosed in our fiscal 2019 Annual Report on Form 10-K. As of September 27, 2019, we had commercial commitments of $60.3 million outstanding that were not recorded on our unaudited condensed consolidated balance sheets. This is a decrease of $0.3 million from the amount disclosed in our fiscal 2019 Annual Report on Form 10-K. Please refer to “Note 12 Commitments and Contingencies” of the Notes to unaudited condensed consolidated financial statements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information about our critical accounting estimates, see the “Critical Accounting Estimates” section of “Item 7. Management’s Discussion and Analysis of Financial Condition and Results of Operations” in our fiscal 2019 Annual Report on Form 10-K other than for the impact of adopting new lease accounting standards.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42" w:right="239" w:bottom="1440" w:gutter="0" w:footer="0" w:header="0"/>
        </w:sectPr>
      </w:pPr>
    </w:p>
    <w:bookmarkStart w:id="30" w:name="page31"/>
    <w:bookmarkEnd w:id="3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27, 2019, we had foreign currency forward contracts outstanding with a total notional amount of $5.3 million consisting of five currencies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6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Notional Contract</w:t>
            </w:r>
          </w:p>
        </w:tc>
        <w:tc>
          <w:tcPr>
            <w:tcW w:w="440" w:type="dxa"/>
            <w:vAlign w:val="bottom"/>
          </w:tcPr>
          <w:p>
            <w:pPr>
              <w:spacing w:after="0"/>
              <w:rPr>
                <w:sz w:val="13"/>
                <w:szCs w:val="13"/>
                <w:color w:val="auto"/>
              </w:rPr>
            </w:pPr>
          </w:p>
        </w:tc>
        <w:tc>
          <w:tcPr>
            <w:tcW w:w="104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2"/>
                <w:szCs w:val="12"/>
                <w:color w:val="auto"/>
              </w:rPr>
            </w:pPr>
          </w:p>
        </w:tc>
        <w:tc>
          <w:tcPr>
            <w:tcW w:w="104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(Local Currency)</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16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16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16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5,400</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Singapore dollar</w:t>
            </w:r>
          </w:p>
        </w:tc>
        <w:tc>
          <w:tcPr>
            <w:tcW w:w="16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 Britain pound</w:t>
            </w:r>
          </w:p>
        </w:tc>
        <w:tc>
          <w:tcPr>
            <w:tcW w:w="16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of all currency forward contracts</w:t>
            </w:r>
          </w:p>
        </w:tc>
        <w:tc>
          <w:tcPr>
            <w:tcW w:w="16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foreign exchange income (loss), net recorded in our unaudited condensed consolidated statements of operations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2019 and September 28, 2018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2"/>
                <w:szCs w:val="12"/>
                <w:color w:val="auto"/>
              </w:rPr>
            </w:pPr>
          </w:p>
        </w:tc>
        <w:tc>
          <w:tcPr>
            <w:tcW w:w="12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included in costs of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adverse change in currency exchange rates for our foreign currency derivatives held as of September 27, 2019 would have an impact of approximately $0.5 million on the fair value of such instruments.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three months of fiscal 2020 was $0.5 million and was included as a component of stockholders’ equity. As of September 27, 2019 and June 28, 2019, the cumulative translation adjustment decreased our equity by $13.2 million and $12.7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and borrowings under our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had $34.5 million in total cash and cash equivalents as of September 27, 2019. Cash equivalents totaled $19.5 million as of September 27, 2019 and were comprised of money market funds and bank certificates of deposit. Cash equivalents investments have been recorded at fair value on our balance sheet.</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September 27, 2019 was 42 days, and these investments had an average yield of approximately 7% per annum. A 10% change in interest rates on our cash equivalents is not expected to have a material impact on our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borrowings outstanding under the SVB Credit Facility incurred interest at the prime rate plus a spread of 0.50% to 1.50% with such spread determined based on our adjusted quick ratio. During the first three months of fiscal 2019, our weighted-average interest rate was 5.50%, and the interest expense on these borrowings was insignificant.</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42"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management’s evaluation, with participation of our Interim Chief Executive Officer and President, Chief Operating Officer and Principal Financial Officer (our “CEO and PFO”), as of the end of the period covered by this report, our CEO and PFO has concluded that our disclosure controls and procedures, as defined in Rules 13a-15(e) and 15d-15(e) under the Exchange Act, as of September 27, 2019,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CEO and PFO, as appropriate to allow timely decisions regarding required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controls over financial reporting as defined in Rules 13a-15(f) or 15d-15(f) that occurred during the first three months ended September 27, 2019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including our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846" w:right="239" w:bottom="1440" w:gutter="0" w:footer="0" w:header="0"/>
        </w:sectPr>
      </w:pPr>
    </w:p>
    <w:bookmarkStart w:id="32" w:name="page33"/>
    <w:bookmarkEnd w:id="32"/>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Please refer to Legal Proceedings under “Note 12 Commitments and Contingencies” of the Notes to unaudited condensed consolidated financial statements in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2019 Annual Report on Form 10-K filed with the SEC on August 27, 2019.</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do not believe that there have been any other material additions or changes to the risk factors previously disclosed in our fiscal 2019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summary of stock repurchases for the three months ended September 27, 2019: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May 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Repurchased as</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Repurchased Under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7"/>
                <w:szCs w:val="17"/>
                <w:color w:val="auto"/>
              </w:rPr>
            </w:pPr>
          </w:p>
        </w:tc>
        <w:tc>
          <w:tcPr>
            <w:tcW w:w="1560" w:type="dxa"/>
            <w:vAlign w:val="bottom"/>
          </w:tcPr>
          <w:p>
            <w:pPr>
              <w:jc w:val="center"/>
              <w:ind w:right="39"/>
              <w:spacing w:after="0" w:line="203" w:lineRule="exact"/>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r>
      <w:tr>
        <w:trPr>
          <w:trHeight w:val="212"/>
        </w:trPr>
        <w:tc>
          <w:tcPr>
            <w:tcW w:w="4240" w:type="dxa"/>
            <w:vAlign w:val="bottom"/>
            <w:gridSpan w:val="2"/>
          </w:tcPr>
          <w:p>
            <w:pPr>
              <w:ind w:left="18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Announced Program</w:t>
            </w: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29, 2019 through July 26, 2019</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18,792</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4,934</w:t>
            </w:r>
          </w:p>
        </w:tc>
      </w:tr>
      <w:tr>
        <w:trPr>
          <w:trHeight w:val="23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July 27, 2019 through August 23, 2019</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17,830</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17,830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4,701</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August 24, 2019 through September 27, 2019</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18,830</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4,436</w:t>
            </w:r>
          </w:p>
        </w:tc>
      </w:tr>
      <w:tr>
        <w:trPr>
          <w:trHeight w:val="244"/>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55,452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Stock Repurchase Programs</w:t>
      </w:r>
    </w:p>
    <w:p>
      <w:pPr>
        <w:spacing w:after="0" w:line="13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May 2018, our board of directors approved a repurchase program, which does not have an expiration date, for the repurchase of up to $7.5 million of our common stock. During the three months ended September 27, 2019, we repurchased $0.7 million of our common stock in the open market. As of September 27, 2019, $4.4 million remained available under our stock repurchase program.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ind w:right="93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center"/>
        <w:ind w:right="9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90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to exhibits previously filed with the SEC: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4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01"/>
        </w:trPr>
        <w:tc>
          <w:tcPr>
            <w:tcW w:w="1160" w:type="dxa"/>
            <w:vAlign w:val="bottom"/>
            <w:tcBorders>
              <w:top w:val="single" w:sz="8" w:color="auto"/>
            </w:tcBorders>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4"/>
            <w:shd w:val="clear" w:color="auto" w:fill="CCEEFF"/>
          </w:tcPr>
          <w:p>
            <w:pPr>
              <w:spacing w:after="0" w:line="201"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Current Report on Form 10-Q filed with the SEC on February 10, 2017, File No. 001-33278)</w:t>
              </w:r>
            </w:hyperlink>
          </w:p>
        </w:tc>
        <w:tc>
          <w:tcPr>
            <w:tcW w:w="308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5"/>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with the SEC on October 2, 2015, File No. 001-33278)</w:t>
              </w:r>
            </w:hyperlink>
          </w:p>
        </w:tc>
        <w:tc>
          <w:tcPr>
            <w:tcW w:w="220" w:type="dxa"/>
            <w:vAlign w:val="bottom"/>
            <w:gridSpan w:val="4"/>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2C28FF"/>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2C28FF"/>
                <w:w w:val="99"/>
              </w:rPr>
              <w:t>Amendment of the Bylaws of the Company (incorporated by reference to Exhibit 3.1 to the Current Report on Form 8-K filed with the SEC</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C28FF"/>
              </w:rPr>
              <w:t>on September 20, 2019, File No. 001-33278)</w:t>
            </w: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2C28FF"/>
            </w:tcBorders>
            <w:shd w:val="clear" w:color="auto" w:fill="CCEEFF"/>
          </w:tcPr>
          <w:p>
            <w:pPr>
              <w:spacing w:after="0"/>
              <w:rPr>
                <w:sz w:val="4"/>
                <w:szCs w:val="4"/>
                <w:color w:val="auto"/>
              </w:rPr>
            </w:pPr>
          </w:p>
        </w:tc>
        <w:tc>
          <w:tcPr>
            <w:tcW w:w="2720" w:type="dxa"/>
            <w:vAlign w:val="bottom"/>
            <w:tcBorders>
              <w:top w:val="single" w:sz="8" w:color="2C28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8"/>
          </w:tcPr>
          <w:p>
            <w:pPr>
              <w:spacing w:after="0" w:line="202"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Tax Benefit Preservation Plan, dated as of September 6, 2016, by and between Aviat Networks, Inc. and Computershare Inc., as Rights</w:t>
              </w:r>
            </w:hyperlink>
          </w:p>
        </w:tc>
        <w:tc>
          <w:tcPr>
            <w:tcW w:w="4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Agent (incorporated by reference to Exhibit 4.1 to the Current Report on Form 8-K filed with the SEC on September 7, 2016, File No. 011-</w:t>
              </w:r>
            </w:hyperlink>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3"/>
          </w:tcPr>
          <w:p>
            <w:pPr>
              <w:ind w:left="40"/>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33278)</w:t>
              </w:r>
            </w:hyperlink>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FF"/>
            </w:tcBorders>
            <w:gridSpan w:val="11"/>
            <w:shd w:val="clear" w:color="auto" w:fill="CCEEFF"/>
          </w:tcPr>
          <w:p>
            <w:pPr>
              <w:spacing w:after="0" w:line="202"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Aviat Networks, Inc. 2018 Incentive Plan (incorporated by reference to Appendix A to the Registrant’s Proxy Statement on Schedule 14A</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filed with the SEC on February 12, 2018, File No. 001-33278)</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7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202" w:lineRule="exact"/>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Rule 13a-14(a)/15d-14(a) Certification of Chief Executive Officer and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0000FF"/>
            </w:tcBorders>
            <w:gridSpan w:val="5"/>
            <w:shd w:val="clear" w:color="auto" w:fill="CCEEFF"/>
          </w:tcPr>
          <w:p>
            <w:pPr>
              <w:spacing w:after="0" w:line="202" w:lineRule="exact"/>
              <w:rPr>
                <w:rFonts w:ascii="Times New Roman" w:cs="Times New Roman" w:eastAsia="Times New Roman" w:hAnsi="Times New Roman"/>
                <w:sz w:val="18"/>
                <w:szCs w:val="18"/>
                <w:color w:val="0000FF"/>
                <w:w w:val="99"/>
              </w:rPr>
            </w:pPr>
            <w:hyperlink w:anchor="page38">
              <w:r>
                <w:rPr>
                  <w:rFonts w:ascii="Times New Roman" w:cs="Times New Roman" w:eastAsia="Times New Roman" w:hAnsi="Times New Roman"/>
                  <w:sz w:val="18"/>
                  <w:szCs w:val="18"/>
                  <w:color w:val="0000FF"/>
                  <w:w w:val="99"/>
                </w:rPr>
                <w:t>Section 1350 Certification of Chief Executive Officer and Principal Financial Officer</w:t>
              </w:r>
            </w:hyperlink>
          </w:p>
        </w:tc>
        <w:tc>
          <w:tcPr>
            <w:tcW w:w="3980" w:type="dxa"/>
            <w:vAlign w:val="bottom"/>
            <w:tcBorders>
              <w:bottom w:val="single" w:sz="8" w:color="CCEEFF"/>
            </w:tcBorders>
            <w:gridSpan w:val="9"/>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1"/>
                <w:szCs w:val="21"/>
                <w:color w:val="auto"/>
              </w:rPr>
            </w:pP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1"/>
                <w:szCs w:val="21"/>
                <w:color w:val="auto"/>
              </w:rPr>
            </w:pP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1"/>
                <w:szCs w:val="21"/>
                <w:color w:val="auto"/>
              </w:rPr>
            </w:pP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6"/>
          </w:tcPr>
          <w:p>
            <w:pPr>
              <w:jc w:val="right"/>
              <w:ind w:right="1568"/>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063"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Walter Stanley Gallagher, Jr.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Interim Chief Executive Officer and President, Chief Operating Officer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2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Eric Chang</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Senior Vice President, Corporate Controller and Principal Accounting</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900" w:type="dxa"/>
            <w:vAlign w:val="bottom"/>
            <w:gridSpan w:val="12"/>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16"/>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01"/>
        </w:trPr>
        <w:tc>
          <w:tcPr>
            <w:tcW w:w="1160" w:type="dxa"/>
            <w:vAlign w:val="bottom"/>
            <w:tcBorders>
              <w:top w:val="single" w:sz="8" w:color="auto"/>
            </w:tcBorders>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4"/>
            <w:shd w:val="clear" w:color="auto" w:fill="CCEEFF"/>
          </w:tcPr>
          <w:p>
            <w:pPr>
              <w:spacing w:after="0" w:line="201"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Current Report on Form 10-Q filed with the SEC on February 10, 2017, File No. 001-33278)</w:t>
              </w:r>
            </w:hyperlink>
          </w:p>
        </w:tc>
        <w:tc>
          <w:tcPr>
            <w:tcW w:w="3080" w:type="dxa"/>
            <w:vAlign w:val="bottom"/>
            <w:tcBorders>
              <w:top w:val="single" w:sz="8" w:color="0000EE"/>
              <w:bottom w:val="single" w:sz="8" w:color="CCEEFF"/>
            </w:tcBorders>
            <w:gridSpan w:val="3"/>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5"/>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202"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with the SEC on October 2, 2015, File No. 001-33278)</w:t>
              </w:r>
            </w:hyperlink>
          </w:p>
        </w:tc>
        <w:tc>
          <w:tcPr>
            <w:tcW w:w="220" w:type="dxa"/>
            <w:vAlign w:val="bottom"/>
            <w:gridSpan w:val="4"/>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2C28FF"/>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2C28FF"/>
                <w:w w:val="99"/>
              </w:rPr>
              <w:t>Amendment of the Bylaws of the Company (incorporated by reference to Exhibit 3.1 to the Current Report on Form 8-K filed with the SEC</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C28FF"/>
              </w:rPr>
              <w:t>on September 20, 2019, File No. 001-33278)</w:t>
            </w: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2C28FF"/>
            </w:tcBorders>
            <w:shd w:val="clear" w:color="auto" w:fill="CCEEFF"/>
          </w:tcPr>
          <w:p>
            <w:pPr>
              <w:spacing w:after="0"/>
              <w:rPr>
                <w:sz w:val="4"/>
                <w:szCs w:val="4"/>
                <w:color w:val="auto"/>
              </w:rPr>
            </w:pPr>
          </w:p>
        </w:tc>
        <w:tc>
          <w:tcPr>
            <w:tcW w:w="2720" w:type="dxa"/>
            <w:vAlign w:val="bottom"/>
            <w:tcBorders>
              <w:top w:val="single" w:sz="8" w:color="2C28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2B32FF"/>
            </w:tcBorders>
            <w:gridSpan w:val="8"/>
          </w:tcPr>
          <w:p>
            <w:pPr>
              <w:spacing w:after="0" w:line="202" w:lineRule="exact"/>
              <w:rPr>
                <w:rFonts w:ascii="Times New Roman" w:cs="Times New Roman" w:eastAsia="Times New Roman" w:hAnsi="Times New Roman"/>
                <w:sz w:val="18"/>
                <w:szCs w:val="18"/>
                <w:color w:val="2B32FF"/>
                <w:w w:val="99"/>
              </w:rPr>
            </w:pPr>
            <w:hyperlink r:id="rId21">
              <w:r>
                <w:rPr>
                  <w:rFonts w:ascii="Times New Roman" w:cs="Times New Roman" w:eastAsia="Times New Roman" w:hAnsi="Times New Roman"/>
                  <w:sz w:val="18"/>
                  <w:szCs w:val="18"/>
                  <w:color w:val="2B32FF"/>
                  <w:w w:val="99"/>
                </w:rPr>
                <w:t>Tax Benefit Preservation Plan, dated as of September 6, 2016, by and between Aviat Networks, Inc. and Computershare Inc., as Rights</w:t>
              </w:r>
            </w:hyperlink>
          </w:p>
        </w:tc>
        <w:tc>
          <w:tcPr>
            <w:tcW w:w="4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2B32FF"/>
            </w:tcBorders>
            <w:gridSpan w:val="12"/>
          </w:tcPr>
          <w:p>
            <w:pPr>
              <w:spacing w:after="0" w:line="196" w:lineRule="exact"/>
              <w:rPr>
                <w:rFonts w:ascii="Times New Roman" w:cs="Times New Roman" w:eastAsia="Times New Roman" w:hAnsi="Times New Roman"/>
                <w:sz w:val="18"/>
                <w:szCs w:val="18"/>
                <w:color w:val="2B32FF"/>
                <w:w w:val="99"/>
              </w:rPr>
            </w:pPr>
            <w:hyperlink r:id="rId21">
              <w:r>
                <w:rPr>
                  <w:rFonts w:ascii="Times New Roman" w:cs="Times New Roman" w:eastAsia="Times New Roman" w:hAnsi="Times New Roman"/>
                  <w:sz w:val="18"/>
                  <w:szCs w:val="18"/>
                  <w:color w:val="2B32FF"/>
                  <w:w w:val="99"/>
                </w:rPr>
                <w:t>Agent (incorporated by reference to Exhibit 4.1 to the Current Report on Form 8-K filed with the SEC on September 7, 2016, File No. 011-</w:t>
              </w:r>
            </w:hyperlink>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3"/>
          </w:tcPr>
          <w:p>
            <w:pPr>
              <w:ind w:left="40"/>
              <w:spacing w:after="0" w:line="196" w:lineRule="exact"/>
              <w:rPr>
                <w:rFonts w:ascii="Times New Roman" w:cs="Times New Roman" w:eastAsia="Times New Roman" w:hAnsi="Times New Roman"/>
                <w:sz w:val="18"/>
                <w:szCs w:val="18"/>
                <w:color w:val="2B32FF"/>
              </w:rPr>
            </w:pPr>
            <w:hyperlink r:id="rId21">
              <w:r>
                <w:rPr>
                  <w:rFonts w:ascii="Times New Roman" w:cs="Times New Roman" w:eastAsia="Times New Roman" w:hAnsi="Times New Roman"/>
                  <w:sz w:val="18"/>
                  <w:szCs w:val="18"/>
                  <w:color w:val="2B32FF"/>
                </w:rPr>
                <w:t>33278)</w:t>
              </w:r>
            </w:hyperlink>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2B32FF"/>
            </w:tcBorders>
          </w:tcPr>
          <w:p>
            <w:pPr>
              <w:spacing w:after="0"/>
              <w:rPr>
                <w:sz w:val="4"/>
                <w:szCs w:val="4"/>
                <w:color w:val="auto"/>
              </w:rPr>
            </w:pPr>
          </w:p>
        </w:tc>
        <w:tc>
          <w:tcPr>
            <w:tcW w:w="2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11"/>
            <w:shd w:val="clear" w:color="auto" w:fill="CCEEFF"/>
          </w:tcPr>
          <w:p>
            <w:pPr>
              <w:spacing w:after="0" w:line="202"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Aviat Networks, Inc. 2018 Incentive Plan (incorporated by reference to Appendix A to the Registrant’s Proxy Statement on Schedule 14A</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filed with the SEC on February 12, 2018, File No. 001-33278)</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72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Rule 13a-14(a)/15d-14(a) Certification of Chief Executive Officer and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Section 1350 Certification of Chief Executive Officer and Principal Financial Officer</w:t>
              </w:r>
            </w:hyperlink>
          </w:p>
        </w:tc>
        <w:tc>
          <w:tcPr>
            <w:tcW w:w="3980" w:type="dxa"/>
            <w:vAlign w:val="bottom"/>
            <w:tcBorders>
              <w:bottom w:val="single" w:sz="8" w:color="CCEEFF"/>
            </w:tcBorders>
            <w:gridSpan w:val="9"/>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1"/>
                <w:szCs w:val="21"/>
                <w:color w:val="auto"/>
              </w:rPr>
            </w:pP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1"/>
                <w:szCs w:val="21"/>
                <w:color w:val="auto"/>
              </w:rPr>
            </w:pP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1"/>
                <w:szCs w:val="21"/>
                <w:color w:val="auto"/>
              </w:rPr>
            </w:pP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6"/>
          </w:tcPr>
          <w:p>
            <w:pPr>
              <w:jc w:val="right"/>
              <w:ind w:right="1568"/>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27, 2019,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Walter Stanley Gallagher,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Walter Stanley Gallagher, Jr.</w:t>
            </w:r>
          </w:p>
        </w:tc>
      </w:tr>
      <w:tr>
        <w:trPr>
          <w:trHeight w:val="252"/>
        </w:trPr>
        <w:tc>
          <w:tcPr>
            <w:tcW w:w="658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r>
        <w:trPr>
          <w:trHeight w:val="216"/>
        </w:trPr>
        <w:tc>
          <w:tcPr>
            <w:tcW w:w="6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Operating Officer and Principal Financial</w:t>
            </w:r>
          </w:p>
        </w:tc>
      </w:tr>
      <w:tr>
        <w:trPr>
          <w:trHeight w:val="234"/>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PRINCIPAL FINANCIAL OFFICER OF AVIAT NETWORKS,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TITLE 18 OF THE UNITED STATES CODE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September 27, 2019, as filed with the Securities and Exchange Commission on the date hereof (the “Report”), I, Walter Stanley Gallagher, Jr., Interim Chief Executive Officer and President, Chief Operating Officer and Principal Financial Officer of Aviat Networks, hereby certify, pursuant to Section 906 of the Sarbanes-Oxley Act of 2002, 18 U.S.C. §1350, that:</w:t>
      </w:r>
    </w:p>
    <w:p>
      <w:pPr>
        <w:spacing w:after="0" w:line="14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7, 2019</w:t>
      </w:r>
    </w:p>
    <w:p>
      <w:pPr>
        <w:ind w:left="6080"/>
        <w:spacing w:after="0"/>
        <w:rPr>
          <w:sz w:val="20"/>
          <w:szCs w:val="20"/>
          <w:color w:val="auto"/>
        </w:rPr>
      </w:pPr>
      <w:r>
        <w:rPr>
          <w:rFonts w:ascii="Times New Roman" w:cs="Times New Roman" w:eastAsia="Times New Roman" w:hAnsi="Times New Roman"/>
          <w:sz w:val="18"/>
          <w:szCs w:val="18"/>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Walter Stanley Gallagher, Jr.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Interim Chief Executive Officer and President, Chief Operating</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Officer and 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9" Type="http://schemas.openxmlformats.org/officeDocument/2006/relationships/hyperlink" Target="http://www.sec.gov/Archives/edgar/data/1377789/000137778917000022/avnwexhibit31amendedandres.htm" TargetMode="External"/><Relationship Id="rId20" Type="http://schemas.openxmlformats.org/officeDocument/2006/relationships/hyperlink" Target="http://www.sec.gov/Archives/edgar/data/1377789/000137778915000082/exhibit_aviatamendedandres.htm" TargetMode="External"/><Relationship Id="rId21" Type="http://schemas.openxmlformats.org/officeDocument/2006/relationships/hyperlink" Target="http://www.sec.gov/Archives/edgar/data/1377789/000119312516702547/d254391dex41.htm" TargetMode="External"/><Relationship Id="rId22" Type="http://schemas.openxmlformats.org/officeDocument/2006/relationships/hyperlink" Target="http://www.sec.gov/Archives/edgar/data/1377789/000137778918000016/aviatannualproxyfy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2019-12-28T02:10:41Z</dcterms:created>
  <dcterms:modified xsi:type="dcterms:W3CDTF">2019-12-28T02:10:41Z</dcterms:modified>
</cp:coreProperties>
</file>