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342900</wp:posOffset>
            </wp:positionV>
            <wp:extent cx="7543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 w:lineRule="exact"/>
        <w:rPr>
          <w:sz w:val="24"/>
          <w:szCs w:val="24"/>
          <w:color w:val="auto"/>
        </w:rPr>
      </w:pPr>
    </w:p>
    <w:p>
      <w:pPr>
        <w:ind w:left="460" w:right="420" w:hanging="452"/>
        <w:spacing w:after="0" w:line="281"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July 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AVIAT NETWORKS,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3"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1940" w:type="dxa"/>
            <w:vAlign w:val="bottom"/>
          </w:tcPr>
          <w:p>
            <w:pPr>
              <w:spacing w:after="0"/>
              <w:rPr>
                <w:sz w:val="18"/>
                <w:szCs w:val="18"/>
                <w:color w:val="auto"/>
              </w:rPr>
            </w:pPr>
          </w:p>
        </w:tc>
        <w:tc>
          <w:tcPr>
            <w:tcW w:w="4980" w:type="dxa"/>
            <w:vAlign w:val="bottom"/>
            <w:gridSpan w:val="4"/>
          </w:tcPr>
          <w:p>
            <w:pPr>
              <w:jc w:val="center"/>
              <w:ind w:right="3840"/>
              <w:spacing w:after="0"/>
              <w:rPr>
                <w:sz w:val="20"/>
                <w:szCs w:val="20"/>
                <w:color w:val="auto"/>
              </w:rPr>
            </w:pPr>
            <w:r>
              <w:rPr>
                <w:rFonts w:ascii="Arial" w:cs="Arial" w:eastAsia="Arial" w:hAnsi="Arial"/>
                <w:sz w:val="18"/>
                <w:szCs w:val="18"/>
                <w:b w:val="1"/>
                <w:bCs w:val="1"/>
                <w:color w:val="auto"/>
                <w:w w:val="88"/>
              </w:rPr>
              <w:t>Delaware</w:t>
            </w:r>
          </w:p>
        </w:tc>
        <w:tc>
          <w:tcPr>
            <w:tcW w:w="214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20-5961564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20" w:type="dxa"/>
            <w:vAlign w:val="bottom"/>
            <w:gridSpan w:val="5"/>
          </w:tcPr>
          <w:p>
            <w:pPr>
              <w:jc w:val="center"/>
              <w:ind w:right="19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140" w:type="dxa"/>
            <w:vAlign w:val="bottom"/>
            <w:gridSpan w:val="2"/>
          </w:tcPr>
          <w:p>
            <w:pPr>
              <w:jc w:val="center"/>
              <w:ind w:left="60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920" w:type="dxa"/>
            <w:vAlign w:val="bottom"/>
            <w:gridSpan w:val="5"/>
          </w:tcPr>
          <w:p>
            <w:pPr>
              <w:jc w:val="center"/>
              <w:ind w:right="1920"/>
              <w:spacing w:after="0"/>
              <w:rPr>
                <w:sz w:val="20"/>
                <w:szCs w:val="20"/>
                <w:color w:val="auto"/>
              </w:rPr>
            </w:pPr>
            <w:r>
              <w:rPr>
                <w:rFonts w:ascii="Arial" w:cs="Arial" w:eastAsia="Arial" w:hAnsi="Arial"/>
                <w:sz w:val="14"/>
                <w:szCs w:val="14"/>
                <w:b w:val="1"/>
                <w:bCs w:val="1"/>
                <w:color w:val="auto"/>
                <w:w w:val="88"/>
              </w:rPr>
              <w:t>incorporation or organization)</w:t>
            </w:r>
          </w:p>
        </w:tc>
        <w:tc>
          <w:tcPr>
            <w:tcW w:w="2140" w:type="dxa"/>
            <w:vAlign w:val="bottom"/>
            <w:gridSpan w:val="2"/>
          </w:tcPr>
          <w:p>
            <w:pPr>
              <w:jc w:val="center"/>
              <w:ind w:left="604"/>
              <w:spacing w:after="0"/>
              <w:rPr>
                <w:sz w:val="20"/>
                <w:szCs w:val="20"/>
                <w:color w:val="auto"/>
              </w:rPr>
            </w:pPr>
            <w:r>
              <w:rPr>
                <w:rFonts w:ascii="Arial" w:cs="Arial" w:eastAsia="Arial" w:hAnsi="Arial"/>
                <w:sz w:val="14"/>
                <w:szCs w:val="14"/>
                <w:b w:val="1"/>
                <w:bCs w:val="1"/>
                <w:color w:val="auto"/>
                <w:w w:val="89"/>
              </w:rPr>
              <w:t>Identification No.)</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692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90"/>
              </w:rPr>
              <w:t>5200 Great American Parkway</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920" w:type="dxa"/>
            <w:vAlign w:val="bottom"/>
            <w:gridSpan w:val="5"/>
          </w:tcPr>
          <w:p>
            <w:pPr>
              <w:jc w:val="center"/>
              <w:ind w:right="1920"/>
              <w:spacing w:after="0"/>
              <w:rPr>
                <w:sz w:val="20"/>
                <w:szCs w:val="20"/>
                <w:color w:val="auto"/>
              </w:rPr>
            </w:pPr>
            <w:r>
              <w:rPr>
                <w:rFonts w:ascii="Arial" w:cs="Arial" w:eastAsia="Arial" w:hAnsi="Arial"/>
                <w:sz w:val="18"/>
                <w:szCs w:val="18"/>
                <w:b w:val="1"/>
                <w:bCs w:val="1"/>
                <w:color w:val="auto"/>
                <w:w w:val="90"/>
              </w:rPr>
              <w:t>Santa Clara, CA 95054</w:t>
            </w:r>
          </w:p>
        </w:tc>
        <w:tc>
          <w:tcPr>
            <w:tcW w:w="214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95054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920" w:type="dxa"/>
            <w:vAlign w:val="bottom"/>
            <w:gridSpan w:val="5"/>
          </w:tcPr>
          <w:p>
            <w:pPr>
              <w:jc w:val="center"/>
              <w:ind w:right="192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140" w:type="dxa"/>
            <w:vAlign w:val="bottom"/>
            <w:gridSpan w:val="2"/>
          </w:tcPr>
          <w:p>
            <w:pPr>
              <w:jc w:val="center"/>
              <w:ind w:left="604"/>
              <w:spacing w:after="0"/>
              <w:rPr>
                <w:sz w:val="20"/>
                <w:szCs w:val="20"/>
                <w:color w:val="auto"/>
              </w:rPr>
            </w:pPr>
            <w:r>
              <w:rPr>
                <w:rFonts w:ascii="Arial" w:cs="Arial" w:eastAsia="Arial" w:hAnsi="Arial"/>
                <w:sz w:val="14"/>
                <w:szCs w:val="14"/>
                <w:b w:val="1"/>
                <w:bCs w:val="1"/>
                <w:color w:val="auto"/>
                <w:w w:val="89"/>
              </w:rPr>
              <w:t>(Zip Code)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940" w:type="dxa"/>
            <w:vAlign w:val="bottom"/>
          </w:tcPr>
          <w:p>
            <w:pPr>
              <w:spacing w:after="0"/>
              <w:rPr>
                <w:sz w:val="21"/>
                <w:szCs w:val="21"/>
                <w:color w:val="auto"/>
              </w:rPr>
            </w:pPr>
          </w:p>
        </w:tc>
        <w:tc>
          <w:tcPr>
            <w:tcW w:w="6440" w:type="dxa"/>
            <w:vAlign w:val="bottom"/>
            <w:gridSpan w:val="5"/>
          </w:tcPr>
          <w:p>
            <w:pPr>
              <w:jc w:val="center"/>
              <w:ind w:left="317"/>
              <w:spacing w:after="0"/>
              <w:rPr>
                <w:sz w:val="20"/>
                <w:szCs w:val="20"/>
                <w:color w:val="auto"/>
              </w:rPr>
            </w:pPr>
            <w:r>
              <w:rPr>
                <w:rFonts w:ascii="Arial" w:cs="Arial" w:eastAsia="Arial" w:hAnsi="Arial"/>
                <w:sz w:val="18"/>
                <w:szCs w:val="18"/>
                <w:b w:val="1"/>
                <w:bCs w:val="1"/>
                <w:color w:val="auto"/>
                <w:w w:val="87"/>
              </w:rPr>
              <w:t>Registrant’s telephone number, including area code: (408) 567-7000</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00" w:type="dxa"/>
            <w:vAlign w:val="bottom"/>
            <w:gridSpan w:val="4"/>
          </w:tcPr>
          <w:p>
            <w:pPr>
              <w:jc w:val="center"/>
              <w:ind w:right="68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94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gridSpan w:val="3"/>
          </w:tcPr>
          <w:p>
            <w:pPr>
              <w:spacing w:after="0"/>
              <w:rPr>
                <w:sz w:val="17"/>
                <w:szCs w:val="17"/>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16"/>
        </w:trPr>
        <w:tc>
          <w:tcPr>
            <w:tcW w:w="6920" w:type="dxa"/>
            <w:vAlign w:val="bottom"/>
            <w:gridSpan w:val="5"/>
          </w:tcPr>
          <w:p>
            <w:pPr>
              <w:jc w:val="center"/>
              <w:ind w:right="1920"/>
              <w:spacing w:after="0"/>
              <w:rPr>
                <w:sz w:val="20"/>
                <w:szCs w:val="20"/>
                <w:color w:val="auto"/>
              </w:rPr>
            </w:pPr>
            <w:r>
              <w:rPr>
                <w:rFonts w:ascii="Arial" w:cs="Arial" w:eastAsia="Arial" w:hAnsi="Arial"/>
                <w:sz w:val="18"/>
                <w:szCs w:val="18"/>
                <w:color w:val="auto"/>
                <w:w w:val="87"/>
              </w:rPr>
              <w:t>Common Stock, par value $0.01 per share</w:t>
            </w: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r>
        <w:trPr>
          <w:trHeight w:val="248"/>
        </w:trPr>
        <w:tc>
          <w:tcPr>
            <w:tcW w:w="1940" w:type="dxa"/>
            <w:vAlign w:val="bottom"/>
          </w:tcPr>
          <w:p>
            <w:pPr>
              <w:spacing w:after="0"/>
              <w:rPr>
                <w:sz w:val="21"/>
                <w:szCs w:val="21"/>
                <w:color w:val="auto"/>
              </w:rPr>
            </w:pPr>
          </w:p>
        </w:tc>
        <w:tc>
          <w:tcPr>
            <w:tcW w:w="6440" w:type="dxa"/>
            <w:vAlign w:val="bottom"/>
            <w:gridSpan w:val="5"/>
          </w:tcPr>
          <w:p>
            <w:pPr>
              <w:jc w:val="center"/>
              <w:ind w:left="31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160" w:type="dxa"/>
            <w:vAlign w:val="bottom"/>
            <w:gridSpan w:val="3"/>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840" w:type="dxa"/>
            <w:vAlign w:val="bottom"/>
            <w:gridSpan w:val="2"/>
          </w:tcPr>
          <w:p>
            <w:pPr>
              <w:spacing w:after="0"/>
              <w:rPr>
                <w:sz w:val="11"/>
                <w:szCs w:val="11"/>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38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6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38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4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280" w:firstLine="342"/>
        <w:spacing w:after="0" w:line="23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statements incorporated by reference in Part III of this Form 10-K or any amendment to this Form 10-K. </w:t>
      </w:r>
      <w:r>
        <w:rPr>
          <w:rFonts w:ascii="MS PGothic" w:cs="MS PGothic" w:eastAsia="MS PGothic" w:hAnsi="MS PGothic"/>
          <w:sz w:val="16"/>
          <w:szCs w:val="16"/>
          <w:color w:val="auto"/>
        </w:rPr>
        <w:t>☒</w:t>
      </w:r>
    </w:p>
    <w:p>
      <w:pPr>
        <w:spacing w:after="0" w:line="14" w:lineRule="exact"/>
        <w:rPr>
          <w:sz w:val="24"/>
          <w:szCs w:val="24"/>
          <w:color w:val="auto"/>
        </w:rPr>
      </w:pPr>
    </w:p>
    <w:p>
      <w:pPr>
        <w:ind w:right="60"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96" w:lineRule="exact"/>
        <w:rPr>
          <w:sz w:val="24"/>
          <w:szCs w:val="24"/>
          <w:color w:val="auto"/>
        </w:rPr>
      </w:pPr>
    </w:p>
    <w:p>
      <w:pPr>
        <w:sectPr>
          <w:pgSz w:w="11900" w:h="16838" w:orient="portrait"/>
          <w:cols w:equalWidth="0" w:num="4">
            <w:col w:w="1580" w:space="240"/>
            <w:col w:w="6440" w:space="720"/>
            <w:col w:w="1560" w:space="720"/>
            <w:col w:w="160"/>
          </w:cols>
          <w:pgMar w:left="240" w:top="230"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40" w:lineRule="exact"/>
        <w:rPr>
          <w:sz w:val="24"/>
          <w:szCs w:val="24"/>
          <w:color w:val="auto"/>
        </w:rPr>
      </w:pPr>
    </w:p>
    <w:p>
      <w:pPr>
        <w:sectPr>
          <w:pgSz w:w="11900" w:h="16838" w:orient="portrait"/>
          <w:cols w:equalWidth="0" w:num="3">
            <w:col w:w="1500" w:space="560"/>
            <w:col w:w="6200" w:space="720"/>
            <w:col w:w="2440"/>
          </w:cols>
          <w:pgMar w:left="240" w:top="230" w:right="239" w:bottom="1440" w:gutter="0" w:footer="0" w:header="0"/>
          <w:type w:val="continuous"/>
        </w:sectPr>
      </w:pPr>
    </w:p>
    <w:p>
      <w:pPr>
        <w:spacing w:after="0" w:line="33"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9" w:lineRule="exact"/>
        <w:rPr>
          <w:sz w:val="24"/>
          <w:szCs w:val="24"/>
          <w:color w:val="auto"/>
        </w:rPr>
      </w:pPr>
    </w:p>
    <w:p>
      <w:pPr>
        <w:sectPr>
          <w:pgSz w:w="11900" w:h="16838" w:orient="portrait"/>
          <w:cols w:equalWidth="0" w:num="5">
            <w:col w:w="8320" w:space="180"/>
            <w:col w:w="260" w:space="80"/>
            <w:col w:w="160" w:space="180"/>
            <w:col w:w="220" w:space="80"/>
            <w:col w:w="1940"/>
          </w:cols>
          <w:pgMar w:left="240" w:top="230" w:right="239" w:bottom="1440" w:gutter="0" w:footer="0" w:header="0"/>
          <w:type w:val="continuous"/>
        </w:sectPr>
      </w:pPr>
    </w:p>
    <w:p>
      <w:pPr>
        <w:ind w:right="120" w:firstLine="342"/>
        <w:spacing w:after="0" w:line="299" w:lineRule="auto"/>
        <w:rPr>
          <w:sz w:val="20"/>
          <w:szCs w:val="20"/>
          <w:color w:val="auto"/>
        </w:rPr>
      </w:pPr>
      <w:r>
        <w:rPr>
          <w:rFonts w:ascii="Arial" w:cs="Arial" w:eastAsia="Arial" w:hAnsi="Arial"/>
          <w:sz w:val="16"/>
          <w:szCs w:val="16"/>
          <w:color w:val="auto"/>
        </w:rPr>
        <w:t>As of December 31, 2010 (the last business day of the registrant’s most recently completed second fiscal quarter), the aggregate market value of the registrant’s Common Stock held by non-affiliates was approximately $265,083,000 based upon the closing price per share on The NASDAQ Global Market. For purposes of this calculation, the registrant has assumed that its directors and executive officers as of December 31, 2010 are affiliates.</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shares outstanding of the registrant’s Common Stock as of August 31, 2011 was 60,194,128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160" w:firstLine="342"/>
        <w:spacing w:after="0" w:line="259" w:lineRule="auto"/>
        <w:rPr>
          <w:sz w:val="20"/>
          <w:szCs w:val="20"/>
          <w:color w:val="auto"/>
        </w:rPr>
      </w:pPr>
      <w:r>
        <w:rPr>
          <w:rFonts w:ascii="Arial" w:cs="Arial" w:eastAsia="Arial" w:hAnsi="Arial"/>
          <w:sz w:val="18"/>
          <w:szCs w:val="18"/>
          <w:color w:val="auto"/>
        </w:rPr>
        <w:t>Portions of the registrant’s definitive Proxy Statement for the Annual Meeting of Stockholders scheduled to be held on or about November 17, 2011, which will be filed with the Securities and Exchange Commission within 120 days after the end of the registrant’s fiscal year ended July 1, 2011,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6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w w:val="98"/>
              </w:rPr>
              <w:t>AVIAT NETWORKS, INC.</w:t>
            </w:r>
          </w:p>
        </w:tc>
        <w:tc>
          <w:tcPr>
            <w:tcW w:w="1120" w:type="dxa"/>
            <w:vAlign w:val="bottom"/>
          </w:tcPr>
          <w:p>
            <w:pPr>
              <w:spacing w:after="0"/>
              <w:rPr>
                <w:sz w:val="19"/>
                <w:szCs w:val="19"/>
                <w:color w:val="auto"/>
              </w:rPr>
            </w:pPr>
          </w:p>
        </w:tc>
      </w:tr>
      <w:tr>
        <w:trPr>
          <w:trHeight w:val="297"/>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4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7"/>
              </w:rPr>
              <w:t>ANNUAL REPORT ON FORM 10-K</w:t>
            </w:r>
          </w:p>
        </w:tc>
        <w:tc>
          <w:tcPr>
            <w:tcW w:w="11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40" w:type="dxa"/>
            <w:vAlign w:val="bottom"/>
            <w:gridSpan w:val="10"/>
          </w:tcPr>
          <w:p>
            <w:pPr>
              <w:jc w:val="center"/>
              <w:ind w:right="3020"/>
              <w:spacing w:after="0"/>
              <w:rPr>
                <w:sz w:val="20"/>
                <w:szCs w:val="20"/>
                <w:color w:val="auto"/>
              </w:rPr>
            </w:pPr>
            <w:r>
              <w:rPr>
                <w:rFonts w:ascii="Arial" w:cs="Arial" w:eastAsia="Arial" w:hAnsi="Arial"/>
                <w:sz w:val="18"/>
                <w:szCs w:val="18"/>
                <w:b w:val="1"/>
                <w:bCs w:val="1"/>
                <w:color w:val="auto"/>
                <w:w w:val="88"/>
              </w:rPr>
              <w:t>For the Fiscal Year Ended July 1, 2011</w:t>
            </w:r>
          </w:p>
        </w:tc>
        <w:tc>
          <w:tcPr>
            <w:tcW w:w="11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80" w:type="dxa"/>
            <w:vAlign w:val="bottom"/>
            <w:gridSpan w:val="8"/>
          </w:tcPr>
          <w:p>
            <w:pPr>
              <w:jc w:val="center"/>
              <w:ind w:right="3480"/>
              <w:spacing w:after="0"/>
              <w:rPr>
                <w:sz w:val="20"/>
                <w:szCs w:val="20"/>
                <w:color w:val="auto"/>
              </w:rPr>
            </w:pPr>
            <w:r>
              <w:rPr>
                <w:rFonts w:ascii="Arial" w:cs="Arial" w:eastAsia="Arial" w:hAnsi="Arial"/>
                <w:sz w:val="18"/>
                <w:szCs w:val="18"/>
                <w:b w:val="1"/>
                <w:bCs w:val="1"/>
                <w:color w:val="auto"/>
                <w:w w:val="86"/>
              </w:rPr>
              <w:t>Table of Contents</w:t>
            </w:r>
          </w:p>
        </w:tc>
        <w:tc>
          <w:tcPr>
            <w:tcW w:w="1120" w:type="dxa"/>
            <w:vAlign w:val="bottom"/>
          </w:tcPr>
          <w:p>
            <w:pPr>
              <w:spacing w:after="0"/>
              <w:rPr>
                <w:sz w:val="24"/>
                <w:szCs w:val="24"/>
                <w:color w:val="auto"/>
              </w:rPr>
            </w:pPr>
          </w:p>
        </w:tc>
      </w:tr>
      <w:tr>
        <w:trPr>
          <w:trHeight w:val="380"/>
        </w:trPr>
        <w:tc>
          <w:tcPr>
            <w:tcW w:w="5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94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w:t>
            </w: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4">
              <w:r>
                <w:rPr>
                  <w:rFonts w:ascii="Arial" w:cs="Arial" w:eastAsia="Arial" w:hAnsi="Arial"/>
                  <w:sz w:val="18"/>
                  <w:szCs w:val="18"/>
                  <w:color w:val="0000EE"/>
                  <w:w w:val="76"/>
                </w:rPr>
                <w:t>Business</w:t>
              </w:r>
            </w:hyperlink>
          </w:p>
        </w:tc>
        <w:tc>
          <w:tcPr>
            <w:tcW w:w="8100" w:type="dxa"/>
            <w:vAlign w:val="bottom"/>
            <w:gridSpan w:val="1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1A.</w:t>
            </w:r>
          </w:p>
        </w:tc>
        <w:tc>
          <w:tcPr>
            <w:tcW w:w="868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1B.</w:t>
            </w:r>
          </w:p>
        </w:tc>
        <w:tc>
          <w:tcPr>
            <w:tcW w:w="8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2.</w:t>
            </w: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7"/>
              </w:rPr>
            </w:pPr>
            <w:hyperlink w:anchor="page28">
              <w:r>
                <w:rPr>
                  <w:rFonts w:ascii="Arial" w:cs="Arial" w:eastAsia="Arial" w:hAnsi="Arial"/>
                  <w:sz w:val="18"/>
                  <w:szCs w:val="18"/>
                  <w:color w:val="0000EE"/>
                  <w:w w:val="77"/>
                </w:rPr>
                <w:t>Properties</w:t>
              </w:r>
            </w:hyperlink>
          </w:p>
        </w:tc>
        <w:tc>
          <w:tcPr>
            <w:tcW w:w="1280" w:type="dxa"/>
            <w:vAlign w:val="bottom"/>
            <w:tcBorders>
              <w:top w:val="single" w:sz="8" w:color="0000EE"/>
            </w:tcBorders>
            <w:gridSpan w:val="6"/>
          </w:tcPr>
          <w:p>
            <w:pPr>
              <w:spacing w:after="0"/>
              <w:rPr>
                <w:sz w:val="17"/>
                <w:szCs w:val="17"/>
                <w:color w:val="auto"/>
              </w:rPr>
            </w:pPr>
          </w:p>
        </w:tc>
        <w:tc>
          <w:tcPr>
            <w:tcW w:w="6740" w:type="dxa"/>
            <w:vAlign w:val="bottom"/>
            <w:gridSpan w:val="1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3.</w:t>
            </w:r>
          </w:p>
        </w:tc>
        <w:tc>
          <w:tcPr>
            <w:tcW w:w="868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4.</w:t>
            </w:r>
          </w:p>
        </w:tc>
        <w:tc>
          <w:tcPr>
            <w:tcW w:w="868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Removed and Reserved</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304"/>
        </w:trPr>
        <w:tc>
          <w:tcPr>
            <w:tcW w:w="1520" w:type="dxa"/>
            <w:vAlign w:val="bottom"/>
            <w:gridSpan w:val="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5.</w:t>
            </w:r>
          </w:p>
        </w:tc>
        <w:tc>
          <w:tcPr>
            <w:tcW w:w="8680" w:type="dxa"/>
            <w:vAlign w:val="bottom"/>
            <w:gridSpan w:val="19"/>
          </w:tcPr>
          <w:p>
            <w:pPr>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Market for Registrant’s Common Equity, Related Stockholder Matters and Issuer Purchases of Equity Securities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6.</w:t>
            </w:r>
          </w:p>
        </w:tc>
        <w:tc>
          <w:tcPr>
            <w:tcW w:w="1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7.</w:t>
            </w:r>
          </w:p>
        </w:tc>
        <w:tc>
          <w:tcPr>
            <w:tcW w:w="868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440" w:type="dxa"/>
            <w:vAlign w:val="bottom"/>
            <w:gridSpan w:val="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8.</w:t>
            </w:r>
          </w:p>
        </w:tc>
        <w:tc>
          <w:tcPr>
            <w:tcW w:w="3200" w:type="dxa"/>
            <w:vAlign w:val="bottom"/>
            <w:tcBorders>
              <w:bottom w:val="single" w:sz="8" w:color="0000EE"/>
            </w:tcBorders>
            <w:gridSpan w:val="11"/>
          </w:tcPr>
          <w:p>
            <w:pPr>
              <w:spacing w:after="0" w:line="19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Financial Statements and Supplementary Data</w:t>
              </w:r>
            </w:hyperlink>
          </w:p>
        </w:tc>
        <w:tc>
          <w:tcPr>
            <w:tcW w:w="548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9.</w:t>
            </w:r>
          </w:p>
        </w:tc>
        <w:tc>
          <w:tcPr>
            <w:tcW w:w="8680" w:type="dxa"/>
            <w:vAlign w:val="bottom"/>
            <w:gridSpan w:val="19"/>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Changes in and Disagreements with Accountants on Accounting and Financial Disclosure</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9A.</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3"/>
              </w:rPr>
            </w:pPr>
            <w:hyperlink w:anchor="page102">
              <w:r>
                <w:rPr>
                  <w:rFonts w:ascii="Arial" w:cs="Arial" w:eastAsia="Arial" w:hAnsi="Arial"/>
                  <w:sz w:val="18"/>
                  <w:szCs w:val="18"/>
                  <w:color w:val="0000EE"/>
                  <w:w w:val="83"/>
                </w:rPr>
                <w:t>Controls and Procedures</w:t>
              </w:r>
            </w:hyperlink>
          </w:p>
        </w:tc>
        <w:tc>
          <w:tcPr>
            <w:tcW w:w="4580" w:type="dxa"/>
            <w:vAlign w:val="bottom"/>
            <w:tcBorders>
              <w:top w:val="single" w:sz="8" w:color="0000EE"/>
            </w:tcBorders>
            <w:gridSpan w:val="10"/>
          </w:tcPr>
          <w:p>
            <w:pPr>
              <w:spacing w:after="0"/>
              <w:rPr>
                <w:sz w:val="17"/>
                <w:szCs w:val="17"/>
                <w:color w:val="auto"/>
              </w:rPr>
            </w:pPr>
          </w:p>
        </w:tc>
        <w:tc>
          <w:tcPr>
            <w:tcW w:w="2420" w:type="dxa"/>
            <w:vAlign w:val="bottom"/>
            <w:gridSpan w:val="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9B.</w:t>
            </w:r>
          </w:p>
        </w:tc>
        <w:tc>
          <w:tcPr>
            <w:tcW w:w="8680" w:type="dxa"/>
            <w:vAlign w:val="bottom"/>
            <w:gridSpan w:val="19"/>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304"/>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8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10.</w:t>
            </w:r>
          </w:p>
        </w:tc>
        <w:tc>
          <w:tcPr>
            <w:tcW w:w="8680" w:type="dxa"/>
            <w:vAlign w:val="bottom"/>
            <w:gridSpan w:val="1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11.</w:t>
            </w:r>
          </w:p>
        </w:tc>
        <w:tc>
          <w:tcPr>
            <w:tcW w:w="39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4740" w:type="dxa"/>
            <w:vAlign w:val="bottom"/>
            <w:gridSpan w:val="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12.</w:t>
            </w:r>
          </w:p>
        </w:tc>
        <w:tc>
          <w:tcPr>
            <w:tcW w:w="8680" w:type="dxa"/>
            <w:vAlign w:val="bottom"/>
            <w:gridSpan w:val="1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 and Related Stockholder Matters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13.</w:t>
            </w:r>
          </w:p>
        </w:tc>
        <w:tc>
          <w:tcPr>
            <w:tcW w:w="70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162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14.</w:t>
            </w:r>
          </w:p>
        </w:tc>
        <w:tc>
          <w:tcPr>
            <w:tcW w:w="52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Principal Accountant Fees and Services</w:t>
              </w:r>
            </w:hyperlink>
          </w:p>
        </w:tc>
        <w:tc>
          <w:tcPr>
            <w:tcW w:w="3420" w:type="dxa"/>
            <w:vAlign w:val="bottom"/>
            <w:gridSpan w:val="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304"/>
        </w:trPr>
        <w:tc>
          <w:tcPr>
            <w:tcW w:w="1520" w:type="dxa"/>
            <w:vAlign w:val="bottom"/>
            <w:gridSpan w:val="6"/>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IV</w:t>
              </w:r>
            </w:hyperlink>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4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20" w:type="dxa"/>
            <w:vAlign w:val="bottom"/>
            <w:gridSpan w:val="6"/>
          </w:tcPr>
          <w:p>
            <w:pPr>
              <w:ind w:left="440"/>
              <w:spacing w:after="0" w:line="196" w:lineRule="exact"/>
              <w:rPr>
                <w:sz w:val="20"/>
                <w:szCs w:val="20"/>
                <w:color w:val="auto"/>
              </w:rPr>
            </w:pPr>
            <w:r>
              <w:rPr>
                <w:rFonts w:ascii="Arial" w:cs="Arial" w:eastAsia="Arial" w:hAnsi="Arial"/>
                <w:sz w:val="18"/>
                <w:szCs w:val="18"/>
                <w:color w:val="auto"/>
              </w:rPr>
              <w:t>Item 15.</w:t>
            </w:r>
          </w:p>
        </w:tc>
        <w:tc>
          <w:tcPr>
            <w:tcW w:w="8680" w:type="dxa"/>
            <w:vAlign w:val="bottom"/>
            <w:gridSpan w:val="19"/>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Exhibits and Financial Statement Schedules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440" w:type="dxa"/>
            <w:vAlign w:val="bottom"/>
          </w:tcPr>
          <w:p>
            <w:pPr>
              <w:spacing w:after="0" w:line="20" w:lineRule="exact"/>
              <w:rPr>
                <w:sz w:val="1"/>
                <w:szCs w:val="1"/>
                <w:color w:val="auto"/>
              </w:rPr>
            </w:pPr>
          </w:p>
        </w:tc>
        <w:tc>
          <w:tcPr>
            <w:tcW w:w="1080" w:type="dxa"/>
            <w:vAlign w:val="bottom"/>
            <w:tcBorders>
              <w:right w:val="single" w:sz="8" w:color="0000EE"/>
            </w:tcBorders>
            <w:gridSpan w:val="5"/>
          </w:tcPr>
          <w:p>
            <w:pPr>
              <w:spacing w:after="0" w:line="20" w:lineRule="exact"/>
              <w:rPr>
                <w:sz w:val="1"/>
                <w:szCs w:val="1"/>
                <w:color w:val="auto"/>
              </w:rPr>
            </w:pPr>
          </w:p>
        </w:tc>
        <w:tc>
          <w:tcPr>
            <w:tcW w:w="3020" w:type="dxa"/>
            <w:vAlign w:val="bottom"/>
            <w:gridSpan w:val="10"/>
            <w:shd w:val="clear" w:color="auto" w:fill="0000EE"/>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SIGNATURES</w:t>
              </w:r>
            </w:hyperlink>
          </w:p>
        </w:tc>
        <w:tc>
          <w:tcPr>
            <w:tcW w:w="8680" w:type="dxa"/>
            <w:vAlign w:val="bottom"/>
            <w:gridSpan w:val="1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383"/>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60" w:type="dxa"/>
            <w:vAlign w:val="bottom"/>
            <w:gridSpan w:val="14"/>
          </w:tcPr>
          <w:p>
            <w:pPr>
              <w:jc w:val="center"/>
              <w:ind w:left="3052"/>
              <w:spacing w:after="0"/>
              <w:rPr>
                <w:sz w:val="20"/>
                <w:szCs w:val="20"/>
                <w:color w:val="auto"/>
              </w:rPr>
            </w:pPr>
            <w:r>
              <w:rPr>
                <w:rFonts w:ascii="Arial" w:cs="Arial" w:eastAsia="Arial" w:hAnsi="Arial"/>
                <w:sz w:val="18"/>
                <w:szCs w:val="18"/>
                <w:color w:val="auto"/>
                <w:w w:val="79"/>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2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3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90" w:lineRule="exact"/>
        <w:rPr>
          <w:rFonts w:ascii="Arial" w:cs="Arial" w:eastAsia="Arial" w:hAnsi="Arial"/>
          <w:sz w:val="18"/>
          <w:szCs w:val="18"/>
          <w:i w:val="1"/>
          <w:iCs w:val="1"/>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 such as the recent natural disasters in Japan;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timely perform;</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retention of our key personnel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Annual Report on Form 10-K or, in the case of any document incorporated by reference, the date of that document.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Aviat Networks, Inc., together with its subsidiaries, is a leading global supplier of turnkey wireless transmission solutions, backed by an extensive suite of professional services and support. Aviat Networks, Inc. may be referred to as the “Company,” “AVNW,” “Aviat Networks,” “we,” “us” and “our” in this Annual Report on Form 10-K.</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were incorporated in Delaware in 2006 to combine the businesses of Harris Corporation’s Microwave Communications Division (“MCD”) and Stratex Networks, Inc. (“Stratex”).</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principal executive offices are located at 5200 Great America Parkway, Santa Clara, CA 95054, and our telephone number is (408) 567-7000. Our common stock is listed on the NASDAQ Global Market under the symbol AVNW. As of July 1, 2011, we employed approximately 1,000 people, compared with approximately 1,380 people as of July 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May 2011, we announced our intention to sell the WiMAX business. This move is part of our strategy to focus on our core microwave transmission business. On September 2, 2011, we completed the sale of our WiMAX business and related assets consisting of certain technology, inventory and equipment to EION Networks, Inc., a privately-owned Canadian company based in Ottawa, Ontario. As part of the terms of the sale, we assigned our customer contracts for WiMAX products and maintenance, and will license related patents to EION Networks, Inc.</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August 24, 2011, we announced that Thomas L. Cronan, Senior Vice President and Chief Financial Officer would leave the Company to pursue other business interests effectively immediately and was replaced by John J. Madigan as interim Chief Financial Officer. Mr. Madigan has been our Vice President, Corporate Controller and Principal Accounting Officer since January 4, 2011. We are actively searching for a new Chief Financial Officer.</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July 18, 2011, we announced the appointment of a new President and Chief Executive officer, Michael A. Pangia. Mr. Pangia joined Aviat Networks as Chief Sales Officer in March 2009 and during the last year led our efforts to restructure and refocus our sales and service teams. Mr. Pangia was also appointed as a member of our board of directors, which was increased from eight to nine members by resolution of our board. Our previous Chief Executive Officer, Charles D. Kissner, remains Chairman of the Board.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25, 2010, we announced the closure of our Morrisville, North Carolina (RTP) facility. This was one of the key actions announced in our corporate restructuring plan to reduce annual spending. As part of the closure, several RTP business functions were relocated to our other facilities and the closure is now completed. The relocations included the following:</w:t>
      </w:r>
    </w:p>
    <w:p>
      <w:pPr>
        <w:spacing w:after="0" w:line="5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Network Operations Center moved to our San Antonio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IT/Network and Applications Support was moved to our Santa Clara headquarters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Finance operations were consolidated and moved to Santa Clara.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engineering functions were moved to select facilities in Slovenia and New Zealand.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Description of Business by Segment</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design, manufacture and sell a range of wireless networking products, solutions and services to mobile and fixed operators, private network operators, government agencies, transportation and utility companies, public safety agencies and broadcast network operators across the globe. Our products include point-to-point (PTP) digital microwave transmission systems designed for first/last mile access, middle mile/backhaul, and long distance trunking applications. We also provide network management solutions to enable operators to deploy, monitor and manage our systems, third party equipment such as antennas, routers, multiplexers, etc, necessary to build and deploy a complete wireless transmission network, and a full suite of turnkey support services. We offer a broad range of products and services through two reportable business segments based on geographical markets: North America and International. Revenue and other financial information regarding our business segments are set forth in “Item 7. Management’s Discussion and Analysis of Financial Condition and Results of Operations” in this Annual Report on Form 10-K.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North America segment delivers microwave radio products and services to major national carriers and other cellular network operators, public safety and other government agencies, systems integrators, transportation and utility companies and other private network operators within North America. Our North American business is primarily to the cellular backhaul and public safety 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North America segment revenue represented approximately 35%, 38% and 34% of our total revenue for fiscal 2011, 2010 and 2009,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Although generally we sell products and services directly to our North American customers, we also use distributors to sell some products and services.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Segment</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International segment delivers microwave radio products and services to regional and national carriers and other cellular network operators, public safety agencies, government and defense agencies, and other private network operators in every region outside of North America. Our wireless systems deliver regional and country-wide backbone in developing nations, where microwave radio installations provide 21st-century communications rapidly and economically. Rural communities, areas with rugged terrain and regions with extreme temperatures benefit from the ability to build an advanced, affordable communications infrastructure despite these challenges. A significant part of our international business consists of supplying wireless segments in small-pocket, remote, rural and metropolitan areas. High-capacity backhaul is one of the fastest growing wireless market segments and is a major opportunity for us. We see the increase in subscriber density and the forecasted growth and introduction of new bandwidth-hungry High Speed Packet Access (“HSPA”)/Long Term Evolution (“LTE”) mobile broadband services as major drivers for growth in this market.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International segment represented approximately 65%, 62% and 66% of our revenue for fiscal 2011, 2010 and 2009, respectively. We sell products and services directly to our international customers and also use agents and distributors.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Wireless transmission networks currently are constructed using microwave radios and other equipment to interconnect cell sites, switching systems, wireline transmission systems and other fixed access facilities. Wireless transmission networks range in size from a single transmission link connecting two buildings to complex networks comprising of thousands of wireless links. The architecture of a network is influenced by several factors, including the available radio frequency spectrum, coordination of frequencies with existing infrastructure, application requirements, environmental factors and local geography.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In recent years, there has been an increase in capital spending in the wireless telecommunications industry. The demand for high-speed wireless transmission products has been growing at a higher rate than the wireless industry as a whole. We believe that this growth is directly related to a growing global subscriber base for mobile wireless communications services, emergence of new high capacity mobile devices and data-intensive applications and demand for new services delivered from next-generation networks capable of delivering broadband services. Major driving factors for such growth include the following:</w:t>
      </w:r>
    </w:p>
    <w:p>
      <w:pPr>
        <w:spacing w:after="0" w:line="17" w:lineRule="exact"/>
        <w:rPr>
          <w:sz w:val="20"/>
          <w:szCs w:val="20"/>
          <w:color w:val="auto"/>
        </w:rPr>
      </w:pPr>
    </w:p>
    <w:p>
      <w:pPr>
        <w:ind w:left="900" w:hanging="325"/>
        <w:spacing w:after="0" w:line="287"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Global wireless subscriber growth and introduction of new broadband mobile services. </w:t>
      </w:r>
      <w:r>
        <w:rPr>
          <w:rFonts w:ascii="Arial" w:cs="Arial" w:eastAsia="Arial" w:hAnsi="Arial"/>
          <w:sz w:val="16"/>
          <w:szCs w:val="16"/>
          <w:color w:val="auto"/>
        </w:rPr>
        <w:t>The number of global wireless subscribers and minutes of use</w:t>
      </w:r>
      <w:r>
        <w:rPr>
          <w:rFonts w:ascii="Arial" w:cs="Arial" w:eastAsia="Arial" w:hAnsi="Arial"/>
          <w:sz w:val="16"/>
          <w:szCs w:val="16"/>
          <w:i w:val="1"/>
          <w:iCs w:val="1"/>
          <w:color w:val="auto"/>
        </w:rPr>
        <w:t xml:space="preserve"> </w:t>
      </w:r>
      <w:r>
        <w:rPr>
          <w:rFonts w:ascii="Arial" w:cs="Arial" w:eastAsia="Arial" w:hAnsi="Arial"/>
          <w:sz w:val="16"/>
          <w:szCs w:val="16"/>
          <w:color w:val="auto"/>
        </w:rPr>
        <w:t>per subscriber are expected by industry analysts to continue to increase. The primary drivers include increased subscription and dramatic growth in demand for mobile broadband data services facilitated by the introduction of new data-driven devices, like smartphones and tablets. These third-generation, or “3G,” data applications are now widely available in developed countries and some of developing countries, which have fueled an acceleration of data usage. New mobile standards now being deployed, including High Speed Packet Access (HSPA) and Evolved High Speed Packet Access (HSPA+) will further increase the demand for mobile data. We believe that growth as a result of new data services will continue for the next several years and persist with the introduction of the next generation of radio technologies, referred to as “4G” or LTE for mobile networks starting in 2011. These developments are driving many operators to upgrade their backhaul networks to 100% Internet Protocol, or IP-based, from the current traditional time-division multiplexing (“TDM”) networks in order to provide higher network capacity and increased flexibility at a lower overall operating cost.</w:t>
      </w:r>
    </w:p>
    <w:p>
      <w:pPr>
        <w:spacing w:after="0" w:line="41" w:lineRule="exact"/>
        <w:rPr>
          <w:rFonts w:ascii="Arial" w:cs="Arial" w:eastAsia="Arial" w:hAnsi="Arial"/>
          <w:sz w:val="16"/>
          <w:szCs w:val="16"/>
          <w:color w:val="auto"/>
        </w:rPr>
      </w:pPr>
    </w:p>
    <w:p>
      <w:pPr>
        <w:ind w:left="900" w:right="20" w:hanging="325"/>
        <w:spacing w:after="0" w:line="289"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Increased growth in mobile and fixed wireless telecommunications infrastructures. </w:t>
      </w:r>
      <w:r>
        <w:rPr>
          <w:rFonts w:ascii="Arial" w:cs="Arial" w:eastAsia="Arial" w:hAnsi="Arial"/>
          <w:sz w:val="16"/>
          <w:szCs w:val="16"/>
          <w:color w:val="auto"/>
        </w:rPr>
        <w:t>In many places, telecommunications services are inadequate or</w:t>
      </w:r>
      <w:r>
        <w:rPr>
          <w:rFonts w:ascii="Arial" w:cs="Arial" w:eastAsia="Arial" w:hAnsi="Arial"/>
          <w:sz w:val="16"/>
          <w:szCs w:val="16"/>
          <w:i w:val="1"/>
          <w:iCs w:val="1"/>
          <w:color w:val="auto"/>
        </w:rPr>
        <w:t xml:space="preserve"> </w:t>
      </w:r>
      <w:r>
        <w:rPr>
          <w:rFonts w:ascii="Arial" w:cs="Arial" w:eastAsia="Arial" w:hAnsi="Arial"/>
          <w:sz w:val="16"/>
          <w:szCs w:val="16"/>
          <w:color w:val="auto"/>
        </w:rPr>
        <w:t>unreliable because of the lack of existing infrastructure or required security. To service providers in developing countries seeking to increase the availability and quality of telecommunications and Internet access services, wireless solutions are an attractive alternative to the construction or leasing of wireline networks, given their relatively low cost and ease of deployment. As a result, there has been an increased growth in mobile and fixed wireless telecommunications infrastructures in developing countries. Emerging telecommunications markets in Africa, Asia, the Middle East, Latin America and Eastern Europe are characterized by a need to build out basic telecommunications systems. We believe that microwave will play a key role in bringing broadband services to these countries which lack sufficient existing telecom infrastructure. In addition, there is a continuing requirement in developed countries for private networks maintained by both governmental and non-governmental entities.</w:t>
      </w:r>
    </w:p>
    <w:p>
      <w:pPr>
        <w:spacing w:after="0" w:line="37" w:lineRule="exact"/>
        <w:rPr>
          <w:rFonts w:ascii="Arial" w:cs="Arial" w:eastAsia="Arial" w:hAnsi="Arial"/>
          <w:sz w:val="16"/>
          <w:szCs w:val="16"/>
          <w:color w:val="auto"/>
        </w:rPr>
      </w:pPr>
    </w:p>
    <w:p>
      <w:pPr>
        <w:ind w:left="900" w:right="6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Smart Grid. </w:t>
      </w:r>
      <w:r>
        <w:rPr>
          <w:rFonts w:ascii="Arial" w:cs="Arial" w:eastAsia="Arial" w:hAnsi="Arial"/>
          <w:sz w:val="18"/>
          <w:szCs w:val="18"/>
          <w:color w:val="auto"/>
        </w:rPr>
        <w:t>Some governments are now promoting the adoption of smart grid to meet the increasing demand of energy, improve efficiency and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of networked grid and address environmental issues such as Greenhouse Gas Emission. The new deployment of smart grid or the upgrade of existing utility assets (including substations, distribution lines and power generation facilities), may drive increasing demand for wireless technologies.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Trends and Developments in the Industry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global trends and developments in the microwave communications markets include: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fixed-line to mobile-line substitution;</w:t>
      </w:r>
    </w:p>
    <w:p>
      <w:pPr>
        <w:spacing w:after="0" w:line="9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migration of existing telecommunications network infrastructure from legacy TDM technologies such as Synchronous Digital Hierarchy (“SDH”)/Synchronous Optical Networking (“SONET”) to high speed packet-based networks such as </w:t>
      </w:r>
      <w:r>
        <w:rPr>
          <w:rFonts w:ascii="Arial" w:cs="Arial" w:eastAsia="Arial" w:hAnsi="Arial"/>
          <w:sz w:val="18"/>
          <w:szCs w:val="18"/>
          <w:i w:val="1"/>
          <w:iCs w:val="1"/>
          <w:color w:val="auto"/>
        </w:rPr>
        <w:t>Ethernet</w:t>
      </w:r>
      <w:r>
        <w:rPr>
          <w:rFonts w:ascii="Arial" w:cs="Arial" w:eastAsia="Arial" w:hAnsi="Arial"/>
          <w:sz w:val="18"/>
          <w:szCs w:val="18"/>
          <w:color w:val="auto"/>
        </w:rPr>
        <w:t>/IP/Multiprotocol Label Switching (“MPLS”), etc. This migration is moving faster in some sectors, such as mobile networks, than others, but is a clear trend for the future that will drive significant network upgrades over the next three to five years;</w:t>
      </w:r>
    </w:p>
    <w:p>
      <w:pPr>
        <w:spacing w:after="0" w:line="62"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emergence of small cells that can efficiently offload the vast backhaul traffic from the core of mobile networks to meet service provider’ capacity challenges and address ever-present coverage issues;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 networks and public telecommunications operators building high-reliability, high-bandwidth networks that are more secure and better protected against natural and man-made disasters;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global wireless subscribers.</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believe that as telecommunications requirements grow, wireless systems will continue to be used as transmission systems to support a variety of existing and expanding communications networks and applications. We believe that wireless systems will be used to address the connection requirements of several markets and applications, including the broadband access market, cellular applications and private networks.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Over the past year, we have made significant strides in transitioning our company to focus on our cost effective core microwave transmission business. We offer and will continue to improve upon our microwave transmission solutions that deliver the network performance needed to support next generation services and enable a smooth transition from legacy networks to all IP.</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Newer generation 4G technologies require high-speed packet infrastructures. To address this requirement, we have enhanced our core product offering by building on our market leading Eclipse Packet Node platform by adding new features and enhancements and leveraging technology in third party products to provide a complete IP network solution.</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look to retain our position as a wireless transmission technology leader with Eclipse Packet Node by ensuring our capabilities anticipate the evolving needs of our customers and the corresponding network technology use. The future roadmap for Eclipse evolves the platform toward a full convergence solution with embedded capabilities enabling a migration path to an all IP network. We believe that the Eclipse solution for evolution to IP is the lowest risk, lowest cost, and most flexible solution available because it builds incrementally on the customer’s existing investment, delivering a smooth “hybrid” to full IP migration path for customers globally. The IP evolution capabilities are specifically enabled by the modular additions. This incremental plug-in approach allows operators to move toward an all IP based system at their own pace without the risk, downtime or expense associated with a complete replacement or the forced migration to another platform.</w:t>
      </w:r>
    </w:p>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strategy includes partnering with companies with technical expertise in areas outside of our core competencies to meet our customers’ demand for an end-to-end solution. Our partner product strategy enables us to go beyond wireless transmission to combat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R&amp;D efforts on core competency wireless innovations. Having a broader portfolio will enable us to further differentiate our offerings from other independent microwave equipment suppliers.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to continue to serve and expand upon our existing customer base and develop business with new customers. We have sold more than 750,000 microwave radios in over 140 countries and are present in more than 300 mobile networks worldwide. We intend to leverage our customer base, our longstanding presence in many countries, our distribution channels, our comprehensive product line, our superior customer service and our turnkey solution capability to continue to sell existing and new products and services to current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offer a comprehensive product and solutions portfolio that addresses the needs of service providers and network operators in every region of the world, addressing a broad range of applications, frequencies, capacities and network topologies. Product categories include point-to-point microwave radios that are licensed (subject to local frequency regulatory requirements), lightly-licensed and license-exempt (operating in license-exempt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frequencies), and element and network management software. In addition, we provide end-to-end turnkey broadband telecommunications systems, including complete design, deployment, maintenance, and managed network services, while being an attentive and adaptable partner for our customers — a key competitive differentiator for Aviat Networks.</w:t>
      </w:r>
    </w:p>
    <w:p>
      <w:pPr>
        <w:spacing w:after="0" w:line="59" w:lineRule="exact"/>
        <w:rPr>
          <w:sz w:val="20"/>
          <w:szCs w:val="20"/>
          <w:color w:val="auto"/>
        </w:rPr>
      </w:pPr>
    </w:p>
    <w:p>
      <w:pPr>
        <w:ind w:left="90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Broad product and solution portfolio. </w:t>
      </w:r>
      <w:r>
        <w:rPr>
          <w:rFonts w:ascii="Arial" w:cs="Arial" w:eastAsia="Arial" w:hAnsi="Arial"/>
          <w:sz w:val="16"/>
          <w:szCs w:val="16"/>
          <w:color w:val="auto"/>
        </w:rPr>
        <w:t>We offer a comprehensive suite of wireless transmission systems for microwave and millimeter-wave backhaul</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transport applications. Our solution consists of tailored offerings of our own wireless products and our own integrated ancillary equipment or that of other manufacturers, element and network management systems and professional services. These solutions address a wide range of transmission frequencies, ranging from 2.4 MHz to 90 GHz, and a wide range of transmission capacities, ranging up to 4 gigabits per second. The major product families included in these solutions are Eclipse, Aviat WTM 3000, Aviat WTM 6000 and ProVision.</w:t>
      </w:r>
    </w:p>
    <w:p>
      <w:pPr>
        <w:spacing w:after="0" w:line="34"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Wireless-based solutions offer a relatively low total cost of ownership, including savings on the combined costs of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31" w:lineRule="exact"/>
        <w:rPr>
          <w:rFonts w:ascii="Arial" w:cs="Arial" w:eastAsia="Arial" w:hAnsi="Arial"/>
          <w:sz w:val="16"/>
          <w:szCs w:val="16"/>
          <w:color w:val="auto"/>
        </w:rPr>
      </w:pPr>
    </w:p>
    <w:p>
      <w:pPr>
        <w:ind w:left="900" w:right="1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Futureproof network. </w:t>
      </w:r>
      <w:r>
        <w:rPr>
          <w:rFonts w:ascii="Arial" w:cs="Arial" w:eastAsia="Arial" w:hAnsi="Arial"/>
          <w:sz w:val="18"/>
          <w:szCs w:val="18"/>
          <w:color w:val="auto"/>
        </w:rPr>
        <w:t>Our solutions are designed to protect the network operator’s investment by incorporating software-configurable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plug-in modules that provide a smooth migration path to emerging technologies, such as carrier Ethernet and IP-based networking, without the need for costly equipment substitutions and additions. Our products include key technologies we believe will be needed by operators for their network evolution to support new broadband services.</w:t>
      </w:r>
    </w:p>
    <w:p>
      <w:pPr>
        <w:spacing w:after="0" w:line="62" w:lineRule="exact"/>
        <w:rPr>
          <w:rFonts w:ascii="Arial" w:cs="Arial" w:eastAsia="Arial" w:hAnsi="Arial"/>
          <w:sz w:val="18"/>
          <w:szCs w:val="18"/>
          <w:color w:val="auto"/>
        </w:rPr>
      </w:pPr>
    </w:p>
    <w:p>
      <w:pPr>
        <w:ind w:left="900" w:right="14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Flexible, easily configurable products. </w:t>
      </w:r>
      <w:r>
        <w:rPr>
          <w:rFonts w:ascii="Arial" w:cs="Arial" w:eastAsia="Arial" w:hAnsi="Arial"/>
          <w:sz w:val="18"/>
          <w:szCs w:val="18"/>
          <w:color w:val="auto"/>
        </w:rPr>
        <w:t>We use flexible architectures with a high level of software configurable features. This design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high-performance products with the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62"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network management. </w:t>
      </w:r>
      <w:r>
        <w:rPr>
          <w:rFonts w:ascii="Arial" w:cs="Arial" w:eastAsia="Arial" w:hAnsi="Arial"/>
          <w:sz w:val="18"/>
          <w:szCs w:val="18"/>
          <w:color w:val="auto"/>
        </w:rPr>
        <w:t>We offer a range of flexible network management solutions, from element management to enterprise-wide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management and service assurance that we optimize to work with our wireless systems.</w:t>
      </w:r>
    </w:p>
    <w:p>
      <w:pPr>
        <w:spacing w:after="0" w:line="50" w:lineRule="exact"/>
        <w:rPr>
          <w:rFonts w:ascii="Arial" w:cs="Arial" w:eastAsia="Arial" w:hAnsi="Arial"/>
          <w:sz w:val="18"/>
          <w:szCs w:val="18"/>
          <w:color w:val="auto"/>
        </w:rPr>
      </w:pPr>
    </w:p>
    <w:p>
      <w:pPr>
        <w:ind w:left="900" w:right="60" w:hanging="325"/>
        <w:spacing w:after="0" w:line="33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Complete professional services. </w:t>
      </w:r>
      <w:r>
        <w:rPr>
          <w:rFonts w:ascii="Arial" w:cs="Arial" w:eastAsia="Arial" w:hAnsi="Arial"/>
          <w:sz w:val="15"/>
          <w:szCs w:val="15"/>
          <w:color w:val="auto"/>
        </w:rPr>
        <w:t>In addition to our product offerings, we provide network planning and design, site surveys and builds, systems</w:t>
      </w:r>
      <w:r>
        <w:rPr>
          <w:rFonts w:ascii="Arial" w:cs="Arial" w:eastAsia="Arial" w:hAnsi="Arial"/>
          <w:sz w:val="15"/>
          <w:szCs w:val="15"/>
          <w:i w:val="1"/>
          <w:iCs w:val="1"/>
          <w:color w:val="auto"/>
        </w:rPr>
        <w:t xml:space="preserve"> </w:t>
      </w:r>
      <w:r>
        <w:rPr>
          <w:rFonts w:ascii="Arial" w:cs="Arial" w:eastAsia="Arial" w:hAnsi="Arial"/>
          <w:sz w:val="15"/>
          <w:szCs w:val="15"/>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63" w:lineRule="exact"/>
        <w:rPr>
          <w:sz w:val="20"/>
          <w:szCs w:val="20"/>
          <w:color w:val="auto"/>
        </w:rPr>
      </w:pPr>
    </w:p>
    <w:p>
      <w:pPr>
        <w:jc w:val="right"/>
        <w:ind w:right="9880"/>
        <w:spacing w:after="0"/>
        <w:rPr>
          <w:sz w:val="20"/>
          <w:szCs w:val="20"/>
          <w:color w:val="auto"/>
        </w:rPr>
      </w:pPr>
      <w:r>
        <w:rPr>
          <w:rFonts w:ascii="Arial" w:cs="Arial" w:eastAsia="Arial" w:hAnsi="Arial"/>
          <w:sz w:val="15"/>
          <w:szCs w:val="15"/>
          <w:b w:val="1"/>
          <w:bCs w:val="1"/>
          <w:color w:val="auto"/>
        </w:rPr>
        <w:t>Business Operations</w:t>
      </w:r>
    </w:p>
    <w:p>
      <w:pPr>
        <w:spacing w:after="0" w:line="131" w:lineRule="exact"/>
        <w:rPr>
          <w:sz w:val="20"/>
          <w:szCs w:val="20"/>
          <w:color w:val="auto"/>
        </w:rPr>
      </w:pPr>
    </w:p>
    <w:p>
      <w:pPr>
        <w:jc w:val="right"/>
        <w:ind w:right="9920"/>
        <w:spacing w:after="0"/>
        <w:rPr>
          <w:sz w:val="20"/>
          <w:szCs w:val="20"/>
          <w:color w:val="auto"/>
        </w:rPr>
      </w:pPr>
      <w:r>
        <w:rPr>
          <w:rFonts w:ascii="Arial" w:cs="Arial" w:eastAsia="Arial" w:hAnsi="Arial"/>
          <w:sz w:val="16"/>
          <w:szCs w:val="16"/>
          <w:b w:val="1"/>
          <w:bCs w:val="1"/>
          <w:i w:val="1"/>
          <w:iCs w:val="1"/>
          <w:color w:val="auto"/>
        </w:rPr>
        <w:t>Sales and Service</w:t>
      </w:r>
    </w:p>
    <w:p>
      <w:pPr>
        <w:spacing w:after="0" w:line="11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believe that a direct and continuing relationship with service providers is a competitive advantage in attracting new customers and satisfying existing ones. As a result, we offer our products and services through our own direct sales, service and support organization, which allows us to closely monitor the needs of our customers. We have offices in Canada and the United States in North America; Argentina and Mexico in Central and South America; Slovenia, Poland, France, Austria, Amsterdam and the United Kingdom in Europe; Nigeria, Kenya, Ivory Coast, Algeria and South Africa in Africa; the United Arab Emirates in the Middle East; and Australia, Bangladesh, India, New Zealand, Indonesia, China, Malaysia, the Philippines, Singapore and Thailand in the Asia-Pacific region. Our local offices provide us with a better understanding of our customers’ needs and enable us to respond to local issues and unique local requirements.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also have informal, and in some cases formal, relationships with original equipment manufacturers or OEMs and system integrators. Such relationships increase our ability to pursue a limited number of major contract awards each year. In addition, such relationships provide our customers with easier access to financing and integrated system providers with a variety of equipment and service capabilities. In selected countries, we also market our products through independent agents and distributors, as well as through system integrators.</w:t>
      </w:r>
    </w:p>
    <w:p>
      <w:pPr>
        <w:spacing w:after="0" w:line="143"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have repair and service centers in India, Nigeria, the Philippines, the United Kingdom and the United States. Our international headquarters in Singapore provides sales and customer support for the Asia-Pacific region from this facility.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9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specific terms and conditions of our product warranties vary depending upon the product sold and country in which we do business. On direct sales, warranty periods generally start on the delivery date and continue for one to two years.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Manufacturing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Historically, our global manufacturing setup supporting customer demand involved a combination of in-house capability that largely focused on North America and outsourced capability for International. To improve our lead-time performance and overall cost, during fiscal 2011 we transitioned our Unites States in-house manufacturing capability to an entirely outsourced manufacturing model utilizing multiple locations of our existing contract manufacturing partners both in the United States and internationally. Additionally, we perform our system integration and customer test and acceptance operations at one contract manufacturer’s site in the United States.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backlog by business segment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380" w:type="dxa"/>
            <w:vAlign w:val="bottom"/>
            <w:gridSpan w:val="3"/>
          </w:tcPr>
          <w:p>
            <w:pPr>
              <w:ind w:left="2700"/>
              <w:spacing w:after="0"/>
              <w:rPr>
                <w:sz w:val="20"/>
                <w:szCs w:val="20"/>
                <w:color w:val="auto"/>
              </w:rPr>
            </w:pPr>
            <w:r>
              <w:rPr>
                <w:rFonts w:ascii="Arial" w:cs="Arial" w:eastAsia="Arial" w:hAnsi="Arial"/>
                <w:sz w:val="14"/>
                <w:szCs w:val="14"/>
                <w:b w:val="1"/>
                <w:bCs w:val="1"/>
                <w:color w:val="auto"/>
                <w:w w:val="83"/>
              </w:rPr>
              <w:t>July 1, 2011</w:t>
            </w:r>
          </w:p>
        </w:tc>
        <w:tc>
          <w:tcPr>
            <w:tcW w:w="1540" w:type="dxa"/>
            <w:vAlign w:val="bottom"/>
            <w:gridSpan w:val="4"/>
          </w:tcPr>
          <w:p>
            <w:pPr>
              <w:ind w:left="740"/>
              <w:spacing w:after="0"/>
              <w:rPr>
                <w:sz w:val="20"/>
                <w:szCs w:val="20"/>
                <w:color w:val="auto"/>
              </w:rPr>
            </w:pPr>
            <w:r>
              <w:rPr>
                <w:rFonts w:ascii="Arial" w:cs="Arial" w:eastAsia="Arial" w:hAnsi="Arial"/>
                <w:sz w:val="14"/>
                <w:szCs w:val="14"/>
                <w:b w:val="1"/>
                <w:bCs w:val="1"/>
                <w:color w:val="auto"/>
                <w:w w:val="99"/>
              </w:rPr>
              <w:t>July 2, 2010</w:t>
            </w:r>
          </w:p>
        </w:tc>
      </w:tr>
      <w:tr>
        <w:trPr>
          <w:trHeight w:val="142"/>
        </w:trPr>
        <w:tc>
          <w:tcPr>
            <w:tcW w:w="37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8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International</w:t>
            </w:r>
          </w:p>
        </w:tc>
        <w:tc>
          <w:tcPr>
            <w:tcW w:w="2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Backlog for our products generally consists of contracts or purchase orders for both product deliveries scheduled within the next 12 months and extended service warranty. We regularly review our backlog to ensure that our customers continue to honor their purchase commitments and have the financial means to purchase and deploy our products and services in accordance with the terms of their purchase contracts.</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expect to substantially fill the entire backlog as of July 1, 2011 during fiscal 2012,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period because of the timing of orders, delivery intervals, customer and product mix and the possibility of changes in delivery schedules and additions or cancellations of orders. The backlog figures exclude advance payments and unearned income amounts. As of July 1, 2011, no customers accounted for 10% or more of our total backlog.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wireless networks.</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fiscal 2011, the Mobile Telephone Networks, or MTN group in Africa accounted for 14% of our total revenue compared with 17% in fiscal 2010 and 17% in fiscal 2009. We have entered into separate and distinct contracts with MTN as well as separate arrangements with MTN group subsidiaries. None of such other contracts on an individual basis are material to our operations. The loss of all MTN group business could adversely affect our results of operations, cash flows and financial position.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we have a large customer base, during any given fiscal year or quarter, a small number of customers may account for a significant portion of our revenue. In certain circumstances, we sell our products to service providers through OEMs, which provide the service providers with access to financing and in some instances, protection from fluctuations in international currency exchange rates.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measures of our revenue in international markets as a percentage of total revenue and international revenue:</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8540" w:type="dxa"/>
            <w:vAlign w:val="bottom"/>
            <w:vMerge w:val="restart"/>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12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Total Revenue</w:t>
            </w:r>
          </w:p>
        </w:tc>
        <w:tc>
          <w:tcPr>
            <w:tcW w:w="0" w:type="dxa"/>
            <w:vAlign w:val="bottom"/>
          </w:tcPr>
          <w:p>
            <w:pPr>
              <w:spacing w:after="0"/>
              <w:rPr>
                <w:sz w:val="1"/>
                <w:szCs w:val="1"/>
                <w:color w:val="auto"/>
              </w:rPr>
            </w:pPr>
          </w:p>
        </w:tc>
      </w:tr>
      <w:tr>
        <w:trPr>
          <w:trHeight w:val="190"/>
        </w:trPr>
        <w:tc>
          <w:tcPr>
            <w:tcW w:w="9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 from U.S. exports or manufactured abroad:</w:t>
            </w: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46"/>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8540" w:type="dxa"/>
            <w:vAlign w:val="bottom"/>
            <w:vMerge w:val="restart"/>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12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Non U.S. Revenue</w:t>
            </w:r>
          </w:p>
        </w:tc>
        <w:tc>
          <w:tcPr>
            <w:tcW w:w="0" w:type="dxa"/>
            <w:vAlign w:val="bottom"/>
          </w:tcPr>
          <w:p>
            <w:pPr>
              <w:spacing w:after="0"/>
              <w:rPr>
                <w:sz w:val="1"/>
                <w:szCs w:val="1"/>
                <w:color w:val="auto"/>
              </w:rPr>
            </w:pPr>
          </w:p>
        </w:tc>
      </w:tr>
      <w:tr>
        <w:trPr>
          <w:trHeight w:val="190"/>
        </w:trPr>
        <w:tc>
          <w:tcPr>
            <w:tcW w:w="9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 from U.S. exports:</w:t>
            </w: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46"/>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8540" w:type="dxa"/>
            <w:vAlign w:val="bottom"/>
            <w:vMerge w:val="restart"/>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12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Total Revenue</w:t>
            </w:r>
          </w:p>
        </w:tc>
        <w:tc>
          <w:tcPr>
            <w:tcW w:w="0" w:type="dxa"/>
            <w:vAlign w:val="bottom"/>
          </w:tcPr>
          <w:p>
            <w:pPr>
              <w:spacing w:after="0"/>
              <w:rPr>
                <w:sz w:val="1"/>
                <w:szCs w:val="1"/>
                <w:color w:val="auto"/>
              </w:rPr>
            </w:pPr>
          </w:p>
        </w:tc>
      </w:tr>
      <w:tr>
        <w:trPr>
          <w:trHeight w:val="190"/>
        </w:trPr>
        <w:tc>
          <w:tcPr>
            <w:tcW w:w="9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 from operations conducted in local international currencies:</w:t>
            </w: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46"/>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8540" w:type="dxa"/>
            <w:vAlign w:val="bottom"/>
            <w:vMerge w:val="restart"/>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12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Total Revenue</w:t>
            </w:r>
          </w:p>
        </w:tc>
        <w:tc>
          <w:tcPr>
            <w:tcW w:w="0" w:type="dxa"/>
            <w:vAlign w:val="bottom"/>
          </w:tcPr>
          <w:p>
            <w:pPr>
              <w:spacing w:after="0"/>
              <w:rPr>
                <w:sz w:val="1"/>
                <w:szCs w:val="1"/>
                <w:color w:val="auto"/>
              </w:rPr>
            </w:pPr>
          </w:p>
        </w:tc>
      </w:tr>
      <w:tr>
        <w:trPr>
          <w:trHeight w:val="190"/>
        </w:trPr>
        <w:tc>
          <w:tcPr>
            <w:tcW w:w="9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 from foreign countries representing more than 5% of total revenue:</w:t>
            </w: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Fiscal 2011 Nigeria</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 Nigeria</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Fiscal 2010 Saudi Arabia</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2009 Nigeria</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Fiscal 2009 Poland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56"/>
        </w:trPr>
        <w:tc>
          <w:tcPr>
            <w:tcW w:w="9240" w:type="dxa"/>
            <w:vAlign w:val="bottom"/>
            <w:gridSpan w:val="2"/>
          </w:tcPr>
          <w:p>
            <w:pPr>
              <w:ind w:left="516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functional currency of our subsidiaries located in the United Kingdom, Singapore, Mexico, Algeria and New Zealand is the U.S. dollar so the effect of foreign currency changes have not had a significant effect on our revenue. Direct export sales, as well as sales from international subsidiaries, are primarily denominated in U.S. dollars. International operations represented 52% and 64% of our long-lived assets as of July 1, 2011 and as of July 2, 2010.</w:t>
      </w:r>
    </w:p>
    <w:p>
      <w:pPr>
        <w:spacing w:after="0" w:line="10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conduct international marketing activities through subsidiaries operating in Europe, Central and South America, Africa and Asia. We also have established marketing organizations and several regional sales offices in these same geographic areas.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indirect sales channels, including dealers, distributors and sales representatives, in the marketing and sale of some lines of products and equipment internationally.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may mark up those prices in setting the final sales prices paid by the customer.</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significant portion of our exports are paid for by letters of credit, with the balance carried on an open account. In addition, significant international government contracts generally require us to provide performance guarantees.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particular economic, social and political conditions for business conducted outside the U.S. differ from those encountered by domestic businesses. We believe that the overall business risk for our international business as a whole is somewhat greater than that faced by our domestic operations as a whole. For a discussion of the risks we are subject to as a result of our international operations, see “Item 1A. Risk Factors” in this Annual Report on Form 10-K.</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wireless access, backhaul and interconnection business is a specialized segment of the wireless telecommunications industry that is sensitive to technological advancements and is extremely competitive. Some of our competitors have more extensive engineering, manufacturing and marketing capabilities and greater financial, technical and personnel resources than us. Some of our competitors may have greater name recognition, broader product lines (some including non-wireless telecommunications equipment and managed services), a larger installed base of products and longer-standing customer relationships. In addition, some competitors offer seller financing which is a competitive advantage in the current economic environment.</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successful product and systems development is not necessarily dependent on substantial financial resources, many of our competitors are significantly larger than us and can maintain higher levels of expenditures for research and development. In addition, a portion of our overall market is addressed by large mobile infrastructure providers who bundle microwave radios with other mobile network equipment, such as cellular base stations or switching systems, and offer a full range of services. This part of the market is generally not open to independent microwave suppliers like us.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also compete with a number of smaller independent private and public specialist companies, who typically leverage new technologies and low-cost models, but usually are not able to offer a complete solution including turnkey services in all regions of the world.</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principal microwave competitors include large mobile infrastructure manufacturers such as Alcatel-Lucent, Ericsson, NEC, Huawei, ZTE and Nokia Siemens Networks, as well as a number of other smaller public and private microwave specialists companies such as Ceragon, DragonWave, Huawei Technologies and ZTE in selected markets. Some of our competitors are OEMs or systems integrators through which we sometimes distribute and sell products and services to end users.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two major product areas: Backhaul Solutions, and Network Management Systems. In addition, we are investing in key innovation that will help separate these products from the competition. The majority of such research and development resources will be used for point-to-point digital microwave radio systems for access, backhaul, trunking and license-exempt applications.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research, development and engineering expenditures totaled $40.5 million, or 9.0 % of revenue in fiscal 2011, $31.1 million, or 6.7 % of revenue in fiscal 2010, and $36.4 million, or 5.4 % of revenue in fiscal 2009.</w:t>
      </w:r>
    </w:p>
    <w:p>
      <w:pPr>
        <w:spacing w:after="0" w:line="13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Research, development and engineering are primarily directed to the development of new products and to building technological capability. We are, and historically have been, an industry innovator. Consistent with our history and strategy of introducing innovative products, we intend to continue to focus significant resources on product development in an effort to maintain our competitiveness and support our entry into new markets. We maintain new product development programs that could result in new products, such as WTM3000 and expansion of the Eclipse Packet Node introduced in fiscal 2011</w:t>
      </w:r>
      <w:r>
        <w:rPr>
          <w:rFonts w:ascii="Arial" w:cs="Arial" w:eastAsia="Arial" w:hAnsi="Arial"/>
          <w:sz w:val="16"/>
          <w:szCs w:val="16"/>
          <w:b w:val="1"/>
          <w:bCs w:val="1"/>
          <w:color w:val="auto"/>
        </w:rPr>
        <w:t>.</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product development team numbered 232 in July 2011, located in Santa Clara, California; Wellington, New Zealand; Singapore and Ljubljana, Slovenia.</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Raw Materials and Supplies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Because of the diversity of our products and services, as well as the wide geographic dispersion of our facilities, we use numerous sources for the wide array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strategy for procuring raw material and supplies includes dual sourcing on strategic assemblies and components. In general, we believe this reduces our risk with regards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volume discount from a single source. Our supply chain plan includes mitigation plans for alternative manufacturing sources and identified alternate suppliers.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While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They are due primarily to the highly technical nature of many of our purchased components.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Looking ahead, there is an increasing level of global shortages for some common electronic components used by numerous manufacturers across the industry. During the global economic downturn, many component suppliers reduced their manufacturing capacity commensurate with declining global demand. Recently, global demand has outpaced manufacturing capacity for some electronic components resulting in extended lead times and in some cases allocation to our contract manufacturers.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and Other Intellectual Property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August 18, 2011, we held 123 U.S. patents and 98 international patents and had 52 U.S. patent applications pending and 70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While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and Other Regulations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and/or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4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also could impact our business, financial condition and results of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July 2, 2011 we employed approximately 1,000 people, compared with 1,380 as of the end of fiscal year 2010 and 1,521 as of the end of fiscal 2009. Approximately 540 of our employees are located in the U.S. We also utilized approximately 130 independent contractors as of July 2, 2011. None of our employees in the U.S. are represented by a labor union. In certain international subsidiaries, our employees are represented by workers’ councils or statutory labor unions. In general, we believe that our relations with our employees are good.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2011,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Name and Age</w:t>
            </w:r>
          </w:p>
        </w:tc>
        <w:tc>
          <w:tcPr>
            <w:tcW w:w="3480" w:type="dxa"/>
            <w:vAlign w:val="bottom"/>
          </w:tcPr>
          <w:p>
            <w:pPr>
              <w:spacing w:after="0"/>
              <w:rPr>
                <w:sz w:val="14"/>
                <w:szCs w:val="14"/>
                <w:color w:val="auto"/>
              </w:rPr>
            </w:pPr>
          </w:p>
        </w:tc>
        <w:tc>
          <w:tcPr>
            <w:tcW w:w="434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 Currently Held and Past Business Experience</w:t>
            </w:r>
          </w:p>
        </w:tc>
      </w:tr>
      <w:tr>
        <w:trPr>
          <w:trHeight w:val="201"/>
        </w:trPr>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Michael A.</w:t>
            </w: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Pangia, 50</w:t>
            </w:r>
          </w:p>
        </w:tc>
        <w:tc>
          <w:tcPr>
            <w:tcW w:w="3480" w:type="dxa"/>
            <w:vAlign w:val="bottom"/>
          </w:tcPr>
          <w:p>
            <w:pPr>
              <w:ind w:left="2460"/>
              <w:spacing w:after="0" w:line="201" w:lineRule="exact"/>
              <w:rPr>
                <w:sz w:val="20"/>
                <w:szCs w:val="20"/>
                <w:color w:val="auto"/>
              </w:rPr>
            </w:pPr>
            <w:r>
              <w:rPr>
                <w:rFonts w:ascii="Arial" w:cs="Arial" w:eastAsia="Arial" w:hAnsi="Arial"/>
                <w:sz w:val="18"/>
                <w:szCs w:val="18"/>
                <w:color w:val="auto"/>
                <w:w w:val="82"/>
              </w:rPr>
              <w:t>Mr. Pangia has</w:t>
            </w:r>
          </w:p>
        </w:tc>
        <w:tc>
          <w:tcPr>
            <w:tcW w:w="33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85"/>
              </w:rPr>
              <w:t>been our President and Chief Executive Officer</w:t>
            </w:r>
          </w:p>
        </w:tc>
        <w:tc>
          <w:tcPr>
            <w:tcW w:w="1020" w:type="dxa"/>
            <w:vAlign w:val="bottom"/>
          </w:tcPr>
          <w:p>
            <w:pPr>
              <w:ind w:left="120"/>
              <w:spacing w:after="0" w:line="201" w:lineRule="exact"/>
              <w:rPr>
                <w:sz w:val="20"/>
                <w:szCs w:val="20"/>
                <w:color w:val="auto"/>
              </w:rPr>
            </w:pPr>
            <w:r>
              <w:rPr>
                <w:rFonts w:ascii="Arial" w:cs="Arial" w:eastAsia="Arial" w:hAnsi="Arial"/>
                <w:sz w:val="18"/>
                <w:szCs w:val="18"/>
                <w:color w:val="auto"/>
              </w:rPr>
              <w:t>and a</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90"/>
              </w:rPr>
              <w:t>member of the Board since July 18, 2011. From March 2009 to July 2011,</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87"/>
              </w:rPr>
              <w:t>he served as the Chief Sales Officer where he was responsible for company-</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96"/>
              </w:rPr>
              <w:t>wide operations of the global sales and services organization. Prior to</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93"/>
              </w:rPr>
              <w:t>joining Aviat Networks, from 2008 to 2009, Mr. Pangia served as Senior</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87"/>
              </w:rPr>
              <w:t>Vice President, global sales operations and strategy at Nortel, where he was</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93"/>
              </w:rPr>
              <w:t>responsible for all operational aspects of the global sales function. From</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97"/>
              </w:rPr>
              <w:t>2006 to 2008, he was President of Nortel’s Asia region where his key</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94"/>
              </w:rPr>
              <w:t>responsibilities included sales and overall business management for all</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88"/>
              </w:rPr>
              <w:t>countries where Nortel did business in the region and from 2005 to 2006, he</w:t>
            </w:r>
          </w:p>
        </w:tc>
      </w:tr>
      <w:tr>
        <w:trPr>
          <w:trHeight w:val="222"/>
        </w:trPr>
        <w:tc>
          <w:tcPr>
            <w:tcW w:w="9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rPr>
              <w:t>was the Chief Operating Officer of Nortel’s Asia region.</w:t>
            </w:r>
          </w:p>
        </w:tc>
      </w:tr>
      <w:tr>
        <w:trPr>
          <w:trHeight w:val="318"/>
        </w:trPr>
        <w:tc>
          <w:tcPr>
            <w:tcW w:w="3600" w:type="dxa"/>
            <w:vAlign w:val="bottom"/>
            <w:gridSpan w:val="2"/>
          </w:tcPr>
          <w:p>
            <w:pPr>
              <w:spacing w:after="0"/>
              <w:rPr>
                <w:sz w:val="20"/>
                <w:szCs w:val="20"/>
                <w:color w:val="auto"/>
              </w:rPr>
            </w:pPr>
            <w:r>
              <w:rPr>
                <w:rFonts w:ascii="Arial" w:cs="Arial" w:eastAsia="Arial" w:hAnsi="Arial"/>
                <w:sz w:val="18"/>
                <w:szCs w:val="18"/>
                <w:color w:val="auto"/>
              </w:rPr>
              <w:t>John J. Madigan, 53</w:t>
            </w: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90"/>
              </w:rPr>
              <w:t>Mr. Madigan was appointed to serve as our interim Chief Financial Officer,</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91"/>
              </w:rPr>
              <w:t>effective August 25, 2011. Mr. Madigan joined the Company in January of</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89"/>
              </w:rPr>
              <w:t>2011 and since has served as our Vice President, Corporate Controller and</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91"/>
              </w:rPr>
              <w:t>Principal Accounting Officer. Prior to joining Aviat Networks, he served as</w:t>
            </w:r>
          </w:p>
        </w:tc>
      </w:tr>
      <w:tr>
        <w:trPr>
          <w:trHeight w:val="216"/>
        </w:trPr>
        <w:tc>
          <w:tcPr>
            <w:tcW w:w="9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w w:val="88"/>
              </w:rPr>
              <w:t>Vice President, Corporate Controller of Redback Networks, Inc., an Internet</w:t>
            </w:r>
          </w:p>
        </w:tc>
      </w:tr>
      <w:tr>
        <w:trPr>
          <w:trHeight w:val="222"/>
        </w:trPr>
        <w:tc>
          <w:tcPr>
            <w:tcW w:w="9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7820" w:type="dxa"/>
            <w:vAlign w:val="bottom"/>
            <w:gridSpan w:val="3"/>
          </w:tcPr>
          <w:p>
            <w:pPr>
              <w:ind w:left="2460"/>
              <w:spacing w:after="0"/>
              <w:rPr>
                <w:sz w:val="20"/>
                <w:szCs w:val="20"/>
                <w:color w:val="auto"/>
              </w:rPr>
            </w:pPr>
            <w:r>
              <w:rPr>
                <w:rFonts w:ascii="Arial" w:cs="Arial" w:eastAsia="Arial" w:hAnsi="Arial"/>
                <w:sz w:val="18"/>
                <w:szCs w:val="18"/>
                <w:color w:val="auto"/>
              </w:rPr>
              <w:t>network equipment provider, and then as</w:t>
            </w:r>
          </w:p>
        </w:tc>
      </w:tr>
      <w:tr>
        <w:trPr>
          <w:trHeight w:val="365"/>
        </w:trPr>
        <w:tc>
          <w:tcPr>
            <w:tcW w:w="9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80" w:type="dxa"/>
            <w:vAlign w:val="bottom"/>
          </w:tcPr>
          <w:p>
            <w:pPr>
              <w:ind w:left="2020"/>
              <w:spacing w:after="0"/>
              <w:rPr>
                <w:sz w:val="20"/>
                <w:szCs w:val="20"/>
                <w:color w:val="auto"/>
              </w:rPr>
            </w:pPr>
            <w:r>
              <w:rPr>
                <w:rFonts w:ascii="Arial" w:cs="Arial" w:eastAsia="Arial" w:hAnsi="Arial"/>
                <w:sz w:val="18"/>
                <w:szCs w:val="18"/>
                <w:color w:val="auto"/>
              </w:rPr>
              <w:t>14</w:t>
            </w:r>
          </w:p>
        </w:tc>
        <w:tc>
          <w:tcPr>
            <w:tcW w:w="3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Vice President, Finance after Ericsson’s acquisition of Redback in January</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2007. From 2001 to 2006, Mr. Madigan served as Controller of Siebel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Systems, Inc., a customer relationship management application company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which was acquired by Oracle Corporation in 2006. Mr. Madigan is a</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Certified Public Accountant and holds a bachelor degree in Business from</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Santa Clara University.</w:t>
      </w:r>
    </w:p>
    <w:p>
      <w:pPr>
        <w:sectPr>
          <w:pgSz w:w="11900" w:h="16838" w:orient="portrait"/>
          <w:cols w:equalWidth="0" w:num="1">
            <w:col w:w="11340"/>
          </w:cols>
          <w:pgMar w:left="240" w:top="459" w:right="31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Paul A. Kennard, 60</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Mr. Kennard joined our company as Chief Technology Officer in January 2007 when Harris Corporation’s Microwave Communications Division (“MCD”) and Stratex Networks, Inc. merged. In 1996 he joined Stratex Networks as Vice President, Engineering.</w:t>
      </w:r>
    </w:p>
    <w:p>
      <w:pPr>
        <w:spacing w:after="0" w:line="59" w:lineRule="exact"/>
        <w:rPr>
          <w:sz w:val="20"/>
          <w:szCs w:val="20"/>
          <w:color w:val="auto"/>
        </w:rPr>
      </w:pPr>
    </w:p>
    <w:p>
      <w:pPr>
        <w:sectPr>
          <w:pgSz w:w="11900" w:h="16838" w:orient="portrait"/>
          <w:cols w:equalWidth="0" w:num="2">
            <w:col w:w="5340" w:space="720"/>
            <w:col w:w="52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Meena L. Elliott, 48</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8"/>
          <w:szCs w:val="18"/>
          <w:color w:val="auto"/>
        </w:rPr>
        <w:t>Ms. Elliott was appointed Senior Vice President, General Counsel and Secretary on September 1, 2011. Since July 2009, she has served as Vice President, General Counsel and Secretary. She joined our company as Associate General Counsel and Assistant Secretary in January 2007 when Harris MCD and Stratex Networks merged. Ms. Elliott joined Harris Corporation’s MCD as Division Counsel in March 2006. Prior to joining MCD, she was Chief Counsel at the Department of Commerce from 2002-2006.</w:t>
      </w:r>
    </w:p>
    <w:p>
      <w:pPr>
        <w:spacing w:after="0" w:line="91" w:lineRule="exact"/>
        <w:rPr>
          <w:sz w:val="20"/>
          <w:szCs w:val="20"/>
          <w:color w:val="auto"/>
        </w:rPr>
      </w:pPr>
    </w:p>
    <w:p>
      <w:pPr>
        <w:sectPr>
          <w:pgSz w:w="11900" w:h="16838" w:orient="portrait"/>
          <w:cols w:equalWidth="0" w:num="2">
            <w:col w:w="5340" w:space="720"/>
            <w:col w:w="52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Heinz H. Stumpe, 56</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Mr. Stumpe was appointed Chief Operating Officer and Senior Vice President Global Operations on June 30, 2008. Previously, he was Vice President, Global Operations for Aviat Networks and Stratex Networks. He joined Stratex Networks as Director, Marketing in 1996. He was promoted to Vice President, Global Accounts in 1999, Vice President, Strategic Accounts in 2002 and Vice President, Global Operations in April 2006.</w:t>
      </w:r>
    </w:p>
    <w:p>
      <w:pPr>
        <w:spacing w:after="0" w:line="66" w:lineRule="exact"/>
        <w:rPr>
          <w:sz w:val="20"/>
          <w:szCs w:val="20"/>
          <w:color w:val="auto"/>
        </w:rPr>
      </w:pPr>
    </w:p>
    <w:p>
      <w:pPr>
        <w:sectPr>
          <w:pgSz w:w="11900" w:h="16838" w:orient="portrait"/>
          <w:cols w:equalWidth="0" w:num="2">
            <w:col w:w="5340" w:space="720"/>
            <w:col w:w="528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Shaun McFall, 51</w:t>
      </w:r>
    </w:p>
    <w:p>
      <w:pPr>
        <w:spacing w:after="0" w:line="20" w:lineRule="exact"/>
        <w:rPr>
          <w:sz w:val="20"/>
          <w:szCs w:val="20"/>
          <w:color w:val="auto"/>
        </w:rPr>
      </w:pPr>
      <w:r>
        <w:rPr>
          <w:sz w:val="20"/>
          <w:szCs w:val="20"/>
          <w:color w:val="auto"/>
        </w:rPr>
        <w:br w:type="column"/>
      </w:r>
    </w:p>
    <w:p>
      <w:pPr>
        <w:ind w:right="60"/>
        <w:spacing w:after="0" w:line="335" w:lineRule="auto"/>
        <w:rPr>
          <w:sz w:val="20"/>
          <w:szCs w:val="20"/>
          <w:color w:val="auto"/>
        </w:rPr>
      </w:pPr>
      <w:r>
        <w:rPr>
          <w:rFonts w:ascii="Arial" w:cs="Arial" w:eastAsia="Arial" w:hAnsi="Arial"/>
          <w:sz w:val="15"/>
          <w:szCs w:val="15"/>
          <w:color w:val="auto"/>
        </w:rPr>
        <w:t>Mr. McFall has been our Chief Marketing Officer since July 2008. Previously, from 2000 to 2008, he served as Vice President, Marketing for Aviat Networks and Stratex Networks. He has been with us since 1989.</w:t>
      </w:r>
    </w:p>
    <w:p>
      <w:pPr>
        <w:spacing w:after="0" w:line="88" w:lineRule="exact"/>
        <w:rPr>
          <w:sz w:val="20"/>
          <w:szCs w:val="20"/>
          <w:color w:val="auto"/>
        </w:rPr>
      </w:pPr>
    </w:p>
    <w:p>
      <w:pPr>
        <w:sectPr>
          <w:pgSz w:w="11900" w:h="16838" w:orient="portrait"/>
          <w:cols w:equalWidth="0" w:num="2">
            <w:col w:w="5340" w:space="720"/>
            <w:col w:w="5280"/>
          </w:cols>
          <w:pgMar w:left="240" w:top="459" w:right="319" w:bottom="1440" w:gutter="0" w:footer="0" w:header="0"/>
          <w:type w:val="continuous"/>
        </w:sectPr>
      </w:pPr>
    </w:p>
    <w:p>
      <w:pPr>
        <w:ind w:right="100" w:firstLine="456"/>
        <w:spacing w:after="0" w:line="259" w:lineRule="auto"/>
        <w:rPr>
          <w:sz w:val="20"/>
          <w:szCs w:val="20"/>
          <w:color w:val="auto"/>
        </w:rPr>
      </w:pPr>
      <w:r>
        <w:rPr>
          <w:rFonts w:ascii="Arial" w:cs="Arial" w:eastAsia="Arial" w:hAnsi="Arial"/>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Web site Access to Aviat Networks’ Reports; Available Information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maintain an Internet Web site at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http://www.aviatnetworks.com.</w:t>
      </w:r>
      <w:r>
        <w:rPr>
          <w:rFonts w:ascii="Arial" w:cs="Arial" w:eastAsia="Arial" w:hAnsi="Arial"/>
          <w:sz w:val="18"/>
          <w:szCs w:val="18"/>
          <w:i w:val="1"/>
          <w:iCs w:val="1"/>
          <w:color w:val="auto"/>
        </w:rPr>
        <w:t xml:space="preserve"> </w:t>
      </w:r>
      <w:r>
        <w:rPr>
          <w:rFonts w:ascii="Arial" w:cs="Arial" w:eastAsia="Arial" w:hAnsi="Arial"/>
          <w:sz w:val="18"/>
          <w:szCs w:val="18"/>
          <w:color w:val="auto"/>
        </w:rPr>
        <w:t>Our annual reports on Form 10-K, proxy statement, quarterly reports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 current reports on Form 8-K and amendments to such reports, filed or furnished pursuant to Section 13(a) or 15(d) of the Securities Exchange Act of 1934, are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available free of charge on our Web 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will also provide the reports in electronic or paper form, free of charge upon request. All reports we file with or furnish to the SEC are also available free of charge via EDGAR through the SEC’s website at http://www.sec.gov.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Additional information relating to our businesses, including our operating segments, is set forth in “Item 7. Management’s Discussion and Analysis of Financial Condition and Results of Operations”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that we are not aware of or focused on may also impair our business operations. If any of these risks actually occur, our financial condition and results of operations could be materially and adversely affected.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not been profitable and must increase our revenues and reduce costs if we hope to achieve sustainable profitability.</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measured under U.S. generally accepted accounting principles (“U.S. GAAP”), we have incurred a net loss in each of the last 8 fiscal years. We incurred net losses of $90.5 million in fiscal 2011, $130.2 million in fiscal 2010 and $355.0 million in fiscal 2009 and have been unprofitable since we became a public company in January 2007. We also have consistently reported losses from operations, although we have generated cash from operations in fiscal 2010 and fiscal 2009.</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Throughout fiscal 2011 we experienced strong price competition for new business in all regions while major customer consolidations also put pressure on revenue and gross margin. Our revenue declined to $452.1 million in fiscal 2011 compared with $465.5 million in fiscal 2010 and $677.9 million in fiscal 2009. We saw pricing pressures in all markets, particularly in international markets where we compete for the business of large, carrier customers. In all markets, telecommunication operating companies consolidated through mergers or acquisitions, leading to fewer, but larger customers. In order to counter pricing pressures, we invested heavily in product improvements to reduce unit costs and enhance product features, exited manufacturing facilities and shifted production to contract manufacturers, and worked with our vendors to attain more favorable pricing.</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Gross margin in fiscal 2011 was $128.1 million, or 28.3% of revenue, compared with $132.8 million, or 28.5% of revenue in fiscal 2010. We were able to offset price reductions in part through several programs to reduce cost, which included the end of sales of legacy product in North America and converting our customers to our new, more cost efficient product platform for that market. Additionally, we converted our North American product production to a contract manufacturer and completed the final closure of our North America factory facility, introduced new, less costly versions of our main product line and continued efforts to work with vendors to improve their prices.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fiscal year 2011, we implemented our restructuring plan involving cost reduction initiatives and reduced our annual operating costs by approximately $21.3 million. These actions were intended to bring our operational cost structure in line with the changing dynamics of the microwave radio and telecommunications markets.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cannot be certain that these actions or others that we may take in the future will result in operating profitability or net income as determined under U.S. GAAP.</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We may undertake further restructuring activities which may adversely impact our operations, and we may not realize all of the anticipated benefits of these activities or any future restructurings.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continue to evaluate our business to determine the potential need to realign our resources as we continue to transform our business in order to achieve desired cost savings in an increasingly competitive market. In prior years, we have undertaken a series of restructurings of our operations involving, among other things and depending on the year, reductions of our workforce, the relocation of our corporate headquarters and the reduction and outsourcing of manufacturing activities.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consolidate additional facilities in the future, we may incur additional restructuring and related expenses, which could have a material adverse effect on our business, financial condition or results of operations.</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have based our restructuring efforts on assumptions and plans regarding the appropriate cost structure of our businesses based on our product mix and projected sales among other factors. These assumptions may not be correct and we may not be able to operate in accordance with our plans. Should this occur we may determine that we must incur additional restructuring charges in the future. Moreover, we cannot assure you that we will realize all of the anticipated benefits of the restructurings or that we will not further reduce or otherwise adjust our workforce or exit, or dispose of, certain businesses and protect lines. Any decision to further limit investment, exit, or dispose of businesses may result in the recording of additional restructuring charges. As a result, the costs actually incurred in connection with the restructuring efforts may be higher than originally planned and may not lead to the anticipated cost savings and/or improved results.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employees, whether or not directly affected by restructurings, may seek employment with our business partners, customers or competitors. We cannot assure you that the confidential nature of our proprietary information will not be compromised by any such employees who terminate their employment with us. Further, we believe that our future success will depend in large part upon our ability to attract, incent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1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market for our products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Rapidly changing technology, frequent new products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we transition to common product platforms, we may face significant risk that the development of our new products may not be accepted by our current customers. To the extent that we fail to introduce new and innovative products that are adopted by customers, we could fail to obtain an adequate return on these investments and could lose market share to our competitors, which could be difficult or impossible to regain. We could incur significant costs in completing the transition. In addition, products or technologies developed by others may render our products noncompetitive or obsolete and result in significant reduction in orders from our customers and the loss of existing and prospective customers.</w:t>
      </w:r>
    </w:p>
    <w:p>
      <w:pPr>
        <w:spacing w:after="0" w:line="116" w:lineRule="exact"/>
        <w:rPr>
          <w:sz w:val="20"/>
          <w:szCs w:val="20"/>
          <w:color w:val="auto"/>
        </w:rPr>
      </w:pPr>
    </w:p>
    <w:p>
      <w:pPr>
        <w:jc w:val="both"/>
        <w:ind w:right="440" w:firstLine="456"/>
        <w:spacing w:after="0" w:line="268" w:lineRule="auto"/>
        <w:rPr>
          <w:sz w:val="20"/>
          <w:szCs w:val="20"/>
          <w:color w:val="auto"/>
        </w:rPr>
      </w:pPr>
      <w:r>
        <w:rPr>
          <w:rFonts w:ascii="Arial" w:cs="Arial" w:eastAsia="Arial" w:hAnsi="Arial"/>
          <w:sz w:val="18"/>
          <w:szCs w:val="18"/>
          <w:b w:val="1"/>
          <w:bCs w:val="1"/>
          <w:i w:val="1"/>
          <w:iCs w:val="1"/>
          <w:color w:val="auto"/>
        </w:rPr>
        <w:t>The effects of the global financial crisis and economic downturn may have significant effects on our customers and suppliers that would result in material adverse effects on our business, operating results, financial condition and stock price.</w:t>
      </w:r>
    </w:p>
    <w:p>
      <w:pPr>
        <w:spacing w:after="0" w:line="132"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effects of the global financial crisis and resulting economic downturn include, among other things, significant reductions in available capital and liquidity from banks and other providers of credit, substantial reductions and/or fluctuations in equity and currency values worldwide, and concerns that the worldwide economy has entered into or may enter into a further prolonged recessionary period.</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financial crisis has adversely affected and may continue to materially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affectively compete or we may chose not to compete due to unacceptable margins.</w:t>
      </w:r>
    </w:p>
    <w:p>
      <w:pPr>
        <w:spacing w:after="0" w:line="9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the financial crisis may materially adversely affect our suppliers’ access to capital and liquidity with which to maintain their inventories, production levels, and/or product quality, could cause them to raise prices or lower production levels, or result in their ceasing operations. Further, with respect to the credit facility discussed under “Liquidity and Capital Resources” in Item 7 of this Annual Report on form 10-K, if the global financial crisis adversely affects Silicon Valley Bank, our ability to access the funds available under the credit facility could be materially adversely affected.</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potential effects of these economic factors are difficult to forecast and mitigate. As a consequence, our operating results for a particular period are difficult to predict, and, therefore,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Part of our inventory may be written off, which would increase our cost of revenues. In addition, we may be exposed to inventory-related losses on inventories purchased by our contract manufacturers.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fiscal 2011, 2010 and 2009, we recorded charges to reduce the carrying value of our inventory to the lower of cost or market totaling $14.5 million, $29.6 million and $23.1 million, respectively. Such charges equaled 3.2%, 6.4%, and 3.4% of our revenue in fiscal 2011, 2010 and 2009, respectively. These charges were primarily due to excess and obsolete inventory resulting from product transitioning and discontinuance.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Inventory of raw materials, work in-process or finished products may accumulate in the future, and we may encounter losses due to a variety of factors, including:</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 technological change in the wireless telecommunications industry resulting in frequent product changes;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of our contract manufacturers to order raw materials that have long lead times and our inability to estimate exact amounts and types of items thus needed, especially with regard to the frequencies in which the final products ordered will operate;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reduction initiatives resulting in component changes within the products.</w:t>
      </w:r>
    </w:p>
    <w:p>
      <w:pPr>
        <w:spacing w:after="0" w:line="17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Further, our inventory of finished products may accumulate as the result of cancellation of customer orders or our customers’ refusal to confirm the acceptance of our products. Our contract manufacturers are required to purchase inventory based on manufacturing projections we provide to them. If actual orders from our customers are lower than these manufacturing projections, our contract manufacturers will have excess inventory of raw materials or finished products which we would be required to purchase. In addition, we require our contract manufacturers from time to time to purchase more inventory than is immediately required, and to partially assemble components, in order to shorten our delivery time in case of an increase in demand for our products. In the absence of such increase in demand, we may need to compensate our contract manufacturers. If we are required to purchase excess inventory from our contract manufacturers or otherwise compensate our contract manufacturers for purchasing excess inventory, our business, financial condition and results of operations could be materially adversely affected. We also may purchase components or raw materials from time to time for use by our contract manufacturers in the manufacturing of our products. These purchases are based on our own manufacturing projections. If our actual orders are lower than these manufacturing projections, we may accumulate excess inventory which we may be required to write-off. If we are forced to write-off this inventory other than in the normal course of business, our business, financial condition, results of operations could be materially adversely affected.</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may also have other customers and may not have sufficient capacity to meet all of their customer’s needs, including ours, during periods of excess demand.</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Our sales cycle may be lengthy, and the time for installation and implementation of our products within our customers’ networks may extend over more than one period, which can make our operating results difficult to predict.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anticipate difficulty in accurately predicting the timing and amounts of revenue generated from sales of our products. The establishment of a business relationship with a potential customer is a lengthy process, generally taking several months and sometimes longer. Following the establishment of the relationship, the negotiation of purchase terms can be time-consuming, and a potential customer may require an extended evaluation and testing period.</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expect that our product sales cycle, which results in our products being designed into our customers’ networks, could take 12 to 24 months. A number of factors can contribute to the length of the sales cycle, including technical evaluations of our products and the design process required to integrate our products into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customers’ networks. In anticipation of product orders, we may incur substantial costs before the sales cycle is complete and before we receive any customer payments. As a result, in the event that a sale is not completed or is cancelled or delayed, we may have incurred substantial expenses, making it more difficult for us to become profitable or otherwise negatively impacting our financial results. Furthermore, because of our lengthy sales cycle, our receipt of revenue from our selling efforts may be substantially delayed, our ability to forecast our future revenue may be more limited and our revenue may fluctuate significantly from quarter to quarter.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Once a purchase agreement has been executed, the timing and amount of revenue, if applicable, may remain difficult to predict. The completion of the installation and testing of the customer’s networks and the completion of all other suppliers network elements are subject to the customer’s timing and efforts, and other factors outside our control which may prevent us from making predictions of revenue with any certainty and could cause us to experience substantial period-to-period fluctuations in our operating results.</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outsource a substantial portion of our manufacturing and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become increasingly dependent on contract manufacturers to provide these manufacturing services or that we will be able to replace a contract manufacturer that is not able to meet our demand.</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adversely affected to a material degree.</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b w:val="1"/>
          <w:bCs w:val="1"/>
          <w:i w:val="1"/>
          <w:iCs w:val="1"/>
          <w:color w:val="auto"/>
        </w:rPr>
        <w:t>We have a history of substantial impairment charges for our goodwill, intangible assets and property, plant and equipment and may continue to experience such charges in the future.</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July 1, 2011, the net carrying value of our goodwill, definite-lived intangible assets and property, plant and equipment totaled $5.6 million, $4.1 million and $21.6 million,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During fiscal 2010, we recorded impairment charges of $66.4 million for identifiable intangible assets and property, plant and equipment. During fiscal 2009, we recorded impairment charges of $314.8 million for goodwill, identifiable intangible assets and property, plant and equipment. We did not record impairment losses for goodwill, identifiable intangible assets or property, plant and equipment in fiscal 2011.</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Our goodwill, identifiable intangible assets and property, plant and equipment are subject to impairment testing in accordance with Accounting Standard Codification 360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and our goodwill is subject to an impairment test in accordance with ASC 350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w:t>
      </w:r>
      <w:r>
        <w:rPr>
          <w:rFonts w:ascii="Arial" w:cs="Arial" w:eastAsia="Arial" w:hAnsi="Arial"/>
          <w:sz w:val="16"/>
          <w:szCs w:val="16"/>
          <w:color w:val="auto"/>
        </w:rPr>
        <w:t>. We review the carrying value of our long-lived assets for impairment whenever events or circumstances indicate that their carrying amount</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be recoverable. Significant negative industry or economic trends, including a lack of recovery in the market price of our common stock or the fair value of our debt, disruptions to our business, unexpected significant changes or planned changes in the use of the long-lived assets, and mergers and acquisitions could result in the need to reassess the fair value of our assets and liabilities which could lead to an impairment charge for any of our long-lived assets. An impairment charge related to our long-lived assets could have a significant adverse effect on our financial position and results of operations in the period in which it is incurred.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and commercial risks and exposures could increase if the financial condition of our customers declines.</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We expect that we may provide or commit to financing where appropriate for our business. Our ability to arrange or provide financing for our customers will depend on a number of factors, including our credit rating, our level of available credit and our ability to sell off commitments on acceptable terms.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As a result of the more challenging economic environment, we have seen an increase in the number of our customers experiencing such difficulties since 2008, and we expect that trend to intensify if the global economy deteriorates further in 2012. That trend may be exacerbated in many emerging markets, where our customers are being affected not only by recession, but by deteriorating local currencies and a lack of credit. Upon the financial failure of a customer, we may experience losses on credit extended and loans made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2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Our business requires extensive credit risk management that may not be adequate to protect against customer nonpayment. A risk of non-payment by customers is a significant focus of our business. We expect a significant amount of future revenue to come from international customers, many of whom will be startup telecom operators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factor below titled </w:t>
      </w:r>
      <w:r>
        <w:rPr>
          <w:rFonts w:ascii="Arial" w:cs="Arial" w:eastAsia="Arial" w:hAnsi="Arial"/>
          <w:sz w:val="16"/>
          <w:szCs w:val="16"/>
          <w:i w:val="1"/>
          <w:iCs w:val="1"/>
          <w:color w:val="auto"/>
        </w:rPr>
        <w:t>“Because a significant amount of our revenue may come from a limited number of customers, the termination of any of these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 relationships may adversely affect our business.” </w:t>
      </w:r>
      <w:r>
        <w:rPr>
          <w:rFonts w:ascii="Arial" w:cs="Arial" w:eastAsia="Arial" w:hAnsi="Arial"/>
          <w:sz w:val="16"/>
          <w:szCs w:val="16"/>
          <w:color w:val="auto"/>
        </w:rPr>
        <w:t>Our historical accounts receivable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average sales prices may decline in the future.</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Currently, we and other manufacturers of our telecommunications equipment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reduce costs of materials used in our products, and to continue to introduce new lower-cost products and product enhancements.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effective tax rate could be highly volatile and could adversely affect our operating results.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effective tax rate may be adversely affected by a number of factors, many of which are outside of our control, including:</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adjustments to estimated taxes upon finalization of various tax returns;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in-process research and development and impairment of goodwill in connection with acquisitions;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share-based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domestic or international tax laws or the interpretation of such tax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tax effects of purchase accounting for acquisitions and restructuring charges that may cause fluctuations between reporting periods;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taxes that may be incurred upon a repatriation of cash from foreign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significant increase in our future effective tax rates could impact our results of operations for future periods adversely.</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We had revenue from a single external customer that exceeded 10% of our total revenue during fiscal 2011, 2010 and 2009. Although we have a large customer base, during any given quarter, a small number of customers may account for a significant portion of our revenue.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It is possible that a significant portion of our future product sales also could be concentrated in a limited number of customers.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b w:val="1"/>
          <w:bCs w:val="1"/>
          <w:i w:val="1"/>
          <w:iCs w:val="1"/>
          <w:color w:val="auto"/>
        </w:rPr>
        <w:t>We will face strong competition for maintaining and improving our position in the market, which could adversely affect our revenue growth and operating results.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wireless interconnection and access business is a specialized segment of the wireless telecommunications industry and is extremely competitive. We expect competition in this segment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Alcatel-Lucent, Eltek ASA, Ericsson, NEC and Nokia Siemens Networks, as well as a number of other public and private companies such as Ceragon, DragonWave, Huawei Technologies and ZTE in selected markets.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ability to compete successfully will depend on a number of factors, including price, quality, availability, customer service and support, breadth of product line,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Consolidation within the telecommunications industry could result in a decrease in our revenue.</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In addition, see the risks discussed in the factor above titled </w:t>
      </w:r>
      <w:r>
        <w:rPr>
          <w:rFonts w:ascii="Arial" w:cs="Arial" w:eastAsia="Arial" w:hAnsi="Arial"/>
          <w:sz w:val="16"/>
          <w:szCs w:val="16"/>
          <w:i w:val="1"/>
          <w:iCs w:val="1"/>
          <w:color w:val="auto"/>
        </w:rPr>
        <w:t>“Because a significant amount of our revenue may come</w:t>
      </w:r>
      <w:r>
        <w:rPr>
          <w:rFonts w:ascii="Arial" w:cs="Arial" w:eastAsia="Arial" w:hAnsi="Arial"/>
          <w:sz w:val="16"/>
          <w:szCs w:val="16"/>
          <w:color w:val="auto"/>
        </w:rPr>
        <w:t xml:space="preserve"> </w:t>
      </w:r>
      <w:r>
        <w:rPr>
          <w:rFonts w:ascii="Arial" w:cs="Arial" w:eastAsia="Arial" w:hAnsi="Arial"/>
          <w:sz w:val="16"/>
          <w:szCs w:val="16"/>
          <w:i w:val="1"/>
          <w:iCs w:val="1"/>
          <w:color w:val="auto"/>
        </w:rPr>
        <w:t>from a limited number of customers, the termination of any of these customer relationships may adversely affect our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we fail to develop and maintain distribution and licensing relationships, our revenue may decrease.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a majority of our sales are made through our direct sales force, we also will market our products through indirect sales channels such as independent agents, distributors,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and develop additional relationships or, if additional relationships are developed, they may not be successful.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If sufficient radio frequency spectrum is not allocated for use by our products, and we fail to obtain regulatory approval for our products, our ability to market our products may be restricted.</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we will be affected by the allocation and auction of the radio frequency spectrum by governmental authorities both in the U.S. and internationally. Such governmental authorities may not allocate sufficient radio frequency spectrum for use by our products or we may not be successful in obtaining regulatory approval for our 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Due to the significant volume of international sales we expect, we may be susceptible to a number of political, economic and geographic risks that could harm our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highly dependent on sales to customers outside the U.S. In fiscal 2011, 2010 and 2009, our sales to international customers accounted for 67%, 67% and 69%, respectively, of total revenue. Also,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that adversely affects our business could result in a significant decline in revenue.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risks and challenges of doing business internationally include:</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and operation of an enterprise spread over various countries;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burden of complying with a variety of laws and regulations in various countries;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inflation and trade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kidnapping and high crime 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controls;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export regulations.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Our business is subject to changing regulation of corporate governance, public disclosure, and anti-bribery measures that have resulted in increased costs and may continue to result in additional costs in the future and/or potential liabilities.</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are subject to rules and regulations of federal and state regulatory authorities, The NASDAQ Stock Market LLC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the government of the United Kingdom, have issued requirements, laws and regulations and continue to develop additional requirements, laws and regulations, such as those in response to laws enacted by Congress,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are used in critical communications networks which may subject us to significant liability claims.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Because our products are used in critical communications networks, we may be subject to significant liability claims if our products do not work properly. The provisions in our agreements with customers that are intended to limit our exposure to liability claims may not preclude all potential claims. In addition, any insurance policies we have may not adequately limit our exposure with respect to such claims. We warrant to our current customers that our products will operate in accordance with our product specifications. If our products fail to conform to these specifications, our customers could require us to remedy the failure or could assert claims for damages.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have significant operations in the U.S., United Kingdom, Singapore and New Zealand, and outsourcing arrangements in Asia and the U.S.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12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b w:val="1"/>
          <w:bCs w:val="1"/>
          <w:i w:val="1"/>
          <w:iCs w:val="1"/>
          <w:color w:val="auto"/>
        </w:rPr>
        <w:t>We may be subject to litigation regarding intellectual property associated with our wireless business; this litigation could be costly to defend and resolve, and could prevent us from using or selling the challenged technology.</w:t>
      </w:r>
    </w:p>
    <w:p>
      <w:pPr>
        <w:spacing w:after="0" w:line="132"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may be volatile, which may lead to losses by investors.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Announcements of developments related to our business, announcements by competitors, quarterly fluctuations in our financial results and general conditions in the telecommunications industry in which we compete, or the economies of the countries in which we do business and other factors could cause the price of our common stock to fluctuate, perhaps substantially. In addition, in recent years the stock market has experienced extreme price fluctuations, which have often been unrelated to the operating performance of affected companies. These factors and fluctuations could lower the market price of our common stock. Our stock is currently listed on the NASDAQ Global Market.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quarterly results may be volatile, which can adversely affect the trading price of our common stock.</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quarterly operating results may vary significantly for a variety of reasons, many of which are outside our control. These factors could harm our business and include, among others:</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volume and timing of our product orders received and delivered during the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our key suppliers to respond to changes on demand as needed;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suppliers’ inability to perform and deliver on time as a result of their financial condition, component shortages or other supply chain constraints;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sales cycles can be lengthy;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costs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timely rollout of new product functionality and features;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resulting in downward pressures on the price of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delays in the schedule for shipments of existing products and new generations of the existing platforms;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realize expected cost improvement throughout our supply chain;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order cancellations or postponements in product deliveries resulting in delayed 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and organization of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customers to obtain financing to enable their purchase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including denial of export and import licenses;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worldwide that affect demand and financing for microwave telecommunications networks.</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quarterly results are expected to be difficult to predict and delays in product delivery or closing a sale can cause revenue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competition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Anti-takeover provisions of Delaware law and provisions in our amended and restated certificate of incorporation and amended and restated bylaws could make a third-party acquisition of us difficult.</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beneficial to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and amended and restated bylaws also contain certain provisions that may make a third-party acquisition of us difficult, including the ability of the board of directors to issue preferred stock and the requirement that nominations for directors and other proposals by stockholders must be made in advance of the meeting at which directors are elected or the proposals are voted upon.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face risks related to pending litigation over the restatement of our financial statements.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our identification of the material weaknesses in internal control described in our fiscal 2008 Annual Report on Form 10-K filed with the Securities and Exchange Commission on September 25, 2008, we have had to restate our interim consolidated financial statements for the first three fiscal quarters of fiscal 2008 (the quarters ended March 28, 2008, December 28, 2007 and September 28, 2007) and our consolidated financial statements for the fiscal years ended June 29, 2007, June 30, 2006 and July 1, 2005 in order to correct errors contained in those financial statements. We also announced on July 30, 2008 that investors should no longer rely on our previously issued financial statements for those periods.</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and certain of our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stockholders of Stratex Networks, Inc. who exchanged shares of Stratex Networks, Inc. for our shares as part of the merger between Stratex Networks and the Microwave Communications Division of Harris Corporation (“MCD”).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(“Dutton”). On July 27, 2010, the Court denied the motions to dismiss that we and the officer and director defendants had filed. On September 9, 2010, we and the officer and director defendants filed an answer denying the material allegations of the consolidated class action complaint.</w:t>
      </w:r>
    </w:p>
    <w:p>
      <w:pPr>
        <w:spacing w:after="0" w:line="12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On May 31, 2011, the Company and the other named defendants entered into a stipulation of settlement (“Stipulation”) with respect to the </w:t>
      </w:r>
      <w:r>
        <w:rPr>
          <w:rFonts w:ascii="Arial" w:cs="Arial" w:eastAsia="Arial" w:hAnsi="Arial"/>
          <w:sz w:val="18"/>
          <w:szCs w:val="18"/>
          <w:i w:val="1"/>
          <w:iCs w:val="1"/>
          <w:color w:val="auto"/>
        </w:rPr>
        <w:t>Dutton</w:t>
      </w:r>
      <w:r>
        <w:rPr>
          <w:rFonts w:ascii="Arial" w:cs="Arial" w:eastAsia="Arial" w:hAnsi="Arial"/>
          <w:sz w:val="18"/>
          <w:szCs w:val="18"/>
          <w:color w:val="auto"/>
        </w:rPr>
        <w:t xml:space="preserve"> action, pursuant to which the Company is to cause $8.9 million to be paid into a settlement fund. The entire settlement amount is covered by insurance and has been assumed by the insurance company. A motion for preliminary approval of the settlement was filed with the Court on June 1, 2011 and the Court issued its order preliminarily approving the settlement on June 21, 2011. The hearing on final approval of the settlement is set for September 16, 2011. See “Item 3. Legal Proceedings” in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As of July 1, 2011, we lease approximately 321,000 square feet of facilities worldwide, with approximately 59% in our North America segment, mostly in California, Texas, North Carolina and Montreal. Our corporate headquarters are located in Santa Clara, California, and consist of a building approximately 129,000 square feet. The lease for our headquarters expires in April 2020. We also lease approximately 44,000 square feet of office and manufacturing facilities in San Antonio and Austin, Texas. In our International segment, we lease approximately 132,000 square feet of facilities throughout Europe, Central America, South America, Africa and Asia regions, including offices in Singapore, Slovenia, Philippine Islands, India, Mexico, South Africa, Nigeria, Ivory Coast, France, Kenya, Poland, Australia and Bangladesh. In addition, we own approximately 110,000 square feet of facilities in Wellington, New Zealand and Lanarkshire, Scotland.</w:t>
      </w:r>
    </w:p>
    <w:p>
      <w:pPr>
        <w:spacing w:after="0" w:line="10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fiscal 2011, we announced the closing of our 60,000 square-foot Morrisville, North Carolina office which formerly served as our headquarters. A sub-tenant for the entire 60,000 square feet of space will take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occupancy of the premises in early fiscal 2012. We continue to have an on-going lease commitment for this location ending in fiscal 2015. Also during fiscal 2011, we vacated approximately 29,000 square feet of our 40,000 square-foot Bangalore, India facility as result of our moving R&amp;D functions from Bangalore to Trzin, Slovenia. A sub-tenant now occupies all 29,000 square feet of available space. We continue to have an on-going lease commitment for this location ending in fiscal 2013. In addition, as part of the fiscal 2007 acquisition of Stratex, we acquired a vacated leased facility in Seattle, Washington. This facility consists of approximately 100,000 square feet, of which approximately 72,000 square feet have been subleased to third parties. We have on-going lease commitment for this location ending in fiscal 2012.</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more information about our lease obligations, see “Note 13. Operating Lease Commitments” of notes to consolidated financial statements, which are included in Item 8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and certain of our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stockholders of Stratex Networks, Inc. who exchanged shares of Stratex Networks, Inc. for our shares as part of the merger between Stratex Networks and the Microwave Communications Division of Harris Corporation (“MCD”).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(“Dutton”). On July 27, 2010, the Court denied the motions to dismiss that we and the officer and director defendants had filed. On September 9, 2010, we and the officer and director defendants filed an answer denying the material allegations of the consolidated class action complaint.</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On May 31, 2011, we and the other named defendants entered into a stipulation of settlement (“Stipulation”) with respect to the </w:t>
      </w:r>
      <w:r>
        <w:rPr>
          <w:rFonts w:ascii="Arial" w:cs="Arial" w:eastAsia="Arial" w:hAnsi="Arial"/>
          <w:sz w:val="16"/>
          <w:szCs w:val="16"/>
          <w:i w:val="1"/>
          <w:iCs w:val="1"/>
          <w:color w:val="auto"/>
        </w:rPr>
        <w:t>Dutton</w:t>
      </w:r>
      <w:r>
        <w:rPr>
          <w:rFonts w:ascii="Arial" w:cs="Arial" w:eastAsia="Arial" w:hAnsi="Arial"/>
          <w:sz w:val="16"/>
          <w:szCs w:val="16"/>
          <w:color w:val="auto"/>
        </w:rPr>
        <w:t xml:space="preserve"> action, pursuant to which we are to cause $8.9 million to be paid into a settlement fund. The entire settlement amount is covered by insurance and has been assumed by the insurance company. A motion for preliminary approval of the settlement was filed with the Court on June 1, 2011 and the Court issued its order preliminarily approving the settlement on June 21, 2011. The hearing on final approval of the settlement is set for September 16,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effectiveness of the Stipulation and the settlement incorporated therein is conditioned on the following remaining conditions:</w:t>
      </w:r>
    </w:p>
    <w:p>
      <w:pPr>
        <w:spacing w:after="0" w:line="90" w:lineRule="exact"/>
        <w:rPr>
          <w:sz w:val="20"/>
          <w:szCs w:val="20"/>
          <w:color w:val="auto"/>
        </w:rPr>
      </w:pPr>
    </w:p>
    <w:p>
      <w:pPr>
        <w:ind w:left="900" w:right="6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and Harris Corporation’s option to terminate the Stipulation if prior to the settlement hearing the aggregate number of shares of Aviat Network’s common stock purchased during the class period by all class members who would otherwise be entitled to participate in the settlement but who validly request exclusion equals or exceeds the sum specified in a supplemental agreement between the parties;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Court entering an order of final approval of the Class Action settlement;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Court entering judgment in the Class Action;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judgment becoming final.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can be no assurance that the settlement will be approved or become effective.</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of our former executive officers and directors were named in a complaint filed on March 17, 2011 in the United States District Court for the District of Delaware by plaintiff Sandra J. Cutler Living Trust. Plaintiff purports to bring this action derivatively on behalf of Aviat Networks, which is named as</w:t>
      </w:r>
    </w:p>
    <w:p>
      <w:pPr>
        <w:ind w:right="20"/>
        <w:spacing w:after="0" w:line="292" w:lineRule="auto"/>
        <w:rPr>
          <w:sz w:val="20"/>
          <w:szCs w:val="20"/>
          <w:color w:val="auto"/>
        </w:rPr>
      </w:pPr>
      <w:r>
        <w:rPr>
          <w:rFonts w:ascii="Arial" w:cs="Arial" w:eastAsia="Arial" w:hAnsi="Arial"/>
          <w:sz w:val="16"/>
          <w:szCs w:val="16"/>
          <w:color w:val="auto"/>
        </w:rPr>
        <w:t>a nominal defendant. Plaintiff brings a claim for breach of fiduciary duty against the officer and director defendants based on the allegations of securities law violations alleged in the class action described above and seeks to recover unspecified damages and other relief on behalf of Aviat Networks, as well as payment of costs and attorneys fees. Defendants, including Aviat Networks as nominal defendant, filed their motion to dismiss on July 25, 2011. Following the filing of the motion to dismiss, plaintiff asked Defendants to stipulate to a dismissal of the action, without prejudice. The parties filed a stipulation requesting that the Court dismiss the action and, on August 18, 2011, the Court entered an order granting the stipulation and dismissing the action, without prejudice.</w:t>
      </w:r>
    </w:p>
    <w:p>
      <w:pPr>
        <w:spacing w:after="0" w:line="11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Certain of our former executive officers and directors were named in a complaint filed on July 18, 2011 in the United States District Court for the District of Delaware by plaintiff Howard Taylor. Plaintiff purports to bring this action derivatively on behalf of Aviat Networks, which is named as a nominal defendant. Plaintiff brings a claim for breach of fiduciary duty against the officer and director defendants based on the allegations of securities law violations alleged in the class action described above and also alleges that the defendants caused us to acquire MCD at an inflated price. Plaintiff seeks to recover unspecified damages and other relief on behalf of Aviat Networks, as well as payment of costs and attorneys fees. We intend to defend our interests in the litigation vigorously.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Removed and Reserved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440"/>
        <w:spacing w:after="0" w:line="34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and Price Range of Common Stock</w:t>
      </w:r>
    </w:p>
    <w:p>
      <w:pPr>
        <w:spacing w:after="0" w:line="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Common Stock, with a par value of $0.01 per share, is listed and primarily traded on the NASDAQ Global Market (“NASDAQ”), under the ticker symbol AVNW (prior to January 28, 2010 our ticker symbol was HSTX). There was no established trading market for shares of our Common Stock prior to January 29, 2007.</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According to the records of our transfer agent, as of August 31, 2011, there were approximately 5,500 holders of record of our Common Stock. The following table sets forth the high and low closing prices for a share of our Common Stock on NASDAQ Global Market system for the periods indicated during our fiscal years 2011 and 2010:</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Fiscal 2011</w:t>
            </w:r>
          </w:p>
        </w:tc>
        <w:tc>
          <w:tcPr>
            <w:tcW w:w="1220" w:type="dxa"/>
            <w:vAlign w:val="bottom"/>
            <w:gridSpan w:val="4"/>
          </w:tcPr>
          <w:p>
            <w:pPr>
              <w:ind w:left="240"/>
              <w:spacing w:after="0"/>
              <w:rPr>
                <w:sz w:val="20"/>
                <w:szCs w:val="20"/>
                <w:color w:val="auto"/>
              </w:rPr>
            </w:pPr>
            <w:r>
              <w:rPr>
                <w:rFonts w:ascii="Arial" w:cs="Arial" w:eastAsia="Arial" w:hAnsi="Arial"/>
                <w:sz w:val="14"/>
                <w:szCs w:val="14"/>
                <w:b w:val="1"/>
                <w:bCs w:val="1"/>
                <w:color w:val="auto"/>
              </w:rPr>
              <w:t>Fiscal 2010</w:t>
            </w:r>
          </w:p>
        </w:tc>
      </w:tr>
      <w:tr>
        <w:trPr>
          <w:trHeight w:val="142"/>
        </w:trPr>
        <w:tc>
          <w:tcPr>
            <w:tcW w:w="7740" w:type="dxa"/>
            <w:vAlign w:val="bottom"/>
          </w:tcPr>
          <w:p>
            <w:pPr>
              <w:spacing w:after="0"/>
              <w:rPr>
                <w:sz w:val="12"/>
                <w:szCs w:val="12"/>
                <w:color w:val="auto"/>
              </w:rPr>
            </w:pPr>
          </w:p>
        </w:tc>
        <w:tc>
          <w:tcPr>
            <w:tcW w:w="7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3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9"/>
              </w:rPr>
              <w:t>Low</w:t>
            </w:r>
          </w:p>
        </w:tc>
        <w:tc>
          <w:tcPr>
            <w:tcW w:w="420" w:type="dxa"/>
            <w:vAlign w:val="bottom"/>
          </w:tcPr>
          <w:p>
            <w:pPr>
              <w:spacing w:after="0"/>
              <w:rPr>
                <w:sz w:val="12"/>
                <w:szCs w:val="12"/>
                <w:color w:val="auto"/>
              </w:rPr>
            </w:pPr>
          </w:p>
        </w:tc>
        <w:tc>
          <w:tcPr>
            <w:tcW w:w="7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3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9"/>
              </w:rPr>
              <w:t>Low</w:t>
            </w:r>
          </w:p>
        </w:tc>
        <w:tc>
          <w:tcPr>
            <w:tcW w:w="100" w:type="dxa"/>
            <w:vAlign w:val="bottom"/>
          </w:tcPr>
          <w:p>
            <w:pPr>
              <w:spacing w:after="0"/>
              <w:rPr>
                <w:sz w:val="12"/>
                <w:szCs w:val="12"/>
                <w:color w:val="auto"/>
              </w:rPr>
            </w:pPr>
          </w:p>
        </w:tc>
      </w:tr>
      <w:tr>
        <w:trPr>
          <w:trHeight w:val="142"/>
        </w:trPr>
        <w:tc>
          <w:tcPr>
            <w:tcW w:w="7740" w:type="dxa"/>
            <w:vAlign w:val="bottom"/>
          </w:tcPr>
          <w:p>
            <w:pPr>
              <w:spacing w:after="0"/>
              <w:rPr>
                <w:sz w:val="12"/>
                <w:szCs w:val="12"/>
                <w:color w:val="auto"/>
              </w:rPr>
            </w:pPr>
          </w:p>
        </w:tc>
        <w:tc>
          <w:tcPr>
            <w:tcW w:w="3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3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4.28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3.46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7.62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5.77</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Second Quarter</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5.25</w:t>
            </w:r>
          </w:p>
        </w:tc>
        <w:tc>
          <w:tcPr>
            <w:tcW w:w="4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4.00</w:t>
            </w:r>
          </w:p>
        </w:tc>
        <w:tc>
          <w:tcPr>
            <w:tcW w:w="420" w:type="dxa"/>
            <w:vAlign w:val="bottom"/>
          </w:tcPr>
          <w:p>
            <w:pPr>
              <w:spacing w:after="0"/>
              <w:rPr>
                <w:sz w:val="18"/>
                <w:szCs w:val="18"/>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w w:val="85"/>
              </w:rPr>
              <w:t>7.46</w:t>
            </w:r>
          </w:p>
        </w:tc>
        <w:tc>
          <w:tcPr>
            <w:tcW w:w="4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5.92</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6.37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5.02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7.87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5.92</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Fourth Quarter</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5.21</w:t>
            </w:r>
          </w:p>
        </w:tc>
        <w:tc>
          <w:tcPr>
            <w:tcW w:w="4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3.70</w:t>
            </w:r>
          </w:p>
        </w:tc>
        <w:tc>
          <w:tcPr>
            <w:tcW w:w="420" w:type="dxa"/>
            <w:vAlign w:val="bottom"/>
          </w:tcPr>
          <w:p>
            <w:pPr>
              <w:spacing w:after="0"/>
              <w:rPr>
                <w:sz w:val="19"/>
                <w:szCs w:val="19"/>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w w:val="85"/>
              </w:rPr>
              <w:t>7.35</w:t>
            </w:r>
          </w:p>
        </w:tc>
        <w:tc>
          <w:tcPr>
            <w:tcW w:w="4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3.50</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 We intend to retain any earnings for use in our business. In addition, the covenants of our $40 million credit facility may restrict us from paying dividends or making other distributions to our stockholders under certain circumstances.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fourth quarter of fiscal 2011, we did not issue or sell any unregistered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fourth quarter of fiscal 2011, we did not repurchase any equity securities.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graph and accompanying data compares the cumulative total return on our Common Stock with the cumulative total return of the Total Return Index for The NASDAQ Composite Market (U.S. Companies) and the NASDAQ Telecommunications Index for the four-year, five month period commencing January 29, 2007 and ending July 1, 2011. The stock price performance shown on the graph below is not necessarily indicative of future price performance. Note that this graph and accompanying data is “furnished,” not “filed,” with the Securities and Exchange Commission.</w:t>
      </w:r>
    </w:p>
    <w:p>
      <w:pPr>
        <w:spacing w:after="0" w:line="1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COMPARISON OF 53 MONTH CUMULATIVE TOTAL RETURN*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Among Aviat Networks, Inc., the NASDAQ Composite Index</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109855</wp:posOffset>
            </wp:positionV>
            <wp:extent cx="3498850" cy="1612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9885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100" w:type="dxa"/>
            <w:vAlign w:val="bottom"/>
          </w:tcPr>
          <w:p>
            <w:pPr>
              <w:jc w:val="right"/>
              <w:ind w:right="157"/>
              <w:spacing w:after="0"/>
              <w:rPr>
                <w:sz w:val="20"/>
                <w:szCs w:val="20"/>
                <w:color w:val="auto"/>
              </w:rPr>
            </w:pPr>
            <w:r>
              <w:rPr>
                <w:rFonts w:ascii="Arial" w:cs="Arial" w:eastAsia="Arial" w:hAnsi="Arial"/>
                <w:sz w:val="14"/>
                <w:szCs w:val="14"/>
                <w:b w:val="1"/>
                <w:bCs w:val="1"/>
                <w:color w:val="auto"/>
              </w:rPr>
              <w:t>1/29/2007</w:t>
            </w:r>
          </w:p>
        </w:tc>
        <w:tc>
          <w:tcPr>
            <w:tcW w:w="1020" w:type="dxa"/>
            <w:vAlign w:val="bottom"/>
          </w:tcPr>
          <w:p>
            <w:pPr>
              <w:jc w:val="right"/>
              <w:ind w:right="177"/>
              <w:spacing w:after="0"/>
              <w:rPr>
                <w:sz w:val="20"/>
                <w:szCs w:val="20"/>
                <w:color w:val="auto"/>
              </w:rPr>
            </w:pPr>
            <w:r>
              <w:rPr>
                <w:rFonts w:ascii="Arial" w:cs="Arial" w:eastAsia="Arial" w:hAnsi="Arial"/>
                <w:sz w:val="14"/>
                <w:szCs w:val="14"/>
                <w:b w:val="1"/>
                <w:bCs w:val="1"/>
                <w:color w:val="auto"/>
              </w:rPr>
              <w:t>6/29/2007</w:t>
            </w:r>
          </w:p>
        </w:tc>
        <w:tc>
          <w:tcPr>
            <w:tcW w:w="1000" w:type="dxa"/>
            <w:vAlign w:val="bottom"/>
          </w:tcPr>
          <w:p>
            <w:pPr>
              <w:jc w:val="right"/>
              <w:ind w:right="157"/>
              <w:spacing w:after="0"/>
              <w:rPr>
                <w:sz w:val="20"/>
                <w:szCs w:val="20"/>
                <w:color w:val="auto"/>
              </w:rPr>
            </w:pPr>
            <w:r>
              <w:rPr>
                <w:rFonts w:ascii="Arial" w:cs="Arial" w:eastAsia="Arial" w:hAnsi="Arial"/>
                <w:sz w:val="14"/>
                <w:szCs w:val="14"/>
                <w:b w:val="1"/>
                <w:bCs w:val="1"/>
                <w:color w:val="auto"/>
              </w:rPr>
              <w:t>6/27/2008</w:t>
            </w:r>
          </w:p>
        </w:tc>
        <w:tc>
          <w:tcPr>
            <w:tcW w:w="960" w:type="dxa"/>
            <w:vAlign w:val="bottom"/>
          </w:tcPr>
          <w:p>
            <w:pPr>
              <w:jc w:val="right"/>
              <w:ind w:right="177"/>
              <w:spacing w:after="0"/>
              <w:rPr>
                <w:sz w:val="20"/>
                <w:szCs w:val="20"/>
                <w:color w:val="auto"/>
              </w:rPr>
            </w:pPr>
            <w:r>
              <w:rPr>
                <w:rFonts w:ascii="Arial" w:cs="Arial" w:eastAsia="Arial" w:hAnsi="Arial"/>
                <w:sz w:val="14"/>
                <w:szCs w:val="14"/>
                <w:b w:val="1"/>
                <w:bCs w:val="1"/>
                <w:color w:val="auto"/>
              </w:rPr>
              <w:t>7/3/2009</w:t>
            </w:r>
          </w:p>
        </w:tc>
        <w:tc>
          <w:tcPr>
            <w:tcW w:w="960" w:type="dxa"/>
            <w:vAlign w:val="bottom"/>
          </w:tcPr>
          <w:p>
            <w:pPr>
              <w:jc w:val="right"/>
              <w:ind w:right="197"/>
              <w:spacing w:after="0"/>
              <w:rPr>
                <w:sz w:val="20"/>
                <w:szCs w:val="20"/>
                <w:color w:val="auto"/>
              </w:rPr>
            </w:pPr>
            <w:r>
              <w:rPr>
                <w:rFonts w:ascii="Arial" w:cs="Arial" w:eastAsia="Arial" w:hAnsi="Arial"/>
                <w:sz w:val="14"/>
                <w:szCs w:val="14"/>
                <w:b w:val="1"/>
                <w:bCs w:val="1"/>
                <w:color w:val="auto"/>
              </w:rPr>
              <w:t>7/2/2010</w:t>
            </w:r>
          </w:p>
        </w:tc>
        <w:tc>
          <w:tcPr>
            <w:tcW w:w="920" w:type="dxa"/>
            <w:vAlign w:val="bottom"/>
          </w:tcPr>
          <w:p>
            <w:pPr>
              <w:jc w:val="right"/>
              <w:ind w:right="117"/>
              <w:spacing w:after="0"/>
              <w:rPr>
                <w:sz w:val="20"/>
                <w:szCs w:val="20"/>
                <w:color w:val="auto"/>
              </w:rPr>
            </w:pPr>
            <w:r>
              <w:rPr>
                <w:rFonts w:ascii="Arial" w:cs="Arial" w:eastAsia="Arial" w:hAnsi="Arial"/>
                <w:sz w:val="14"/>
                <w:szCs w:val="14"/>
                <w:b w:val="1"/>
                <w:bCs w:val="1"/>
                <w:color w:val="auto"/>
              </w:rPr>
              <w:t>7/1/2011</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Aviat Networks, Inc.</w:t>
            </w:r>
          </w:p>
        </w:tc>
        <w:tc>
          <w:tcPr>
            <w:tcW w:w="2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100.00</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89.90</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47.90</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30.75</w:t>
            </w:r>
          </w:p>
        </w:tc>
        <w:tc>
          <w:tcPr>
            <w:tcW w:w="9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17.50</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19.80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NASDAQ Composite</w:t>
            </w:r>
          </w:p>
        </w:tc>
        <w:tc>
          <w:tcPr>
            <w:tcW w:w="2100" w:type="dxa"/>
            <w:vAlign w:val="bottom"/>
          </w:tcPr>
          <w:p>
            <w:pPr>
              <w:jc w:val="right"/>
              <w:ind w:right="137"/>
              <w:spacing w:after="0"/>
              <w:rPr>
                <w:sz w:val="20"/>
                <w:szCs w:val="20"/>
                <w:color w:val="auto"/>
              </w:rPr>
            </w:pPr>
            <w:r>
              <w:rPr>
                <w:rFonts w:ascii="Arial" w:cs="Arial" w:eastAsia="Arial" w:hAnsi="Arial"/>
                <w:sz w:val="18"/>
                <w:szCs w:val="18"/>
                <w:color w:val="auto"/>
              </w:rPr>
              <w:t>100.00</w:t>
            </w:r>
          </w:p>
        </w:tc>
        <w:tc>
          <w:tcPr>
            <w:tcW w:w="1020" w:type="dxa"/>
            <w:vAlign w:val="bottom"/>
          </w:tcPr>
          <w:p>
            <w:pPr>
              <w:jc w:val="right"/>
              <w:ind w:right="137"/>
              <w:spacing w:after="0"/>
              <w:rPr>
                <w:sz w:val="20"/>
                <w:szCs w:val="20"/>
                <w:color w:val="auto"/>
              </w:rPr>
            </w:pPr>
            <w:r>
              <w:rPr>
                <w:rFonts w:ascii="Arial" w:cs="Arial" w:eastAsia="Arial" w:hAnsi="Arial"/>
                <w:sz w:val="18"/>
                <w:szCs w:val="18"/>
                <w:color w:val="auto"/>
              </w:rPr>
              <w:t>108.40</w:t>
            </w:r>
          </w:p>
        </w:tc>
        <w:tc>
          <w:tcPr>
            <w:tcW w:w="1000" w:type="dxa"/>
            <w:vAlign w:val="bottom"/>
          </w:tcPr>
          <w:p>
            <w:pPr>
              <w:jc w:val="right"/>
              <w:ind w:right="137"/>
              <w:spacing w:after="0"/>
              <w:rPr>
                <w:sz w:val="20"/>
                <w:szCs w:val="20"/>
                <w:color w:val="auto"/>
              </w:rPr>
            </w:pPr>
            <w:r>
              <w:rPr>
                <w:rFonts w:ascii="Arial" w:cs="Arial" w:eastAsia="Arial" w:hAnsi="Arial"/>
                <w:sz w:val="18"/>
                <w:szCs w:val="18"/>
                <w:color w:val="auto"/>
              </w:rPr>
              <w:t>94.36</w:t>
            </w:r>
          </w:p>
        </w:tc>
        <w:tc>
          <w:tcPr>
            <w:tcW w:w="960" w:type="dxa"/>
            <w:vAlign w:val="bottom"/>
          </w:tcPr>
          <w:p>
            <w:pPr>
              <w:jc w:val="right"/>
              <w:ind w:right="137"/>
              <w:spacing w:after="0"/>
              <w:rPr>
                <w:sz w:val="20"/>
                <w:szCs w:val="20"/>
                <w:color w:val="auto"/>
              </w:rPr>
            </w:pPr>
            <w:r>
              <w:rPr>
                <w:rFonts w:ascii="Arial" w:cs="Arial" w:eastAsia="Arial" w:hAnsi="Arial"/>
                <w:sz w:val="18"/>
                <w:szCs w:val="18"/>
                <w:color w:val="auto"/>
              </w:rPr>
              <w:t>75.13</w:t>
            </w:r>
          </w:p>
        </w:tc>
        <w:tc>
          <w:tcPr>
            <w:tcW w:w="960" w:type="dxa"/>
            <w:vAlign w:val="bottom"/>
          </w:tcPr>
          <w:p>
            <w:pPr>
              <w:jc w:val="right"/>
              <w:ind w:right="157"/>
              <w:spacing w:after="0"/>
              <w:rPr>
                <w:sz w:val="20"/>
                <w:szCs w:val="20"/>
                <w:color w:val="auto"/>
              </w:rPr>
            </w:pPr>
            <w:r>
              <w:rPr>
                <w:rFonts w:ascii="Arial" w:cs="Arial" w:eastAsia="Arial" w:hAnsi="Arial"/>
                <w:sz w:val="18"/>
                <w:szCs w:val="18"/>
                <w:color w:val="auto"/>
              </w:rPr>
              <w:t>87.34</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117.43</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NASDAQ Telecommunications</w:t>
            </w:r>
          </w:p>
        </w:tc>
        <w:tc>
          <w:tcPr>
            <w:tcW w:w="2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100.00</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113.06</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98.90</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77.29</w:t>
            </w:r>
          </w:p>
        </w:tc>
        <w:tc>
          <w:tcPr>
            <w:tcW w:w="9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80.50</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hanging="212"/>
        <w:spacing w:after="0" w:line="268"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(i) $100 invested on January 29, 2007 in Aviat Networks, Inc. Common Stock, the Total Return Index for The NASDAQ Composite Market (U.S. companies) and the NASDAQ Telecommunications Index; and (ii) immediate reinvestment of all dividends.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table summarizes our selected historical financial information for each of the last five fiscal years. The selected financial information as of and for the fiscal years ended July 1, 2011, July 2, 2010, July 3, 2009, June 27, 2008 and June 29, 2007 has been derived from our audited consolidated financial statements, for which data presented for fiscal years 2011, 2010 and 2009 are included elsewhere in this Annual Report on Form 10-K. Beginning in the third quarter of fiscal 2011, the results of our WiMAX business are presented as discontinued operations in our consolidated financial statements. Historical amounts in fiscal 2010 and fiscal 2009 are reclassified to conform to current period presentation.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26"/>
              <w:spacing w:after="0"/>
              <w:rPr>
                <w:sz w:val="20"/>
                <w:szCs w:val="20"/>
                <w:color w:val="auto"/>
              </w:rPr>
            </w:pPr>
            <w:r>
              <w:rPr>
                <w:rFonts w:ascii="Arial" w:cs="Arial" w:eastAsia="Arial" w:hAnsi="Arial"/>
                <w:sz w:val="14"/>
                <w:szCs w:val="14"/>
                <w:b w:val="1"/>
                <w:bCs w:val="1"/>
                <w:color w:val="auto"/>
                <w:w w:val="87"/>
              </w:rPr>
              <w:t>Fiscal Years Ended</w:t>
            </w: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July 1, 2011</w:t>
            </w:r>
          </w:p>
        </w:tc>
        <w:tc>
          <w:tcPr>
            <w:tcW w:w="128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rPr>
              <w:t>July 2, 2010</w:t>
            </w:r>
          </w:p>
        </w:tc>
        <w:tc>
          <w:tcPr>
            <w:tcW w:w="150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July 3, 2009</w:t>
            </w:r>
          </w:p>
        </w:tc>
        <w:tc>
          <w:tcPr>
            <w:tcW w:w="130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June 27, 2008</w:t>
            </w:r>
          </w:p>
        </w:tc>
        <w:tc>
          <w:tcPr>
            <w:tcW w:w="110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w w:val="85"/>
              </w:rPr>
              <w:t>June 29, 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center"/>
              <w:ind w:right="256"/>
              <w:spacing w:after="0" w:line="142" w:lineRule="exact"/>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 from product sales and services</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452.1</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465.5</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677.9</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718.4</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507.9</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(324.0)</w:t>
            </w:r>
          </w:p>
        </w:tc>
        <w:tc>
          <w:tcPr>
            <w:tcW w:w="4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98"/>
              </w:rPr>
              <w:t>(332.7)</w:t>
            </w:r>
          </w:p>
        </w:tc>
        <w:tc>
          <w:tcPr>
            <w:tcW w:w="440" w:type="dxa"/>
            <w:vAlign w:val="bottom"/>
          </w:tcPr>
          <w:p>
            <w:pPr>
              <w:spacing w:after="0"/>
              <w:rPr>
                <w:sz w:val="18"/>
                <w:szCs w:val="18"/>
                <w:color w:val="auto"/>
              </w:rPr>
            </w:pPr>
          </w:p>
        </w:tc>
        <w:tc>
          <w:tcPr>
            <w:tcW w:w="1060" w:type="dxa"/>
            <w:vAlign w:val="bottom"/>
          </w:tcPr>
          <w:p>
            <w:pPr>
              <w:jc w:val="right"/>
              <w:ind w:right="336"/>
              <w:spacing w:after="0"/>
              <w:rPr>
                <w:sz w:val="20"/>
                <w:szCs w:val="20"/>
                <w:color w:val="auto"/>
              </w:rPr>
            </w:pPr>
            <w:r>
              <w:rPr>
                <w:rFonts w:ascii="Arial" w:cs="Arial" w:eastAsia="Arial" w:hAnsi="Arial"/>
                <w:sz w:val="18"/>
                <w:szCs w:val="18"/>
                <w:color w:val="auto"/>
              </w:rPr>
              <w:t>(503.8)</w:t>
            </w:r>
          </w:p>
        </w:tc>
        <w:tc>
          <w:tcPr>
            <w:tcW w:w="38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(528.2)</w:t>
            </w:r>
          </w:p>
        </w:tc>
        <w:tc>
          <w:tcPr>
            <w:tcW w:w="4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(361.2)</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(58.8)</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8"/>
              </w:rPr>
              <w:t>(108.4)</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(348.8)</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(11.9)</w:t>
            </w:r>
          </w:p>
        </w:tc>
        <w:tc>
          <w:tcPr>
            <w:tcW w:w="4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(90.5)</w:t>
            </w:r>
          </w:p>
        </w:tc>
        <w:tc>
          <w:tcPr>
            <w:tcW w:w="4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w w:val="98"/>
              </w:rPr>
              <w:t>(130.2)</w:t>
            </w:r>
          </w:p>
        </w:tc>
        <w:tc>
          <w:tcPr>
            <w:tcW w:w="440" w:type="dxa"/>
            <w:vAlign w:val="bottom"/>
          </w:tcPr>
          <w:p>
            <w:pPr>
              <w:spacing w:after="0"/>
              <w:rPr>
                <w:sz w:val="18"/>
                <w:szCs w:val="18"/>
                <w:color w:val="auto"/>
              </w:rPr>
            </w:pPr>
          </w:p>
        </w:tc>
        <w:tc>
          <w:tcPr>
            <w:tcW w:w="1060" w:type="dxa"/>
            <w:vAlign w:val="bottom"/>
          </w:tcPr>
          <w:p>
            <w:pPr>
              <w:jc w:val="right"/>
              <w:ind w:right="336"/>
              <w:spacing w:after="0"/>
              <w:rPr>
                <w:sz w:val="20"/>
                <w:szCs w:val="20"/>
                <w:color w:val="auto"/>
              </w:rPr>
            </w:pPr>
            <w:r>
              <w:rPr>
                <w:rFonts w:ascii="Arial" w:cs="Arial" w:eastAsia="Arial" w:hAnsi="Arial"/>
                <w:sz w:val="18"/>
                <w:szCs w:val="18"/>
                <w:color w:val="auto"/>
              </w:rPr>
              <w:t>(355.0)</w:t>
            </w:r>
          </w:p>
        </w:tc>
        <w:tc>
          <w:tcPr>
            <w:tcW w:w="38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(11.9)</w:t>
            </w:r>
          </w:p>
        </w:tc>
        <w:tc>
          <w:tcPr>
            <w:tcW w:w="4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per common share: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Loss from continuing operations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(1.82)</w:t>
            </w:r>
          </w:p>
        </w:tc>
        <w:tc>
          <w:tcPr>
            <w:tcW w:w="440" w:type="dxa"/>
            <w:vAlign w:val="bottom"/>
          </w:tcPr>
          <w:p>
            <w:pPr>
              <w:spacing w:after="0"/>
              <w:rPr>
                <w:sz w:val="18"/>
                <w:szCs w:val="18"/>
                <w:color w:val="auto"/>
              </w:rPr>
            </w:pPr>
          </w:p>
        </w:tc>
        <w:tc>
          <w:tcPr>
            <w:tcW w:w="1060" w:type="dxa"/>
            <w:vAlign w:val="bottom"/>
          </w:tcPr>
          <w:p>
            <w:pPr>
              <w:jc w:val="right"/>
              <w:ind w:right="336"/>
              <w:spacing w:after="0"/>
              <w:rPr>
                <w:sz w:val="20"/>
                <w:szCs w:val="20"/>
                <w:color w:val="auto"/>
              </w:rPr>
            </w:pPr>
            <w:r>
              <w:rPr>
                <w:rFonts w:ascii="Arial" w:cs="Arial" w:eastAsia="Arial" w:hAnsi="Arial"/>
                <w:sz w:val="18"/>
                <w:szCs w:val="18"/>
                <w:color w:val="auto"/>
              </w:rPr>
              <w:t>(5.94)</w:t>
            </w:r>
          </w:p>
        </w:tc>
        <w:tc>
          <w:tcPr>
            <w:tcW w:w="38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(0.20)</w:t>
            </w:r>
          </w:p>
        </w:tc>
        <w:tc>
          <w:tcPr>
            <w:tcW w:w="4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(0.88)</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(1.54)</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(2.19)</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(6.05)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(0.20)</w:t>
            </w:r>
          </w:p>
        </w:tc>
        <w:tc>
          <w:tcPr>
            <w:tcW w:w="4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(0.88)</w:t>
            </w:r>
          </w:p>
        </w:tc>
      </w:tr>
      <w:tr>
        <w:trPr>
          <w:trHeight w:val="351"/>
        </w:trPr>
        <w:tc>
          <w:tcPr>
            <w:tcW w:w="5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79"/>
              </w:rPr>
              <w:t>As of</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080" w:type="dxa"/>
            <w:vAlign w:val="bottom"/>
          </w:tcPr>
          <w:p>
            <w:pPr>
              <w:spacing w:after="0"/>
              <w:rPr>
                <w:sz w:val="12"/>
                <w:szCs w:val="12"/>
                <w:color w:val="auto"/>
              </w:rPr>
            </w:pPr>
          </w:p>
        </w:tc>
        <w:tc>
          <w:tcPr>
            <w:tcW w:w="10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2011</w:t>
            </w:r>
          </w:p>
        </w:tc>
        <w:tc>
          <w:tcPr>
            <w:tcW w:w="128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July 2, 2010</w:t>
            </w:r>
          </w:p>
        </w:tc>
        <w:tc>
          <w:tcPr>
            <w:tcW w:w="1500" w:type="dxa"/>
            <w:vAlign w:val="bottom"/>
            <w:tcBorders>
              <w:bottom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July 3, 2009</w:t>
            </w:r>
          </w:p>
        </w:tc>
        <w:tc>
          <w:tcPr>
            <w:tcW w:w="130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June 27, 2008</w:t>
            </w:r>
          </w:p>
        </w:tc>
        <w:tc>
          <w:tcPr>
            <w:tcW w:w="112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85"/>
              </w:rPr>
              <w:t>June 29, 2007</w:t>
            </w:r>
          </w:p>
        </w:tc>
        <w:tc>
          <w:tcPr>
            <w:tcW w:w="8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383.9</w:t>
            </w:r>
          </w:p>
        </w:tc>
        <w:tc>
          <w:tcPr>
            <w:tcW w:w="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447.0</w:t>
            </w:r>
          </w:p>
        </w:tc>
        <w:tc>
          <w:tcPr>
            <w:tcW w:w="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600.2</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977.3</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1,025.5</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Long-term liabilities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18"/>
                <w:szCs w:val="18"/>
                <w:color w:val="auto"/>
              </w:rPr>
            </w:pPr>
          </w:p>
        </w:tc>
        <w:tc>
          <w:tcPr>
            <w:tcW w:w="1060" w:type="dxa"/>
            <w:vAlign w:val="bottom"/>
          </w:tcPr>
          <w:p>
            <w:pPr>
              <w:jc w:val="right"/>
              <w:ind w:right="396"/>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28.1</w:t>
            </w:r>
          </w:p>
        </w:tc>
        <w:tc>
          <w:tcPr>
            <w:tcW w:w="4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177.7</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263.2</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387.9</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748.2</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746.4</w:t>
            </w:r>
          </w:p>
        </w:tc>
        <w:tc>
          <w:tcPr>
            <w:tcW w:w="80" w:type="dxa"/>
            <w:vAlign w:val="bottom"/>
            <w:shd w:val="clear" w:color="auto" w:fill="CCEEFF"/>
          </w:tcPr>
          <w:p>
            <w:pPr>
              <w:spacing w:after="0"/>
              <w:rPr>
                <w:sz w:val="18"/>
                <w:szCs w:val="18"/>
                <w:color w:val="auto"/>
              </w:rPr>
            </w:pPr>
          </w:p>
        </w:tc>
      </w:tr>
      <w:tr>
        <w:trPr>
          <w:trHeight w:val="363"/>
        </w:trPr>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summarizes certain charges, expenses and gains included in our net losses for each of the fiscal years in the five year period ended July 1,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8"/>
              </w:rPr>
              <w:t>Fiscal Years Ended</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2011</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July 2, 2010</w:t>
            </w: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3, 2009</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June 27, 2008</w:t>
            </w: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June 29, 2007</w:t>
            </w: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Intangible impairment charges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impairment charges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0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 product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discontinuances and inventory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mark-downs</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8"/>
              </w:rPr>
              <w:t>Amortization of purchased technology and intangible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r>
        <w:trPr>
          <w:trHeight w:val="208"/>
        </w:trPr>
        <w:tc>
          <w:tcPr>
            <w:tcW w:w="472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720" w:type="dxa"/>
            <w:vAlign w:val="bottom"/>
          </w:tcPr>
          <w:p>
            <w:pPr>
              <w:ind w:left="220"/>
              <w:spacing w:after="0"/>
              <w:rPr>
                <w:sz w:val="20"/>
                <w:szCs w:val="20"/>
                <w:color w:val="auto"/>
              </w:rPr>
            </w:pPr>
            <w:r>
              <w:rPr>
                <w:rFonts w:ascii="Arial" w:cs="Arial" w:eastAsia="Arial" w:hAnsi="Arial"/>
                <w:sz w:val="18"/>
                <w:szCs w:val="18"/>
                <w:color w:val="auto"/>
              </w:rPr>
              <w:t>assets and inventory</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1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r>
      <w:tr>
        <w:trPr>
          <w:trHeight w:val="208"/>
        </w:trPr>
        <w:tc>
          <w:tcPr>
            <w:tcW w:w="4720" w:type="dxa"/>
            <w:vAlign w:val="bottom"/>
          </w:tcPr>
          <w:p>
            <w:pPr>
              <w:spacing w:after="0"/>
              <w:rPr>
                <w:sz w:val="20"/>
                <w:szCs w:val="20"/>
                <w:color w:val="auto"/>
              </w:rPr>
            </w:pPr>
            <w:r>
              <w:rPr>
                <w:rFonts w:ascii="Arial" w:cs="Arial" w:eastAsia="Arial" w:hAnsi="Arial"/>
                <w:sz w:val="18"/>
                <w:szCs w:val="18"/>
                <w:color w:val="auto"/>
                <w:w w:val="95"/>
              </w:rPr>
              <w:t>Cost of integration activities undertaken in connection with the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720" w:type="dxa"/>
            <w:vAlign w:val="bottom"/>
          </w:tcPr>
          <w:p>
            <w:pPr>
              <w:ind w:left="220"/>
              <w:spacing w:after="0"/>
              <w:rPr>
                <w:sz w:val="20"/>
                <w:szCs w:val="20"/>
                <w:color w:val="auto"/>
              </w:rPr>
            </w:pPr>
            <w:r>
              <w:rPr>
                <w:rFonts w:ascii="Arial" w:cs="Arial" w:eastAsia="Arial" w:hAnsi="Arial"/>
                <w:sz w:val="18"/>
                <w:szCs w:val="18"/>
                <w:color w:val="auto"/>
              </w:rPr>
              <w:t>Stratex merger</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6"/>
              </w:rPr>
              <w:t>Gains from sale of building and Telsima acquisition purchase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price settlement</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Loss on sale of NetBoss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Transactional tax assessments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Liquidation of entities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charges or adjustments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0"/>
        <w:spacing w:after="0" w:line="417" w:lineRule="auto"/>
        <w:rPr>
          <w:sz w:val="20"/>
          <w:szCs w:val="20"/>
          <w:color w:val="auto"/>
        </w:rPr>
      </w:pPr>
      <w:r>
        <w:rPr>
          <w:rFonts w:ascii="Arial" w:cs="Arial" w:eastAsia="Arial" w:hAnsi="Arial"/>
          <w:sz w:val="15"/>
          <w:szCs w:val="15"/>
          <w:b w:val="1"/>
          <w:bCs w:val="1"/>
          <w:color w:val="auto"/>
        </w:rPr>
        <w:t xml:space="preserve">Item 7. </w:t>
      </w:r>
      <w:r>
        <w:rPr>
          <w:rFonts w:ascii="Arial" w:cs="Arial" w:eastAsia="Arial" w:hAnsi="Arial"/>
          <w:sz w:val="15"/>
          <w:szCs w:val="15"/>
          <w:b w:val="1"/>
          <w:bCs w:val="1"/>
          <w:i w:val="1"/>
          <w:iCs w:val="1"/>
          <w:color w:val="auto"/>
        </w:rPr>
        <w:t>Management’sDiscussion and Analysis of Financial Condition and Results of Operations</w:t>
      </w:r>
      <w:r>
        <w:rPr>
          <w:rFonts w:ascii="Arial" w:cs="Arial" w:eastAsia="Arial" w:hAnsi="Arial"/>
          <w:sz w:val="15"/>
          <w:szCs w:val="15"/>
          <w:b w:val="1"/>
          <w:bCs w:val="1"/>
          <w:color w:val="auto"/>
        </w:rPr>
        <w:t xml:space="preserve"> Overview of Business; Operating Environment and Key Factors Impacting Fiscal 2011 and 2012 Results</w:t>
      </w:r>
    </w:p>
    <w:p>
      <w:pPr>
        <w:spacing w:after="0" w:line="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w:t>
      </w:r>
    </w:p>
    <w:p>
      <w:pPr>
        <w:spacing w:after="0" w:line="8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both point-to-point (PTP) and point-to-multipoint (PMP)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multiplexers, etc, necessary to build and deploy a wireless transmission network, and a full suite of turnkey support services.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segment operating profits, earnings per share, and return on average total capital are the key measures of financial performance for our business.</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Fiscal Year 2011 was a challenging year for the company. On August 12, 2010, we announced a restructuring plan as a first step in a comprehensive strategic plan to enable a return to profitability, and continue building out a stable platform to drive sustainable revenue growth. The restructuring plan included: accelerating innovation in our core business of wireless transmission including microwave backhaul in order to extend its performance leadership over competitive solutions, selling off assets and businesses such as NetBoss and WiMAX that were not complementary to our core business, improving costs and operational efficiency and expanding our services solutions, specifically network operations management and professional services, to further differentiate the company in the IP mobile backhaul market. We are pleased to report that we have made significant progress on all key actions associated with this restructuring which has enabled the company to improve its product portfolio and operations to quickly respond to the changing needs of customers, markets and the industry with increased flexibility and speed.</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While we continue to face a difficult business environment, we are focused on maintaining the fast paced momentum we began in fiscal year 2010. We will continue to strengthen our balance sheet and focus on developing cost competitive, high performance products to meet our customer’s needs. We will continue our aggressive steps to restore profitability and accelerate innovation to maintain our position as a leading independent wireless transmission provider.</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strategic focus in fiscal 2012 will be to continue to accelerate innovation and optimize our product portfolio, improve costs and operational efficiencies, grow our revenue and create a sustainable, profitable business model. To do this, we have examined our products, markets, facilities, development programs, and operational flows to ensure we’re focused on what we do well and what will differentiate us in the future. We will continue working aggressively to streamline management processes to run with the speed required by the markets in which we do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the discussion below, our fiscal year ended July 1, 2011 is referred to as “fiscal 2011” or “2011”; fiscal year ended July 2, 2010 as “fiscal 2010” or “2010” and fiscal year ended July 3, 2009 as “fiscal 2009” or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March 2011, our board of directors approved a plan for the sale of our WiMAX business and we engaged an investment bank to market the sale of our WiMAX business. We considered its history of operating losses, lower than anticipated sales volume and additional investment required to achieve competitive technology, product functionality and manufacturing costs and to increase selling, marketing and distribution efforts. This decision resulted from an effort to complete the strategic plan to streamline the business and focus our time and resources on growing our core microwave business to better position us for long-term success. The sale of WiMAX business was completed on September 2, 2011.</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quarter ended April 1, 2011, we began accounting for WiMAX business as a discontinued operation. We have reclassified WiMAX business’ operating results for all prior periods presented to loss from discontinued operations in our consolidated statements of operations. The discussions on our revenue, operating loss, gross margin, operating expenses, operating loss, other income or loss and income taxes have excluded WiMAX business results, which are discussed separately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September 2010, we sold the NetBoss assets to a third party resulting in a loss on sale of $4.6 million during fiscal 2011.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revenue was $452.1 million in fiscal 2011, compared with $465.5 million in fiscal 2010 and $677.9 million in fiscal 2009. We manage our business primarily on a geographic basis, based on two geographic segments: North America and International (which contains three geographic regions). Our revenue by segment and region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Fiscal Year</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ind w:left="380"/>
              <w:spacing w:after="0"/>
              <w:rPr>
                <w:sz w:val="20"/>
                <w:szCs w:val="20"/>
                <w:color w:val="auto"/>
              </w:rPr>
            </w:pPr>
            <w:r>
              <w:rPr>
                <w:rFonts w:ascii="Arial" w:cs="Arial" w:eastAsia="Arial" w:hAnsi="Arial"/>
                <w:sz w:val="14"/>
                <w:szCs w:val="14"/>
                <w:b w:val="1"/>
                <w:bCs w:val="1"/>
                <w:color w:val="auto"/>
                <w:w w:val="88"/>
              </w:rPr>
              <w:t>$ Change</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54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2011 /2010</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w w:val="82"/>
              </w:rPr>
              <w:t>2010 /2009</w:t>
            </w:r>
          </w:p>
        </w:tc>
        <w:tc>
          <w:tcPr>
            <w:tcW w:w="3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2011 /2010</w:t>
            </w:r>
          </w:p>
        </w:tc>
        <w:tc>
          <w:tcPr>
            <w:tcW w:w="5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2010 /2009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$160.4</w:t>
            </w:r>
          </w:p>
        </w:tc>
        <w:tc>
          <w:tcPr>
            <w:tcW w:w="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$231.9</w:t>
            </w:r>
          </w:p>
        </w:tc>
        <w:tc>
          <w:tcPr>
            <w:tcW w:w="3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w:t>
            </w:r>
          </w:p>
        </w:tc>
        <w:tc>
          <w:tcPr>
            <w:tcW w:w="2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(57.1)</w:t>
            </w:r>
          </w:p>
        </w:tc>
        <w:tc>
          <w:tcPr>
            <w:tcW w:w="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1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Europe, Middle East, and Russia</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102.1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(52.8)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and AsiaPac</w:t>
            </w:r>
          </w:p>
        </w:tc>
        <w:tc>
          <w:tcPr>
            <w:tcW w:w="1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tcPr>
          <w:p>
            <w:pPr>
              <w:ind w:left="420"/>
              <w:spacing w:after="0"/>
              <w:rPr>
                <w:sz w:val="20"/>
                <w:szCs w:val="20"/>
                <w:color w:val="auto"/>
              </w:rPr>
            </w:pPr>
            <w:r>
              <w:rPr>
                <w:rFonts w:ascii="Arial" w:cs="Arial" w:eastAsia="Arial" w:hAnsi="Arial"/>
                <w:sz w:val="18"/>
                <w:szCs w:val="18"/>
                <w:color w:val="auto"/>
              </w:rPr>
              <w:t>Total International</w:t>
            </w:r>
          </w:p>
        </w:tc>
        <w:tc>
          <w:tcPr>
            <w:tcW w:w="1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291.7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290.7</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446.0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(155.3)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677.9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(212.4)</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Throughout fiscal 2011 we experienced strong price competition for new business in all regions while major customer consolidations also put pressure on revenue and gross margin. We saw pricing pressures in all markets, particularly in international markets where we compete for the business of large, carrier customers. In all markets, telecommunication operating companies consolidated through mergers or acquisitions, leading to fewer, but larger customers. In order to counter pricing pressures, we invested heavily in product improvements to reduce unit costs and enhance product features, exited manufacturing facilities and shifted production to contract manufacturers, and worked with our vendors to attain more favorable pricing.</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During fiscal 2011, the MTN group in Africa accounted for 14% of our total revenue compared with 17% in fiscal 2010 and 17% in fiscal 2009. We have entered into separate and distinct contracts with MTN as well as separate arrangements with MTN group subsidiaries. None of such other contracts on an individual basis are material to our operations. The loss of all MTN group business could adversely affect our results of operations, cash flows and financial position.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North America segment revenue decreased by $14.4 million, or 8.2%, in fiscal 2011 compared with fiscal 2010. This decline is primarily attributable to reduced sales of our legacy product lines in the first half of fiscal 2011 when compared with the same period in fiscal 2010. Fiscal 2011 was a transition year for us where we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completed the last deliveries of legacy products and our marketing and selling efforts were focused on our new product platform. Early in fiscal 2011 we experienced production issues which slowed the progress in transitioning sales to our new product platform. But by mid-year we had overcome those issues and the new platform sales increased significantly from the first quarter of fiscal 2011 to the fourth quarter of fiscal 2011.</w:t>
      </w:r>
    </w:p>
    <w:p>
      <w:pPr>
        <w:spacing w:after="0" w:line="10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North America segment revenue decreased by $57.1 million, or 24.6%, in fiscal 2010 compared with fiscal 2009. This decrease in revenue resulted primarily from the economic recession and the continuing credit crisis adversely affecting our North America customers’ expansion.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International segment revenue increased by $1.0 million or 0.3% in fiscal 2011 compared with fiscal 2010. Revenue from sales to wireless operators in Russia and France were substantially improved in fiscal year 2011 over the previous year. Those gains were offset in part by smaller declines in revenue from customers in Africa and the Asia-Pacific regions. We experienced strong price competition in all regions during the year and attribute the decrease in revenue in Africa and the Asia-Pacific regions to reduced prices, as unit volumes were steady or up from fiscal 2010.</w:t>
      </w:r>
    </w:p>
    <w:p>
      <w:pPr>
        <w:spacing w:after="0" w:line="113"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International segment revenue decreased by $155.3 million or 34.8% in fiscal 2010 compared with fiscal 2009. This decrease in revenue resulted from significant declines in all regions, most acutely in Africa and Europe, Middle East and Russia. These declines in revenue were primarily due to the global economic recession and the continuing credit crisis adversely affecting our customers’ ability to finance expansion, as well as increased competition from our competitors. Increased competition has affected product pricing and the ability to combine microwave equipment with other product sales and services. Furthermore, revenue has been negatively affected by anticipated or planned consolidation of our customers and reduced foreign government-based subsidized financing, particularly in Africa.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loss by segment is summarized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b w:val="1"/>
                <w:bCs w:val="1"/>
                <w:color w:val="auto"/>
              </w:rPr>
              <w:t>$ Change</w:t>
            </w:r>
          </w:p>
        </w:tc>
        <w:tc>
          <w:tcPr>
            <w:tcW w:w="4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gridSpan w:val="2"/>
            <w:vMerge w:val="continue"/>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2011 /2010</w:t>
            </w:r>
          </w:p>
        </w:tc>
        <w:tc>
          <w:tcPr>
            <w:tcW w:w="24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 /2009</w:t>
            </w:r>
          </w:p>
        </w:tc>
        <w:tc>
          <w:tcPr>
            <w:tcW w:w="4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2011 /2010</w:t>
            </w:r>
          </w:p>
        </w:tc>
        <w:tc>
          <w:tcPr>
            <w:tcW w:w="6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2010 /2009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0"/>
              </w:rPr>
              <w:t>$ (21.3)</w:t>
            </w:r>
          </w:p>
        </w:tc>
        <w:tc>
          <w:tcPr>
            <w:tcW w:w="2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(52.8)</w:t>
            </w:r>
          </w:p>
        </w:tc>
        <w:tc>
          <w:tcPr>
            <w:tcW w:w="3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(62.8)</w:t>
            </w:r>
          </w:p>
        </w:tc>
        <w:tc>
          <w:tcPr>
            <w:tcW w:w="2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8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(59.6)%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International</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(266.3)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207.6</w:t>
            </w:r>
          </w:p>
        </w:tc>
        <w:tc>
          <w:tcPr>
            <w:tcW w:w="1700" w:type="dxa"/>
            <w:vAlign w:val="bottom"/>
            <w:gridSpan w:val="3"/>
          </w:tcPr>
          <w:p>
            <w:pPr>
              <w:jc w:val="right"/>
              <w:ind w:right="352"/>
              <w:spacing w:after="0"/>
              <w:rPr>
                <w:sz w:val="20"/>
                <w:szCs w:val="20"/>
                <w:color w:val="auto"/>
              </w:rPr>
            </w:pPr>
            <w:r>
              <w:rPr>
                <w:rFonts w:ascii="Arial" w:cs="Arial" w:eastAsia="Arial" w:hAnsi="Arial"/>
                <w:sz w:val="18"/>
                <w:szCs w:val="18"/>
                <w:color w:val="auto"/>
              </w:rPr>
              <w:t>(77.3)%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loss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(34.6)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(329.1)</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76.9</w:t>
            </w: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217.6</w:t>
            </w:r>
          </w:p>
        </w:tc>
        <w:tc>
          <w:tcPr>
            <w:tcW w:w="17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(69.0)%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charges, expenses and gains included in our operating loss during these periods by segment are set forth on a comparative basis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Fiscal 2011</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2"/>
              </w:rPr>
              <w:t>Fiscal 2010</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2"/>
              </w:rPr>
              <w:t>Fiscal 2009</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tcPr>
          <w:p>
            <w:pPr>
              <w:jc w:val="right"/>
              <w:ind w:right="220"/>
              <w:spacing w:after="0" w:line="131" w:lineRule="exact"/>
              <w:rPr>
                <w:sz w:val="20"/>
                <w:szCs w:val="20"/>
                <w:color w:val="auto"/>
              </w:rPr>
            </w:pPr>
            <w:r>
              <w:rPr>
                <w:rFonts w:ascii="Arial" w:cs="Arial" w:eastAsia="Arial" w:hAnsi="Arial"/>
                <w:sz w:val="14"/>
                <w:szCs w:val="14"/>
                <w:color w:val="auto"/>
              </w:rPr>
              <w:t>North</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right"/>
              <w:ind w:right="360"/>
              <w:spacing w:after="0" w:line="131" w:lineRule="exact"/>
              <w:rPr>
                <w:sz w:val="20"/>
                <w:szCs w:val="20"/>
                <w:color w:val="auto"/>
              </w:rPr>
            </w:pPr>
            <w:r>
              <w:rPr>
                <w:rFonts w:ascii="Arial" w:cs="Arial" w:eastAsia="Arial" w:hAnsi="Arial"/>
                <w:sz w:val="14"/>
                <w:szCs w:val="14"/>
                <w:color w:val="auto"/>
              </w:rPr>
              <w:t>North</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North</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600" w:type="dxa"/>
            <w:vAlign w:val="bottom"/>
            <w:gridSpan w:val="3"/>
          </w:tcPr>
          <w:p>
            <w:pPr>
              <w:spacing w:after="0" w:line="159" w:lineRule="exact"/>
              <w:rPr>
                <w:sz w:val="20"/>
                <w:szCs w:val="20"/>
                <w:color w:val="auto"/>
              </w:rPr>
            </w:pPr>
            <w:r>
              <w:rPr>
                <w:rFonts w:ascii="Arial" w:cs="Arial" w:eastAsia="Arial" w:hAnsi="Arial"/>
                <w:sz w:val="14"/>
                <w:szCs w:val="14"/>
                <w:color w:val="auto"/>
              </w:rPr>
              <w:t>America</w:t>
            </w:r>
          </w:p>
        </w:tc>
        <w:tc>
          <w:tcPr>
            <w:tcW w:w="140" w:type="dxa"/>
            <w:vAlign w:val="bottom"/>
          </w:tcPr>
          <w:p>
            <w:pPr>
              <w:spacing w:after="0"/>
              <w:rPr>
                <w:sz w:val="13"/>
                <w:szCs w:val="13"/>
                <w:color w:val="auto"/>
              </w:rPr>
            </w:pPr>
          </w:p>
        </w:tc>
        <w:tc>
          <w:tcPr>
            <w:tcW w:w="980" w:type="dxa"/>
            <w:vAlign w:val="bottom"/>
            <w:gridSpan w:val="3"/>
          </w:tcPr>
          <w:p>
            <w:pPr>
              <w:spacing w:after="0" w:line="159" w:lineRule="exact"/>
              <w:rPr>
                <w:sz w:val="20"/>
                <w:szCs w:val="20"/>
                <w:color w:val="auto"/>
              </w:rPr>
            </w:pPr>
            <w:r>
              <w:rPr>
                <w:rFonts w:ascii="Arial" w:cs="Arial" w:eastAsia="Arial" w:hAnsi="Arial"/>
                <w:sz w:val="14"/>
                <w:szCs w:val="14"/>
                <w:color w:val="auto"/>
              </w:rPr>
              <w:t>International</w:t>
            </w:r>
          </w:p>
        </w:tc>
        <w:tc>
          <w:tcPr>
            <w:tcW w:w="5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3"/>
                <w:szCs w:val="13"/>
                <w:color w:val="auto"/>
              </w:rPr>
            </w:pPr>
          </w:p>
        </w:tc>
        <w:tc>
          <w:tcPr>
            <w:tcW w:w="740" w:type="dxa"/>
            <w:vAlign w:val="bottom"/>
            <w:gridSpan w:val="3"/>
          </w:tcPr>
          <w:p>
            <w:pPr>
              <w:spacing w:after="0" w:line="159" w:lineRule="exact"/>
              <w:rPr>
                <w:sz w:val="20"/>
                <w:szCs w:val="20"/>
                <w:color w:val="auto"/>
              </w:rPr>
            </w:pPr>
            <w:r>
              <w:rPr>
                <w:rFonts w:ascii="Arial" w:cs="Arial" w:eastAsia="Arial" w:hAnsi="Arial"/>
                <w:sz w:val="14"/>
                <w:szCs w:val="14"/>
                <w:color w:val="auto"/>
              </w:rPr>
              <w:t>America</w:t>
            </w:r>
          </w:p>
        </w:tc>
        <w:tc>
          <w:tcPr>
            <w:tcW w:w="72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88"/>
              </w:rPr>
              <w:t>International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3"/>
              </w:rPr>
              <w:t>Total</w:t>
            </w:r>
          </w:p>
        </w:tc>
        <w:tc>
          <w:tcPr>
            <w:tcW w:w="460" w:type="dxa"/>
            <w:vAlign w:val="bottom"/>
            <w:gridSpan w:val="2"/>
          </w:tcPr>
          <w:p>
            <w:pPr>
              <w:spacing w:after="0" w:line="159" w:lineRule="exact"/>
              <w:rPr>
                <w:sz w:val="20"/>
                <w:szCs w:val="20"/>
                <w:color w:val="auto"/>
              </w:rPr>
            </w:pPr>
            <w:r>
              <w:rPr>
                <w:rFonts w:ascii="Arial" w:cs="Arial" w:eastAsia="Arial" w:hAnsi="Arial"/>
                <w:sz w:val="14"/>
                <w:szCs w:val="14"/>
                <w:color w:val="auto"/>
                <w:w w:val="85"/>
              </w:rPr>
              <w:t>America</w:t>
            </w:r>
          </w:p>
        </w:tc>
        <w:tc>
          <w:tcPr>
            <w:tcW w:w="280" w:type="dxa"/>
            <w:vAlign w:val="bottom"/>
          </w:tcPr>
          <w:p>
            <w:pPr>
              <w:spacing w:after="0"/>
              <w:rPr>
                <w:sz w:val="13"/>
                <w:szCs w:val="13"/>
                <w:color w:val="auto"/>
              </w:rPr>
            </w:pPr>
          </w:p>
        </w:tc>
        <w:tc>
          <w:tcPr>
            <w:tcW w:w="700" w:type="dxa"/>
            <w:vAlign w:val="bottom"/>
            <w:gridSpan w:val="2"/>
          </w:tcPr>
          <w:p>
            <w:pPr>
              <w:spacing w:after="0" w:line="159" w:lineRule="exact"/>
              <w:rPr>
                <w:sz w:val="20"/>
                <w:szCs w:val="20"/>
                <w:color w:val="auto"/>
              </w:rPr>
            </w:pPr>
            <w:r>
              <w:rPr>
                <w:rFonts w:ascii="Arial" w:cs="Arial" w:eastAsia="Arial" w:hAnsi="Arial"/>
                <w:sz w:val="14"/>
                <w:szCs w:val="14"/>
                <w:color w:val="auto"/>
                <w:w w:val="88"/>
              </w:rPr>
              <w:t>International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11.5</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impairment charges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9"/>
              </w:rPr>
              <w:t>Property, plant and equipment impairment charges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w w:val="91"/>
              </w:rPr>
              <w:t>Charges for product transition, product discontinuances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and inventory mark-downs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16.9</w:t>
            </w:r>
          </w:p>
        </w:tc>
        <w:tc>
          <w:tcPr>
            <w:tcW w:w="24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6"/>
              </w:rPr>
              <w:t>Amortization of purchased technology and intangible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11.7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w w:val="95"/>
              </w:rPr>
              <w:t>Amortization of fair value adjustments related to fixed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Gain on sale of building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26.4</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30.4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55.1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r>
              <w:rPr>
                <w:rFonts w:ascii="Arial" w:cs="Arial" w:eastAsia="Arial" w:hAnsi="Arial"/>
                <w:sz w:val="18"/>
                <w:szCs w:val="18"/>
                <w:u w:val="single" w:color="auto"/>
                <w:color w:val="auto"/>
              </w:rPr>
              <w:t>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113.8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81.5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Charges in Fiscal 2011, 2010 and 2009</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the first quarter of fiscal 2011, we initiated a new restructuring plan to reduce our operational costs (the “Fiscal 2011 Plan”). The Fiscal 2011 Plan was intended to bring our cost structure in line with the changing dynamics of the worldwide microwave radio and telecommunication markets, primarily in North America, Europe and Asia. In addition, during fiscal 2011, we continued restructuring activities that commenced during fiscal 2009 to reduce our workforce in the U.S., France, Canada and other locations throughout the world (the “Fiscal 2009 Plan”). These activities primarily consisted of outsourcing our San Antonio manufacturing operations to a third party in Austin, Texas.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Restructuring charges in fiscal 2011 included severance, related benefit charges and facilities costs totaling $15.4 million related to our Fiscal 2011 and Fiscal 2009 Restructuring Plans. During fiscal 2010, our restructuring charges totaled $7.1 million related to our Fiscal 2009 Restructuring Plan compared with $8.2 million in fiscal 2009.</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fiscal 2011, we incurred charges of $6.6 million related to provisions for excess and obsolete product inventory associated with the end of life of our legacy products. In fiscal 2010, we incurred $16.9 million of charges to converge our products onto a single platform. These charges included $7.9 million related to provisions for legacy product excess and obsolete inventory. In 2009, we incurred charges of $29.8 million primarily due to excess and obsolete inventory from product transitioning and discontinuance.</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fiscal 2010, we recorded impairment charges of $57.7 million for identifiable intangible assets and $8.7 million for property, plant and equipment. We also reduced the remaining useful lives of our remaining identifiable intangible assets. During fiscal 2009, we recorded impairment charges of $279.0 million for goodwill and $32.6 million for the Stratex trade name.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fiscal 2010 and fiscal 2009 impairment charges of our goodwill, identifiable intangible assets and property, plant and equipment were indicated by a decline in our market capitalization and recent and expected financial performance. The results of our impairment test indicated impairment since the estimated undiscounted cash flows for these assets were less than their respective carrying values.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Amortization of intangible assets and purchased technology decreased in fiscal 2011 compared with fiscal 2010 and fiscal 2009 due to lower intangible asset balances in fiscal 2011 resulting from impairment charges recorded in the fourth quarter of fiscal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Our North America segment operating loss in fiscal 2011 was $21.3 million compared with a segment operating loss of $52.8 million in fiscal 2010. The loss in fiscal 2011 included $11.5 million of charges for restructuring and $6.6 million related to provisions for excess and obsolete inventory associated with the end of life of our legacy products. These charges are included in the table under the Operating Loss section above along with other charges, expenses and gains for each of our business segments and the Company as a whole. The North America segment fiscal 2011 operating loss was also negatively impacted by an 8.2% decline in revenue compared with fiscal 2010 and the product pricing pressures discussed above under the section </w:t>
      </w:r>
      <w:r>
        <w:rPr>
          <w:rFonts w:ascii="Arial" w:cs="Arial" w:eastAsia="Arial" w:hAnsi="Arial"/>
          <w:sz w:val="16"/>
          <w:szCs w:val="16"/>
          <w:i w:val="1"/>
          <w:iCs w:val="1"/>
          <w:color w:val="auto"/>
        </w:rPr>
        <w:t>Revenue</w:t>
      </w:r>
      <w:r>
        <w:rPr>
          <w:rFonts w:ascii="Arial" w:cs="Arial" w:eastAsia="Arial" w:hAnsi="Arial"/>
          <w:sz w:val="16"/>
          <w:szCs w:val="16"/>
          <w:color w:val="auto"/>
        </w:rPr>
        <w:t>.</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North America segment operating loss in fiscal 2010 was $52.8 million compared with a segment operating loss of $62.8 million in fiscal 2009. The loss in fiscal 2010 included charges to converge our products onto a single platform by the end of fiscal year 2010 and impairments for intangible assets, property, plant and equipment and certain other assets. Additionally, we incurred other charges and expenses including restructuring costs, amortization of purchased intangibles and share compensation expense. Finally, we recognized a $1.0 million gain on sale of our San Antonio, Texas property.</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Our North America segment had an operating loss of $62.8 million in fiscal 2009 primarily due to goodwill impairment and charges for the accelerated transition towards a common IP-based platform. The charges for this accelerated product transition included provisions for legacy product excess and obsolete inventory, and write-downs of property, plant, manufacturing and test equipment, and charges recorded for inventory purchase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International segment operating loss in fiscal 2011 was $13.3 million compared with a segment operating loss of $58.7 million in fiscal 2010. The loss in fiscal 2011 included $3.9 of charges for restructuring. Please refer to the table under the Operating Loss section above for this and other charges, expenses and gains for each of our business segments and the Company as a whole. The International segment fiscal 2011operating loss was also negatively impacted by the product pricing pressures.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International segment operating loss of $58.7 million in fiscal 2010 resulted primarily from $54.3 million of impairments for intangible assets and property, plant and equipment and a 34.8% decline in revenue when compared with fiscal 2009.</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International segment operating loss of $266.3 million in fiscal 2009 primarily resulted from impairment charges for goodwill and the trade name “Stratex”, as well as charges related to the accelerated transition towards a common IP-based product platform.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Fiscal Year</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4"/>
          </w:tcPr>
          <w:p>
            <w:pPr>
              <w:ind w:left="40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60" w:type="dxa"/>
            <w:vAlign w:val="bottom"/>
            <w:gridSpan w:val="2"/>
            <w:vMerge w:val="continue"/>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2011 /2010</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w w:val="82"/>
              </w:rPr>
              <w:t>2010 /2009</w:t>
            </w:r>
          </w:p>
        </w:tc>
        <w:tc>
          <w:tcPr>
            <w:tcW w:w="4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2011 /2010</w:t>
            </w:r>
          </w:p>
        </w:tc>
        <w:tc>
          <w:tcPr>
            <w:tcW w:w="5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2010 /2009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$452.1</w:t>
            </w:r>
          </w:p>
        </w:tc>
        <w:tc>
          <w:tcPr>
            <w:tcW w:w="3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$465.5</w:t>
            </w:r>
          </w:p>
        </w:tc>
        <w:tc>
          <w:tcPr>
            <w:tcW w:w="5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$677.9</w:t>
            </w:r>
          </w:p>
        </w:tc>
        <w:tc>
          <w:tcPr>
            <w:tcW w:w="3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w:t>
            </w:r>
          </w:p>
        </w:tc>
        <w:tc>
          <w:tcPr>
            <w:tcW w:w="2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(212.4)</w:t>
            </w:r>
          </w:p>
        </w:tc>
        <w:tc>
          <w:tcPr>
            <w:tcW w:w="4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of 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324.0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332.7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503.8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(171.1)</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$128.1</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$174.1</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 of revenue</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28.5%</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2011 Compared with 2010</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general business trends of strong price competition for new business in all regions and major customer consolidations continue to put pressure on gross margin.</w:t>
      </w:r>
    </w:p>
    <w:p>
      <w:pPr>
        <w:spacing w:after="0" w:line="132" w:lineRule="exact"/>
        <w:rPr>
          <w:sz w:val="20"/>
          <w:szCs w:val="20"/>
          <w:color w:val="auto"/>
        </w:rPr>
      </w:pPr>
    </w:p>
    <w:p>
      <w:pPr>
        <w:jc w:val="both"/>
        <w:ind w:right="100" w:firstLine="456"/>
        <w:spacing w:after="0" w:line="283" w:lineRule="auto"/>
        <w:rPr>
          <w:sz w:val="20"/>
          <w:szCs w:val="20"/>
          <w:color w:val="auto"/>
        </w:rPr>
      </w:pPr>
      <w:r>
        <w:rPr>
          <w:rFonts w:ascii="Arial" w:cs="Arial" w:eastAsia="Arial" w:hAnsi="Arial"/>
          <w:sz w:val="16"/>
          <w:szCs w:val="16"/>
          <w:color w:val="auto"/>
        </w:rPr>
        <w:t>Gross margin in fiscal 2011 was $128.1 million, or 28.3% of revenue, compared with $132.8 million, or 28.5% of revenue in fiscal 2010. We experienced significant pricing pressure in all regions of the world during fiscal 2011. All competitors bid aggressively for new business to improve market share or to retain customers, who continued to consolidate during the year. We were able to offset price reductions in part through several programs to reduce cost, which included the end of sales of legacy product in North America and converting our customers to our new and more cost efficient product platform for that market.</w:t>
      </w:r>
    </w:p>
    <w:p>
      <w:pPr>
        <w:spacing w:after="0" w:line="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Additionally, we converted our North American product production to a contract manufacturer and completed the final closure of our North America factory facility, introduced new, less costly versions of our main product line and continued efforts to work with vendors to improve their prices.</w:t>
      </w:r>
    </w:p>
    <w:p>
      <w:pPr>
        <w:spacing w:after="0" w:line="93" w:lineRule="exact"/>
        <w:rPr>
          <w:sz w:val="20"/>
          <w:szCs w:val="20"/>
          <w:color w:val="auto"/>
        </w:rPr>
      </w:pPr>
    </w:p>
    <w:p>
      <w:pPr>
        <w:jc w:val="both"/>
        <w:ind w:right="560" w:firstLine="456"/>
        <w:spacing w:after="0" w:line="298" w:lineRule="auto"/>
        <w:rPr>
          <w:sz w:val="20"/>
          <w:szCs w:val="20"/>
          <w:color w:val="auto"/>
        </w:rPr>
      </w:pPr>
      <w:r>
        <w:rPr>
          <w:rFonts w:ascii="Arial" w:cs="Arial" w:eastAsia="Arial" w:hAnsi="Arial"/>
          <w:sz w:val="16"/>
          <w:szCs w:val="16"/>
          <w:color w:val="auto"/>
        </w:rPr>
        <w:t>Gross margin in our North America segment in fiscal 2011 included a charge of $6.6 million related to provisions for excess and obsolete inventory associated with the end of life of our legacy products. During the course of the year, we experienced greater than expected costs to transition production to contract manufacturing in North America. Those incremental costs contributed to the weaker than expected gross margins for the year. We completed the transition of this activity to a new contract manufacturer by the end of the fiscal year.</w:t>
      </w:r>
    </w:p>
    <w:p>
      <w:pPr>
        <w:spacing w:after="0" w:line="11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Amortization of purchased technology is included in cost of product sales and services. Amortization expenses decreased to $0.7 million in fiscal 2011 compared with $7.2 million in fiscal 2010 due to lower intangible asset balances in fiscal 2011 resulting from impairment on purchased technology charges of $49.5 million recorded in the fourth quarter of fiscal 2010.</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Gross margin in fiscal 2010 was impacted by $16.9 million of charges, or 3.6% to converge our products onto a single platform by the end of fiscal year 2010. These charges included $7.9 million related to provisions for legacy product excess and obsolete inventory, and $5.5 million for impairment of a building and idle equipment in our North America segment. Additionally, $3.5 million in charges were recorded for inventory purchase commitments and $8.2 million for amortization of purchased technology.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2010 Compared with 2009</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Gross margin in fiscal 2010 was $132.8 million, or 28.5% of revenue, compared with $174.1 million, or 25.7% of revenue in fiscal 2009. Our gross margin percentage improved during fiscal 2010 compared with fiscal 2009 due to the benefit from the pricing and structure of certain customer arrangements, primarily during the first two quarters of fiscal 2010. Gross margin also benefited from lower logistics expenses, lower manufacturing overhead and improved supplier pricing on select projects primarily during the first two quarters of fiscal 2010. However, these improvements were partially offset by a reduction in the volume of sales of our legacy products during the second half of fiscal 2010 which, combined with increased start-up production costs of new products and the items discussed above, adversely affected our gross margin.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By comparison, gross margin in fiscal 2009 was impacted by $37.9 million of write-offs consisting of $29.8 million in charges related to product transition, $7.5 million for amortization of purchased technology and $0.6 million of amortization of the fair value of adjustments for fixed assets acquired from Stratex.</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Fiscal Year</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right"/>
              <w:ind w:right="63"/>
              <w:spacing w:after="0"/>
              <w:rPr>
                <w:sz w:val="20"/>
                <w:szCs w:val="20"/>
                <w:color w:val="auto"/>
              </w:rPr>
            </w:pPr>
            <w:r>
              <w:rPr>
                <w:rFonts w:ascii="Arial" w:cs="Arial" w:eastAsia="Arial" w:hAnsi="Arial"/>
                <w:sz w:val="14"/>
                <w:szCs w:val="14"/>
                <w:b w:val="1"/>
                <w:bCs w:val="1"/>
                <w:color w:val="auto"/>
              </w:rPr>
              <w:t>$ Change</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5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2011 /2010</w:t>
            </w: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 /2009</w:t>
            </w:r>
          </w:p>
        </w:tc>
        <w:tc>
          <w:tcPr>
            <w:tcW w:w="4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2011 /2010</w:t>
            </w:r>
          </w:p>
        </w:tc>
        <w:tc>
          <w:tcPr>
            <w:tcW w:w="5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2010 /2009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$40.5</w:t>
            </w:r>
          </w:p>
        </w:tc>
        <w:tc>
          <w:tcPr>
            <w:tcW w:w="2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$31.1</w:t>
            </w:r>
          </w:p>
        </w:tc>
        <w:tc>
          <w:tcPr>
            <w:tcW w:w="3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w:t>
            </w:r>
          </w:p>
        </w:tc>
        <w:tc>
          <w:tcPr>
            <w:tcW w:w="3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 of revenue</w:t>
            </w: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9.0%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6.7%</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2011 Compared with 2010</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Research and development (“R&amp;D”) expenses increased by $9.4 million in fiscal 2011 compared with fiscal 2010. As a percentage of revenue, R&amp;D expenses also increased to 9.0% in fiscal 2011 from 6.7% in fiscal 2010. The $9.4 million increases in R&amp;D expenses, primarily personnel expenses, was primarily attributable to investments in new product innovation by increasing R&amp;D headcount in our core business, and an increase in share-based compensation related to the vesting of performance shares that occurred upon the achievement of new product development milestones.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2010 Compared with 2009</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a percentage of revenue, R&amp;D expenses increased to 6.7% in fiscal 2010 from 5.4% in fiscal 2009 due to 56.3% lower revenue and a 14.6% decrease in spending. The decrease in R&amp;D spending, primarily personnel expenses, in fiscal 2010 compared with fiscal 2009 was primarily attributable to a reduction in TRuepoint 6000 product development efforts, partially offset by increases in energy, security and surveillance product development.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Fiscal Year</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580"/>
              <w:spacing w:after="0"/>
              <w:rPr>
                <w:sz w:val="20"/>
                <w:szCs w:val="20"/>
                <w:color w:val="auto"/>
              </w:rPr>
            </w:pPr>
            <w:r>
              <w:rPr>
                <w:rFonts w:ascii="Arial" w:cs="Arial" w:eastAsia="Arial" w:hAnsi="Arial"/>
                <w:sz w:val="14"/>
                <w:szCs w:val="14"/>
                <w:b w:val="1"/>
                <w:bCs w:val="1"/>
                <w:color w:val="auto"/>
              </w:rPr>
              <w:t>$ Change</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vMerge w:val="continue"/>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 / 2010</w:t>
            </w:r>
          </w:p>
        </w:tc>
        <w:tc>
          <w:tcPr>
            <w:tcW w:w="4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2010 / 2009</w:t>
            </w:r>
          </w:p>
        </w:tc>
        <w:tc>
          <w:tcPr>
            <w:tcW w:w="4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 / 2010</w:t>
            </w:r>
          </w:p>
        </w:tc>
        <w:tc>
          <w:tcPr>
            <w:tcW w:w="5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2010 /2009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and administrative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$134.7</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 of revenue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28.9%</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2011 Compared with Fiscal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significant increases and decreases to our selling and administrative expenses comparing fiscal 2011 with fiscal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1060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Decrease in personnel expenses from reductions in force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Decrease in commissions paid to sales agents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Decrease from lower expenses incurred on information technology projects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Decrease in amortization of software costs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lower expenses incurred as a result of sale of NetBoss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Decrease in executive severance for former CEO</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w w:val="95"/>
              </w:rPr>
              <w:t>Decrease due to rebranding and transitional costs incurred in fiscal 2010 due to corporate name change and costs to phase-out transitional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agreement with Harris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10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10600" w:type="dxa"/>
            <w:vAlign w:val="bottom"/>
            <w:vMerge w:val="restart"/>
          </w:tcPr>
          <w:p>
            <w:pPr>
              <w:ind w:left="562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2010 Compared with Fiscal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significant increases and decreases to our selling and administrative expenses comparing fiscal 2010 with fiscal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Amount</w:t>
            </w:r>
          </w:p>
        </w:tc>
      </w:tr>
      <w:tr>
        <w:trPr>
          <w:trHeight w:val="142"/>
        </w:trPr>
        <w:tc>
          <w:tcPr>
            <w:tcW w:w="1060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Increase in commissions paid to sales agents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Increase in software amortization</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Increase in executive severance for former CEO</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08"/>
        </w:trPr>
        <w:tc>
          <w:tcPr>
            <w:tcW w:w="10600" w:type="dxa"/>
            <w:vAlign w:val="bottom"/>
          </w:tcPr>
          <w:p>
            <w:pPr>
              <w:spacing w:after="0"/>
              <w:rPr>
                <w:sz w:val="20"/>
                <w:szCs w:val="20"/>
                <w:color w:val="auto"/>
              </w:rPr>
            </w:pPr>
            <w:r>
              <w:rPr>
                <w:rFonts w:ascii="Arial" w:cs="Arial" w:eastAsia="Arial" w:hAnsi="Arial"/>
                <w:sz w:val="18"/>
                <w:szCs w:val="18"/>
                <w:color w:val="auto"/>
                <w:w w:val="94"/>
              </w:rPr>
              <w:t>Increase due to rebranding and transitional costs due to corporate name change and costs to phase-out transitional services agreement with</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0600" w:type="dxa"/>
            <w:vAlign w:val="bottom"/>
          </w:tcPr>
          <w:p>
            <w:pPr>
              <w:ind w:left="220"/>
              <w:spacing w:after="0"/>
              <w:rPr>
                <w:sz w:val="20"/>
                <w:szCs w:val="20"/>
                <w:color w:val="auto"/>
              </w:rPr>
            </w:pPr>
            <w:r>
              <w:rPr>
                <w:rFonts w:ascii="Arial" w:cs="Arial" w:eastAsia="Arial" w:hAnsi="Arial"/>
                <w:sz w:val="18"/>
                <w:szCs w:val="18"/>
                <w:color w:val="auto"/>
              </w:rPr>
              <w:t>Harris</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8"/>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Reduction in bad debt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Reduction in software impairments included in selling and administrative expenses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Reduction in costs charged by Harris for administrative services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1060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16"/>
        </w:trPr>
        <w:tc>
          <w:tcPr>
            <w:tcW w:w="10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0"/>
        </w:trPr>
        <w:tc>
          <w:tcPr>
            <w:tcW w:w="10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increase in selling and administrative expenses from commissions paid to sales agents resulted from a large contract with a customer in the Europe, Middle East and Russia region during fiscal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(Loss), Interest Income and Interest Expense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Loss on sale of NetBoss assets</w:t>
            </w:r>
          </w:p>
        </w:tc>
        <w:tc>
          <w:tcPr>
            <w:tcW w:w="2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$(4.6)</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8"/>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income (loss), net</w:t>
            </w:r>
          </w:p>
        </w:tc>
        <w:tc>
          <w:tcPr>
            <w:tcW w:w="3160" w:type="dxa"/>
            <w:vAlign w:val="bottom"/>
            <w:gridSpan w:val="3"/>
          </w:tcPr>
          <w:p>
            <w:pPr>
              <w:jc w:val="right"/>
              <w:ind w:right="200"/>
              <w:spacing w:after="0"/>
              <w:rPr>
                <w:sz w:val="20"/>
                <w:szCs w:val="20"/>
                <w:color w:val="auto"/>
              </w:rPr>
            </w:pPr>
            <w:r>
              <w:rPr>
                <w:rFonts w:ascii="Arial" w:cs="Arial" w:eastAsia="Arial" w:hAnsi="Arial"/>
                <w:sz w:val="18"/>
                <w:szCs w:val="18"/>
                <w:color w:val="auto"/>
              </w:rPr>
              <w:t>(3.6)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316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(2.2)</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fiscal 2011, we incurred other losses consisting of $4.6 million from the sale of NetBoss assets, $2.8 million from transactional tax assessments and $0.8 million from the costs to liquidate certain foreign subsidiaries. This compares with a gain of $1.2 from final settlement of the Telsima acquisition purchase price during fiscal 2010.</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Interest expense for all fiscal years presented primarily related to preference dividends on our $8.25 million redeemable preference shares and interest expense associated with our credit facilities. In fourth quarter of fiscal 2011, we agreed to redeem the shares on January 30, 2012.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w w:val="85"/>
              </w:rPr>
              <w:t>$ Change</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460" w:type="dxa"/>
            <w:vAlign w:val="bottom"/>
          </w:tcPr>
          <w:p>
            <w:pPr>
              <w:spacing w:after="0"/>
              <w:rPr>
                <w:sz w:val="12"/>
                <w:szCs w:val="12"/>
                <w:color w:val="auto"/>
              </w:rPr>
            </w:pPr>
          </w:p>
        </w:tc>
        <w:tc>
          <w:tcPr>
            <w:tcW w:w="8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2011 /2010</w:t>
            </w: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Loss from continuing operations before income taxes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2"/>
              </w:rPr>
              <w:t>(44.7)</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(112.2)</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$(331.0)</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14.1</w:t>
            </w:r>
          </w:p>
        </w:tc>
        <w:tc>
          <w:tcPr>
            <w:tcW w:w="6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1480" w:type="dxa"/>
            <w:vAlign w:val="bottom"/>
            <w:gridSpan w:val="3"/>
          </w:tcPr>
          <w:p>
            <w:pPr>
              <w:jc w:val="right"/>
              <w:ind w:right="660"/>
              <w:spacing w:after="0"/>
              <w:rPr>
                <w:sz w:val="20"/>
                <w:szCs w:val="20"/>
                <w:color w:val="auto"/>
              </w:rPr>
            </w:pPr>
            <w:r>
              <w:rPr>
                <w:rFonts w:ascii="Arial" w:cs="Arial" w:eastAsia="Arial" w:hAnsi="Arial"/>
                <w:sz w:val="18"/>
                <w:szCs w:val="18"/>
                <w:color w:val="auto"/>
              </w:rPr>
              <w:t>$  17.8</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of loss from continuing operations before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4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income tax expense from continuing operations for fiscal year 2011 was $14.1 million. The variation between our income tax expense from continuing operations of $14.1 million and income tax benefit at the statutory rate of 35% on our pre-tax loss of $44.7 million was primarily due to an $11.3 million increase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valuation allowance for Singapore deferred tax assets as of the beginning of fiscal 2011 and $1.4 million foreign branch withholding tax accrual. The expense was partially offset by a valuation allowance release of $1.6 million on Mexico deferred tax assets as of the beginning of fiscal 2011.</w:t>
      </w:r>
    </w:p>
    <w:p>
      <w:pPr>
        <w:spacing w:after="0" w:line="8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income tax benefit from continuing operations for fiscal 2010 was $3.8 million. The variation between our income tax benefit from continuing operations and income tax benefit at the statutory rate of 35% on our pre-tax loss of $112.2 million was primarily due to a $4.4 million one-time benefit recognized for U.S. federal income tax loss carryback under the Worker, Homeownership and Business Assistance Act of 2009. This benefit was partially offset by a full valuation allowance on all domestic deferred tax assets created in fiscal 2010. The effective tax rate for fiscal 2010 primarily reflected the benefits of earnings and losses of foreign subsidiaries taxed at lower rates and a dividend from a foreign subsidiary.</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income tax expense from continuing operations for fiscal 2009 was $17.8 million. The variation between our income tax expense from continuing operations of $17.8 million and income tax benefit at the statutory rate of 35% on our pre-tax loss of $331.0 million was primarily due to our evaluation of the ability to realize certain deferred tax assets in future periods.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gridSpan w:val="3"/>
          </w:tcPr>
          <w:p>
            <w:pPr>
              <w:ind w:left="3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4"/>
          </w:tcPr>
          <w:p>
            <w:pPr>
              <w:ind w:lef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4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50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2011 /2010</w:t>
            </w:r>
          </w:p>
        </w:tc>
        <w:tc>
          <w:tcPr>
            <w:tcW w:w="1140" w:type="dxa"/>
            <w:vAlign w:val="bottom"/>
            <w:tcBorders>
              <w:top w:val="single" w:sz="8" w:color="auto"/>
            </w:tcBorders>
            <w:gridSpan w:val="2"/>
          </w:tcPr>
          <w:p>
            <w:pPr>
              <w:ind w:left="520"/>
              <w:spacing w:after="0" w:line="142" w:lineRule="exact"/>
              <w:rPr>
                <w:sz w:val="20"/>
                <w:szCs w:val="20"/>
                <w:color w:val="auto"/>
              </w:rPr>
            </w:pPr>
            <w:r>
              <w:rPr>
                <w:rFonts w:ascii="Arial" w:cs="Arial" w:eastAsia="Arial" w:hAnsi="Arial"/>
                <w:sz w:val="14"/>
                <w:szCs w:val="14"/>
                <w:b w:val="1"/>
                <w:bCs w:val="1"/>
                <w:color w:val="auto"/>
                <w:w w:val="85"/>
              </w:rPr>
              <w:t>2010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tax of nil</w:t>
            </w:r>
          </w:p>
        </w:tc>
        <w:tc>
          <w:tcPr>
            <w:tcW w:w="1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(31.7)</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0"/>
              </w:rPr>
              <w:t>$ (21.8)</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$(6.2)</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discontinued operations consist of the WiMAX business. The increase of loss in fiscal 2011 as compared with fiscal 2010 was primarily due to a $13.1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lower gross margin resulting mainly from provisions for excess and obsolete inventories and noncancellable purchase commitments,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$7.6 million decreases in operating expenses resulting from reduction of employee headcount related to WiMAX product development and support. The increased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loss in fiscal 2010 as compared with fiscal 2009 was primarily due to $9.9 million increases in operating expenses resulting from increase of our investments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WiMAX product development and support. The loss in fiscal 2011 also included $9.5 million impairment charges on WiMAX held for sale assets and the loss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2010 included $5.5 million impairment charges on developed technology and intangible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July 1, 2011, our total cash and cash equivalents was $98.2 million. Approximately $33.2 million or 34% of our total cash and cash equivalents was held by entities domiciled in the United States. The remaining balance of $65.0 million or 66% was held by entities outside the United States and could be subject to additional taxation if it were to be repatriated to the United States.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July 1, 2011, our principal sources of liquidity consisted of the $98.2 million in cash and cash equivalents, $24.8 million of available credit under our current $40.0 million credit facility with Silicon Valley Bank, and cash collections from customers. Historically our primary sources of liquidity have been cash flows from operations, credit facilities and cash proceeds from sale of our equity securities.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Cash used in operating activities was $41.5 million in fiscal 2011 primarily due to the net loss (after non-cash item adjustments) of $35.5 million and an increase in receivables of $25.8 million, partially offset by a year-to-date increase in accounts payable and accrued expenses of $15.1 million. The increase in receivables was attributable to a year-to-year increase in billings issued in the later months of the fiscal year, deferred collection of certain letters of credit to limit factoring expenses, and a delay in collection of certain WiMAX related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receivables. During the second quarter of fiscal 2011, we were able to re-negotiate longer payment terms with two of our largest contract manufacturers. The result of higher volume and more favorable payment terms increased our accounts payable balance as of the end of fiscal 2011. During fiscal 2011, we incurred $16.8 million in cash payments on restructuring liabilities related to our restructuring programs.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expect to continue using cash in operating activities in fiscal 2012, primarily related to restructuring and winding down our WiMAX business. The use of cash in winding down our WiMAX business is primarily related to costs and associated liabilities incurred prior to the disposition of WiMAX as well as costs associated with the disposition including transition costs. We believe that our existing cash and cash equivalents, the available line of credit and future cash collections from customers will be sufficient to meet our working capital requirements for the next 12 months and the foreseeable future.</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accommodate our customers’ requests in granting them credit, we regularly accept longer term letters of credit from some customers. These letters of credit are generally discounted without recourse shortly after shipment occurs in order to meet immediate liquidity requirements and to reduce our credit and sovereign risk.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July 1, 2011, we had $24.8 million of credit available under our $40.0 million revolving credit facility with Silicon Valley Bank as mentioned above. The total amount of revolving credit available was $40.0 million less $6.0 million in outstanding short term loans which mature by September 30, 2011, and $9.2 million in outstanding standby letters of credit issued under the facility.</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The commitment of $40.0 million under the facility expires on September 30, 2011 and provides for (1) demand borrowings at the prime rate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(2) fixed term Eurodollar loans for up to six months at LIBOR plus a spread of between 2.00% to 2.75% based on the company’s current leverage ratio; and (3) the issuance of standby or commercial letters of credit. The facility contains a minimum liquidity ratio covenant and a minimum profitability covenant and is secured by the company’s assets.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Based on covenants included as part of the credit facility we must maintain, as measured at the last day of each fiscal quarter, (1) no less than a minimum liquidity ratio of 2.50 to 1 (defined as the ratio of total domestic unrestricted cash and cash equivalents plus short-term and long-term marketable securities to total obligations outstanding with the bank) and (2) minimum consolidated EBITDA measured for each fiscal quarter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3"/>
              </w:rPr>
              <w:t>Period</w:t>
            </w:r>
          </w:p>
        </w:tc>
        <w:tc>
          <w:tcPr>
            <w:tcW w:w="4040" w:type="dxa"/>
            <w:vAlign w:val="bottom"/>
          </w:tcPr>
          <w:p>
            <w:pPr>
              <w:spacing w:after="0"/>
              <w:rPr>
                <w:sz w:val="15"/>
                <w:szCs w:val="15"/>
                <w:color w:val="auto"/>
              </w:rPr>
            </w:pPr>
          </w:p>
        </w:tc>
        <w:tc>
          <w:tcPr>
            <w:tcW w:w="3360" w:type="dxa"/>
            <w:vAlign w:val="bottom"/>
            <w:gridSpan w:val="4"/>
          </w:tcPr>
          <w:p>
            <w:pPr>
              <w:ind w:left="2160"/>
              <w:spacing w:after="0"/>
              <w:rPr>
                <w:sz w:val="20"/>
                <w:szCs w:val="20"/>
                <w:color w:val="auto"/>
              </w:rPr>
            </w:pPr>
            <w:r>
              <w:rPr>
                <w:rFonts w:ascii="Arial" w:cs="Arial" w:eastAsia="Arial" w:hAnsi="Arial"/>
                <w:sz w:val="14"/>
                <w:szCs w:val="14"/>
                <w:color w:val="auto"/>
              </w:rPr>
              <w:t>Minimum EBITDA</w:t>
            </w:r>
          </w:p>
        </w:tc>
      </w:tr>
      <w:tr>
        <w:trPr>
          <w:trHeight w:val="203"/>
        </w:trPr>
        <w:tc>
          <w:tcPr>
            <w:tcW w:w="4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Quarter ending October 1, 2010</w:t>
            </w:r>
          </w:p>
        </w:tc>
        <w:tc>
          <w:tcPr>
            <w:tcW w:w="2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(18,000,000)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Quarter ending January 1, 2011</w:t>
            </w:r>
          </w:p>
        </w:tc>
        <w:tc>
          <w:tcPr>
            <w:tcW w:w="232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(10,500,000)</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ending April 1, 2011</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(7,000,000)</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Quarter ending July 1, 2011</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Quarter Thereafter</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July 1, 2011, we were in compliance with these financial covenants.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currently in negotiations with Silicon Valley Bank to renew and extend the current credit facility under essentially the same terms and conditions before its expiration date of September 30, 2011. It is currently contemplated that the new facility will expire on January 30, 2014 and include a term loan provision for a two year term maturing on that date. The term loan portion of the facility will be available on a one time lump sum basis at a fixed rate of interest and provides for monthly repayment of principal and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Redeemable Preference Shares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30, 2011, we entered into an agreement with Harris Corporation for the early redemption of the preference shares issued by our Singapore subsidiary and held by Harris and another stockholder. The shares will be redeemed on January 30, 2012, the fifth anniversary of their issuance, at their total face value of $8.25 million.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We intend to redeem the shares with the proceeds of a long-term loan under the terms of a new credit facility being negotiated with our current lender, Silicon Valley Bank, as discussed above. For further information, please see “Note 8. Redeemable Preference Shares” in our consolidated financial statements under Item 8 in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a liability for restructuring activities totaling $5.0 million as of July 1, 2011, $4.4 million of which is classified as current liability and expected to be paid out in cash over the next year. Additionally, we expect to incur approximately $8.0 million of additional charges from our restructuring activities. We expect to fund these future payments with available cash and cash flow provided by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July 1, 2011, we had contractual cash obligations for repayment of short-term debt and related interest, purchase obligations to acquire goods and services, payments for operating lease commitments, payments on our restructuring and severance liabilities and redemption of our preference shares and payment of the related required dividend payments.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payments due under these contractual obligations are estimated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7"/>
              </w:rPr>
              <w:t>Obligations Due by Fiscal Year</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64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Total</w:t>
            </w: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2013-2014</w:t>
            </w:r>
          </w:p>
        </w:tc>
        <w:tc>
          <w:tcPr>
            <w:tcW w:w="4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2015-2016</w:t>
            </w:r>
          </w:p>
        </w:tc>
        <w:tc>
          <w:tcPr>
            <w:tcW w:w="4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After 2016</w:t>
            </w:r>
          </w:p>
        </w:tc>
        <w:tc>
          <w:tcPr>
            <w:tcW w:w="4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Short-term debt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Interest on short-term debt</w:t>
            </w:r>
          </w:p>
        </w:tc>
        <w:tc>
          <w:tcPr>
            <w:tcW w:w="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46.5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Operating lease commitments</w:t>
            </w:r>
          </w:p>
        </w:tc>
        <w:tc>
          <w:tcPr>
            <w:tcW w:w="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w w:val="85"/>
              </w:rPr>
              <w:t>16.9</w:t>
            </w:r>
          </w:p>
        </w:tc>
        <w:tc>
          <w:tcPr>
            <w:tcW w:w="4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sublease proceeds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Redeemable preference shares(2)</w:t>
            </w:r>
          </w:p>
        </w:tc>
        <w:tc>
          <w:tcPr>
            <w:tcW w:w="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requirements on redeemable preference shares(3)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Liabilities for uncertain tax positions(4)</w:t>
            </w:r>
          </w:p>
        </w:tc>
        <w:tc>
          <w:tcPr>
            <w:tcW w:w="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98.6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69.6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5"/>
              </w:rPr>
              <w:t>16.9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8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It is not our intent, nor is it reasonably likely, that we would cancel a purchase order that we have executed. Because these agreements do not specify fixed or minimum quantities, do not specify minimum or variable price provisions, and do not specify the approximate timing of the transaction, we have no basis to estimate any future liability under these agreements.</w:t>
      </w:r>
    </w:p>
    <w:p>
      <w:pPr>
        <w:spacing w:after="0" w:line="2" w:lineRule="exact"/>
        <w:rPr>
          <w:rFonts w:ascii="Arial" w:cs="Arial" w:eastAsia="Arial" w:hAnsi="Arial"/>
          <w:sz w:val="16"/>
          <w:szCs w:val="16"/>
          <w:color w:val="auto"/>
        </w:rPr>
      </w:pPr>
    </w:p>
    <w:p>
      <w:pPr>
        <w:ind w:left="460" w:right="40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early redemption will occur on January 30, 2012. For further information, please see “Note 8. Redeemable Preference Shares” in our audited financial statements under Item 8 in this Annual Report on Form 10-K.</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dividend rate is 12% and assumes redemption on January 30, 2012.</w:t>
      </w:r>
    </w:p>
    <w:p>
      <w:pPr>
        <w:spacing w:after="0" w:line="9" w:lineRule="exact"/>
        <w:rPr>
          <w:rFonts w:ascii="Arial" w:cs="Arial" w:eastAsia="Arial" w:hAnsi="Arial"/>
          <w:sz w:val="18"/>
          <w:szCs w:val="18"/>
          <w:color w:val="auto"/>
        </w:rPr>
      </w:pPr>
    </w:p>
    <w:p>
      <w:pPr>
        <w:ind w:left="460" w:right="120" w:hanging="452"/>
        <w:spacing w:after="0" w:line="32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Liabilities for uncertain tax positions of $4.2 million were included in long-term liabilities in the consolidated balance sheet. At this time, we are unable to make a reasonably reliable estimate of the timing of payments related to this amount due to uncertainties in the timing of tax audit outcomes.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July 1, 2011, we had commercial commitments on outstanding surety bonds, standby letters of credit, guarantees and other arrangements,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center"/>
              <w:ind w:left="22"/>
              <w:spacing w:after="0"/>
              <w:rPr>
                <w:sz w:val="20"/>
                <w:szCs w:val="20"/>
                <w:color w:val="auto"/>
              </w:rPr>
            </w:pPr>
            <w:r>
              <w:rPr>
                <w:rFonts w:ascii="Arial" w:cs="Arial" w:eastAsia="Arial" w:hAnsi="Arial"/>
                <w:sz w:val="14"/>
                <w:szCs w:val="14"/>
                <w:b w:val="1"/>
                <w:bCs w:val="1"/>
                <w:color w:val="auto"/>
                <w:w w:val="88"/>
              </w:rPr>
              <w:t>Expiration of Commitments by Fiscal Year</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54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After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jc w:val="center"/>
              <w:ind w:left="8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 used for: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Bids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Down payments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Performance</w:t>
            </w: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10.0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Surety bonds used for: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Bids</w:t>
            </w: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Tax and payment guarantees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Payment bonds</w:t>
            </w: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59.1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59.1</w:t>
            </w:r>
          </w:p>
        </w:tc>
        <w:tc>
          <w:tcPr>
            <w:tcW w:w="400" w:type="dxa"/>
            <w:vAlign w:val="bottom"/>
          </w:tcPr>
          <w:p>
            <w:pPr>
              <w:spacing w:after="0"/>
              <w:rPr>
                <w:sz w:val="18"/>
                <w:szCs w:val="18"/>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Warranty bonds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68.0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62.4</w:t>
            </w:r>
          </w:p>
        </w:tc>
        <w:tc>
          <w:tcPr>
            <w:tcW w:w="400" w:type="dxa"/>
            <w:vAlign w:val="bottom"/>
          </w:tcPr>
          <w:p>
            <w:pPr>
              <w:spacing w:after="0"/>
              <w:rPr>
                <w:sz w:val="19"/>
                <w:szCs w:val="19"/>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78.0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year 2012, we expect to spend approximately $8.0 million to $9.0 million for capital expenditures.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currently believe that existing cash and cash equivalents, funds generated from operations and access to our credit facility will be sufficient to provide for our anticipated requirements for working capital and capital expenditures for the next 12 months and the foreseeable future.</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There can be no assurance, however, that our business will generate cash flow, or that anticipated operational improvements will be achieved. If we are unable to maintain cash balances or generate sufficient cash flow from operations to service our obligations,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definition under SEC rules (Item 303(a) (4) (ii) of Regulation S-K), any of the following qualify as off-balance sheet arrangements:</w:t>
      </w:r>
    </w:p>
    <w:p>
      <w:pPr>
        <w:spacing w:after="0" w:line="113"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July 1, 2011,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Due to our downsizing of certain operations pursuant to acquisitions, restructuring plans or otherwise, certain properties leased by us have been sublet to third parties. In the event any of these third parties vacate any of these premises, we would be legally obligated under master lease arrangements. We believe that the financial risk of default by such sublessors is individual and in the aggregate not material to our financial position, results of operations or cash flows.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 or make speculative investments in foreign currencies.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product sales on the consolidated statements of operations together with the transaction gain or loss from the hedged balance sheet position.</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Substantially all derivatives outstanding as of July 1, 2011 are designated as cash flow hedges or non-designated hedges of recorded balance sheet positions. All derivatives are recognized on the balance sheet at their fair value. The total gross notional amount of outstanding derivatives as of July 1, 2011 was $61.5 million, of which $9.4 million were designated as cash flow hedges and $52.1 million were not designated as cash flow hedging instruments.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10% adverse change in currency exchange rates for our foreign currency derivatives held as of July 1, 2011 would have an impact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$4.3 million on the fair value of such instruments. This quantification of exposure to the market risk associated with foreign exchange financial instruments does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take into account the offsetting impact of changes in the fair value of our foreign denominated assets, liabilities and firm commitments.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July 1, 2011, we had 49 foreign currency forward contracts outstanding with a total net notional amount of $31.6 million consisting of 13 different currencies, primarily the Canadian dollar, Euro, Philippine peso, Polish zloty and Republic of South Africa rand. Following is a summary by currency of the contract net notional amounts grouped by the underlying foreign currency as of July 1,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980" w:type="dxa"/>
            <w:vAlign w:val="bottom"/>
          </w:tcPr>
          <w:p>
            <w:pPr>
              <w:jc w:val="center"/>
              <w:ind w:left="381"/>
              <w:spacing w:after="0"/>
              <w:rPr>
                <w:sz w:val="20"/>
                <w:szCs w:val="20"/>
                <w:color w:val="auto"/>
              </w:rPr>
            </w:pPr>
            <w:r>
              <w:rPr>
                <w:rFonts w:ascii="Arial" w:cs="Arial" w:eastAsia="Arial" w:hAnsi="Arial"/>
                <w:sz w:val="14"/>
                <w:szCs w:val="14"/>
                <w:b w:val="1"/>
                <w:bCs w:val="1"/>
                <w:color w:val="auto"/>
                <w:w w:val="90"/>
              </w:rPr>
              <w:t>Contract</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980" w:type="dxa"/>
            <w:vAlign w:val="bottom"/>
          </w:tcPr>
          <w:p>
            <w:pPr>
              <w:jc w:val="center"/>
              <w:ind w:left="381"/>
              <w:spacing w:after="0" w:line="149" w:lineRule="exact"/>
              <w:rPr>
                <w:sz w:val="20"/>
                <w:szCs w:val="20"/>
                <w:color w:val="auto"/>
              </w:rPr>
            </w:pPr>
            <w:r>
              <w:rPr>
                <w:rFonts w:ascii="Arial" w:cs="Arial" w:eastAsia="Arial" w:hAnsi="Arial"/>
                <w:sz w:val="14"/>
                <w:szCs w:val="14"/>
                <w:b w:val="1"/>
                <w:bCs w:val="1"/>
                <w:color w:val="auto"/>
                <w:w w:val="90"/>
              </w:rPr>
              <w:t>Amount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72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9"/>
              </w:rPr>
              <w:t>(Local Currency)</w:t>
            </w:r>
          </w:p>
        </w:tc>
        <w:tc>
          <w:tcPr>
            <w:tcW w:w="16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720" w:type="dxa"/>
            <w:vAlign w:val="bottom"/>
            <w:tcBorders>
              <w:top w:val="single" w:sz="8" w:color="auto"/>
            </w:tcBorders>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(USD)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 (“CAD”) net contracts to receive (pay) USD</w:t>
            </w:r>
          </w:p>
        </w:tc>
        <w:tc>
          <w:tcPr>
            <w:tcW w:w="98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(CAD)</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Euro (“EUR”) net contracts to receive (pay) USD</w:t>
            </w:r>
          </w:p>
        </w:tc>
        <w:tc>
          <w:tcPr>
            <w:tcW w:w="980" w:type="dxa"/>
            <w:vAlign w:val="bottom"/>
          </w:tcPr>
          <w:p>
            <w:pPr>
              <w:jc w:val="right"/>
              <w:ind w:right="361"/>
              <w:spacing w:after="0"/>
              <w:rPr>
                <w:sz w:val="20"/>
                <w:szCs w:val="20"/>
                <w:color w:val="auto"/>
              </w:rPr>
            </w:pPr>
            <w:r>
              <w:rPr>
                <w:rFonts w:ascii="Arial" w:cs="Arial" w:eastAsia="Arial" w:hAnsi="Arial"/>
                <w:sz w:val="18"/>
                <w:szCs w:val="18"/>
                <w:color w:val="auto"/>
              </w:rPr>
              <w:t>(EUR)</w:t>
            </w: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10.2</w:t>
            </w:r>
          </w:p>
        </w:tc>
        <w:tc>
          <w:tcPr>
            <w:tcW w:w="3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 (“PHP”) net contracts to receive (pay) USD</w:t>
            </w:r>
          </w:p>
        </w:tc>
        <w:tc>
          <w:tcPr>
            <w:tcW w:w="98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(PHP)</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7"/>
              </w:rPr>
              <w:t>(181.1)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Polish zloty (“PLN”) net contracts to receive (pay) USD</w:t>
            </w:r>
          </w:p>
        </w:tc>
        <w:tc>
          <w:tcPr>
            <w:tcW w:w="980" w:type="dxa"/>
            <w:vAlign w:val="bottom"/>
          </w:tcPr>
          <w:p>
            <w:pPr>
              <w:jc w:val="right"/>
              <w:ind w:right="361"/>
              <w:spacing w:after="0"/>
              <w:rPr>
                <w:sz w:val="20"/>
                <w:szCs w:val="20"/>
                <w:color w:val="auto"/>
              </w:rPr>
            </w:pPr>
            <w:r>
              <w:rPr>
                <w:rFonts w:ascii="Arial" w:cs="Arial" w:eastAsia="Arial" w:hAnsi="Arial"/>
                <w:sz w:val="18"/>
                <w:szCs w:val="18"/>
                <w:color w:val="auto"/>
              </w:rPr>
              <w:t>(PLN)</w:t>
            </w: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26.1</w:t>
            </w:r>
          </w:p>
        </w:tc>
        <w:tc>
          <w:tcPr>
            <w:tcW w:w="3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Republic of South Africa rand (“ZAR”) net contracts to receive (pay) USD</w:t>
            </w:r>
          </w:p>
        </w:tc>
        <w:tc>
          <w:tcPr>
            <w:tcW w:w="98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(ZAR)</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37.9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of all currencies</w:t>
            </w: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As of July 2, 2010, we had 41 foreign currency forward contracts outstanding with a total net notional amount of $14.1 million consisting of 13 different currencies, primarily the Canadian dollar, Euro, Philippine peso, Polish zloty, Singapore dollar and Republic of South Africa rand. Following is a summary by currency of the contract net notional amounts grouped by the underlying foreign currency as of July 2, 2010: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980" w:type="dxa"/>
            <w:vAlign w:val="bottom"/>
          </w:tcPr>
          <w:p>
            <w:pPr>
              <w:jc w:val="center"/>
              <w:ind w:left="380"/>
              <w:spacing w:after="0"/>
              <w:rPr>
                <w:sz w:val="20"/>
                <w:szCs w:val="20"/>
                <w:color w:val="auto"/>
              </w:rPr>
            </w:pPr>
            <w:r>
              <w:rPr>
                <w:rFonts w:ascii="Arial" w:cs="Arial" w:eastAsia="Arial" w:hAnsi="Arial"/>
                <w:sz w:val="14"/>
                <w:szCs w:val="14"/>
                <w:b w:val="1"/>
                <w:bCs w:val="1"/>
                <w:color w:val="auto"/>
                <w:w w:val="90"/>
              </w:rPr>
              <w:t>Contract</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00" w:type="dxa"/>
            <w:vAlign w:val="bottom"/>
          </w:tcPr>
          <w:p>
            <w:pPr>
              <w:spacing w:after="0"/>
              <w:rPr>
                <w:sz w:val="12"/>
                <w:szCs w:val="12"/>
                <w:color w:val="auto"/>
              </w:rPr>
            </w:pPr>
          </w:p>
        </w:tc>
        <w:tc>
          <w:tcPr>
            <w:tcW w:w="980" w:type="dxa"/>
            <w:vAlign w:val="bottom"/>
          </w:tcPr>
          <w:p>
            <w:pPr>
              <w:jc w:val="center"/>
              <w:ind w:left="380"/>
              <w:spacing w:after="0" w:line="149" w:lineRule="exact"/>
              <w:rPr>
                <w:sz w:val="20"/>
                <w:szCs w:val="20"/>
                <w:color w:val="auto"/>
              </w:rPr>
            </w:pPr>
            <w:r>
              <w:rPr>
                <w:rFonts w:ascii="Arial" w:cs="Arial" w:eastAsia="Arial" w:hAnsi="Arial"/>
                <w:sz w:val="14"/>
                <w:szCs w:val="14"/>
                <w:b w:val="1"/>
                <w:bCs w:val="1"/>
                <w:color w:val="auto"/>
                <w:w w:val="90"/>
              </w:rPr>
              <w:t>Amount</w:t>
            </w:r>
          </w:p>
        </w:tc>
        <w:tc>
          <w:tcPr>
            <w:tcW w:w="900" w:type="dxa"/>
            <w:vAlign w:val="bottom"/>
          </w:tcPr>
          <w:p>
            <w:pPr>
              <w:spacing w:after="0"/>
              <w:rPr>
                <w:sz w:val="12"/>
                <w:szCs w:val="12"/>
                <w:color w:val="auto"/>
              </w:rPr>
            </w:pPr>
          </w:p>
        </w:tc>
        <w:tc>
          <w:tcPr>
            <w:tcW w:w="6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14"/>
                <w:szCs w:val="14"/>
                <w:color w:val="auto"/>
              </w:rPr>
            </w:pPr>
          </w:p>
        </w:tc>
        <w:tc>
          <w:tcPr>
            <w:tcW w:w="1880" w:type="dxa"/>
            <w:vAlign w:val="bottom"/>
            <w:gridSpan w:val="2"/>
          </w:tcPr>
          <w:p>
            <w:pPr>
              <w:jc w:val="center"/>
              <w:ind w:right="352"/>
              <w:spacing w:after="0"/>
              <w:rPr>
                <w:sz w:val="20"/>
                <w:szCs w:val="20"/>
                <w:color w:val="auto"/>
              </w:rPr>
            </w:pPr>
            <w:r>
              <w:rPr>
                <w:rFonts w:ascii="Arial" w:cs="Arial" w:eastAsia="Arial" w:hAnsi="Arial"/>
                <w:sz w:val="14"/>
                <w:szCs w:val="14"/>
                <w:b w:val="1"/>
                <w:bCs w:val="1"/>
                <w:color w:val="auto"/>
                <w:w w:val="89"/>
              </w:rPr>
              <w:t>(Local Currency)</w:t>
            </w:r>
          </w:p>
        </w:tc>
        <w:tc>
          <w:tcPr>
            <w:tcW w:w="6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8900" w:type="dxa"/>
            <w:vAlign w:val="bottom"/>
          </w:tcPr>
          <w:p>
            <w:pPr>
              <w:spacing w:after="0"/>
              <w:rPr>
                <w:sz w:val="14"/>
                <w:szCs w:val="14"/>
                <w:color w:val="auto"/>
              </w:rPr>
            </w:pPr>
          </w:p>
        </w:tc>
        <w:tc>
          <w:tcPr>
            <w:tcW w:w="1880" w:type="dxa"/>
            <w:vAlign w:val="bottom"/>
            <w:tcBorders>
              <w:top w:val="single" w:sz="8" w:color="auto"/>
            </w:tcBorders>
            <w:gridSpan w:val="2"/>
            <w:vMerge w:val="restart"/>
          </w:tcPr>
          <w:p>
            <w:pPr>
              <w:jc w:val="right"/>
              <w:ind w:right="232"/>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(USD)</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90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 (“CAD”) net contracts to receive (pay) USD</w:t>
            </w:r>
          </w:p>
        </w:tc>
        <w:tc>
          <w:tcPr>
            <w:tcW w:w="9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(CAD)</w:t>
            </w:r>
          </w:p>
        </w:tc>
        <w:tc>
          <w:tcPr>
            <w:tcW w:w="9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Euro (“EUR”) net contracts to receive (pay) USD</w:t>
            </w:r>
          </w:p>
        </w:tc>
        <w:tc>
          <w:tcPr>
            <w:tcW w:w="980" w:type="dxa"/>
            <w:vAlign w:val="bottom"/>
          </w:tcPr>
          <w:p>
            <w:pPr>
              <w:jc w:val="right"/>
              <w:ind w:right="360"/>
              <w:spacing w:after="0"/>
              <w:rPr>
                <w:sz w:val="20"/>
                <w:szCs w:val="20"/>
                <w:color w:val="auto"/>
              </w:rPr>
            </w:pPr>
            <w:r>
              <w:rPr>
                <w:rFonts w:ascii="Arial" w:cs="Arial" w:eastAsia="Arial" w:hAnsi="Arial"/>
                <w:sz w:val="18"/>
                <w:szCs w:val="18"/>
                <w:color w:val="auto"/>
              </w:rPr>
              <w:t>(EUR)</w:t>
            </w: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 (“PHP”) net contracts to receive (pay) USD</w:t>
            </w:r>
          </w:p>
        </w:tc>
        <w:tc>
          <w:tcPr>
            <w:tcW w:w="9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(PHP)</w:t>
            </w:r>
          </w:p>
        </w:tc>
        <w:tc>
          <w:tcPr>
            <w:tcW w:w="9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7"/>
              </w:rPr>
              <w:t>(136.3)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Polish zloty (“PLN”) net contracts to receive (pay) USD</w:t>
            </w:r>
          </w:p>
        </w:tc>
        <w:tc>
          <w:tcPr>
            <w:tcW w:w="980" w:type="dxa"/>
            <w:vAlign w:val="bottom"/>
          </w:tcPr>
          <w:p>
            <w:pPr>
              <w:jc w:val="right"/>
              <w:ind w:right="360"/>
              <w:spacing w:after="0"/>
              <w:rPr>
                <w:sz w:val="20"/>
                <w:szCs w:val="20"/>
                <w:color w:val="auto"/>
              </w:rPr>
            </w:pPr>
            <w:r>
              <w:rPr>
                <w:rFonts w:ascii="Arial" w:cs="Arial" w:eastAsia="Arial" w:hAnsi="Arial"/>
                <w:sz w:val="18"/>
                <w:szCs w:val="18"/>
                <w:color w:val="auto"/>
              </w:rPr>
              <w:t>(PLN)</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Singapore dollar (“SGD”) net contracts to receive (pay) USD</w:t>
            </w:r>
          </w:p>
        </w:tc>
        <w:tc>
          <w:tcPr>
            <w:tcW w:w="98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(SGD)</w:t>
            </w:r>
          </w:p>
        </w:tc>
        <w:tc>
          <w:tcPr>
            <w:tcW w:w="9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Republic of South Africa rand (“ZAR”) net contracts to receive (pay) USD</w:t>
            </w:r>
          </w:p>
        </w:tc>
        <w:tc>
          <w:tcPr>
            <w:tcW w:w="980" w:type="dxa"/>
            <w:vAlign w:val="bottom"/>
          </w:tcPr>
          <w:p>
            <w:pPr>
              <w:jc w:val="right"/>
              <w:ind w:right="360"/>
              <w:spacing w:after="0"/>
              <w:rPr>
                <w:sz w:val="20"/>
                <w:szCs w:val="20"/>
                <w:color w:val="auto"/>
              </w:rPr>
            </w:pPr>
            <w:r>
              <w:rPr>
                <w:rFonts w:ascii="Arial" w:cs="Arial" w:eastAsia="Arial" w:hAnsi="Arial"/>
                <w:sz w:val="18"/>
                <w:szCs w:val="18"/>
                <w:color w:val="auto"/>
              </w:rPr>
              <w:t>(ZAR)</w:t>
            </w:r>
          </w:p>
        </w:tc>
        <w:tc>
          <w:tcPr>
            <w:tcW w:w="900" w:type="dxa"/>
            <w:vAlign w:val="bottom"/>
          </w:tcPr>
          <w:p>
            <w:pPr>
              <w:jc w:val="right"/>
              <w:ind w:right="35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Total of all currencies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short-term debt borrowings.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90"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We had $98.2 million in total cash and cash equivalents as of July 1, 2011. Cash equivalents totaled $59.3 million as of July 1, 2011. Cash equivalents have been recorded at fair value on our balance sheet.</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do not use derivative financial instruments in our short-term investment portfolio. We invest in high-credit quality issues and, by policy, limit the amount of credit exposure to any one issuer and foreign country. The portfolio includes only marketable securities with active secondary or resale markets to ensure portfolio liquidity. The portfolio is also designed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July 1, 2011 was one day, and these investments had an average yield of 0.11% per annum. A 10% change in interest rates on our cash and cash equivalents is not expected to have a material impact on our financial position, results of operations or cash flows.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90"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During fiscal 2011, borrowings under our previous $70 million revolving credit facility incurred interest under the London Interbank Offered Rate (“LIBOR”) plus 1.50% to 2.48%. As of October 1, 2010 borrowings under this facility were repaid with the proceeds of a loan under our new $40 million credit facility, which has incurred interest at the prime rate. As of July 1, 2011, our weighted average interest rate was 3.25%. During fiscal 2011, we had between</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$5 million and $6 million of short-term borrowings outstanding under the credit facilities. We recorded total interest expense on these borrowings of $0.2 million during fiscal 2011. 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Foreign Exchange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Approximately 18% of our international business was transacted in non U.S. dollar currency environments in fiscal 2010 compared with 16% in fiscal 2010. As discussed above, we utilize foreign currency hedging instruments to minimize the currency risk of international transactions. The impact of translating the assets and liabilities of foreign operations to U.S. dollars is included as a component of stockholders’ equity. As of July 1, 2011, the cumulative translation adjustment decreased stockholders’ equity by $2.6 million compared with a decrease of $2.9 million as of July 2,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Our fiscal third quarter revenue and orders have historically been lower than the revenue and orders in the immediately preceding second quarter because many of our customers utilize a significant portion of their capital budgets at the end of their fiscal year,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factors, including changes in the global economy and other factors.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section entitled “Risk Factors” in Item 1A in this Annual Report on Form 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generally accepted accounting principles (“GAAP”). These accounting principles require us to make certain estimates, judgments and assumptions. We believe that the estimates, judgments and assumptions upon which we rely are reasonable based upon information available to us.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Inventory Valuation and Provision for Excess and Obsolete Inventory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Taxes and Tax Valuation Allowances</w:t>
      </w:r>
    </w:p>
    <w:p>
      <w:pPr>
        <w:spacing w:after="0" w:line="17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 of Directors.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1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 This assessment has a significant impact on the amount and timing of revenue recognition.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90" w:lineRule="exact"/>
        <w:rPr>
          <w:sz w:val="20"/>
          <w:szCs w:val="20"/>
          <w:color w:val="auto"/>
        </w:rPr>
      </w:pPr>
    </w:p>
    <w:p>
      <w:pPr>
        <w:ind w:left="900" w:right="8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 customer purchase orders are generally used to determine the existence of an arrangement.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Delivery has occurred. Shipping documents and customer acceptance, when applicable, are used to verify delivery.</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Collectability is reasonably assured. We use judgment to assess collectability based primarily on the creditworthiness of the customer as determined by credit checks and analysis, as well as the customer’s payment history.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The determination as to whether multiple contractual agreements should be evaluated as one arrangement and the identification of units of accounting in an arrangement requires significant judgment and impacts the amount of product and service revenue recognized in a given period.</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accordance with ASC 605-25 (as amended by ASU 2009-13), based on the terms and conditions of the product arrangements, we believe that our products and services can be accounted for separately as our products and services have value to our customers on a stand-alone basis. Accordingly,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 element arrangements: we deliver our products, perform installation services and then provide post-contract support services. The new revenue recognition standards do not generally change the units of accounting for our revenue transactions.</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Vendor-specific objective evidence (“VSOE”) of fair value is based on the price charged when the element is sold separately. Under the new accounting standards, for multiple element arrangements, if VSOE cannot be established, we establish, where available, the selling price based on third-party evidence (“TPE”). TPE requires judgment and is determined based on evidence of competitor pricing for similar deliverables when sold separately. When we cannot determine VSOE or TPE which is typically the case, we use the estimated selling price (“ESP”) in our allocation of arrangement consideration. The objective of ESP is to determine the price at which we would typically transact a stand-alone sale of the product or service. In determining ESP, we apply significant judgment as we weigh a variety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updates of these estimates. We do not expect a material impact in future periods from changes in VSOE, TPE or ESP.</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 and Provisions for Excess and Obsolete Losses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inventories have been valued at the lower of cost or market. We balance the need to maintain prudent inventory levels to ensure competitive delivery performance with the risk of excess or obsolete inventory due to changing technology and customer requirements, and new product introductions. Beginning in the first quarter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fiscal 2011, the manufacturing of our products was handled primarily by contract manufacturers with the intent to complete all activity transfer by the end of fiscal 2011.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During fiscal 2011, 2010 and 2009, we recorded charges to reduce the carrying value of our inventories to the lower of cost or market totaling $14.5 million, $29.6 million and $23.1 million, respectively. Such charges equaled 3.2%, 6.4%, and 3.4% of our revenue in fiscal 2011, 2010 and 2009, respectively. The review of excess and obsolete inventory primarily relates to the microwave business.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Statement of Operations at the time of such determination. In the case of goods which have been written down below cost at the close of a fiscal year,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2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customer service inventories are stated at the lower of cost or market. We carry service parts because we generally provide product warranty for 12 to 24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Identifiable Intangible Assets and Long-Lived Assets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account for business combinations using the purchase method of accounting which means we record the assets acquired and liabilities assumed at their respective fair values at the date of acquisition, with any excess purchase price recorded as goodwill.</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Valuation of intangible assets and in-process research and development requires significant estimates and assumptions including, but not limited to, determining the timing and expected costs to complete development projects, estimating future cash flows from product sales, developing appropriate discount rates, estimating probability rates for the successful completion of development projects, continuation of customer relationships and renewal of customer contracts. The amounts and useful lives assigned to identifiable intangible assets and other long-lived assets impact the amount and timing of future amortization and depreciation expense. Accordingly a subsequent reduction in the estimated carrying value or useful life of an asset would result in an accelerated recognition of amortization or depreciation expense.</w:t>
      </w:r>
    </w:p>
    <w:p>
      <w:pPr>
        <w:spacing w:after="0" w:line="144"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We review the carrying value of our intangible assets and goodwill for impairment on an annual basis and whenever events or circumstances indicate that these assets may have become impaired. Significant negative industry or economic trends, including a lack of recovery in the market price of our common stock, disruptions to our business, unexpected significant changes or planned changes in the use of the intangible assets, and mergers and acquisitions could result in the need to reassess the fair value of our assets and liabilities which could lead to an impairment charge for any of our intangible assets or goodwill. The value of our intangible assets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goodwill could also be impacted by future adverse changes such as any future declines in our operating results, a significant slowdown in the worldwide economy and the microwave industry or any failure to meet the performance projections included in our forecasts of future operating results.</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two reporting units, consisting of our North America segment and International segment. Goodwill is tested for impairment at the reporting unit level annually during the fourth quarter of our fiscal year using a two-step process. First, we determine if the carrying amount of any of our reporting units exceeds its fair value (determined using an analysis of a combination of projected discounted cash flows and market multiples based on revenue and earnings before interest, taxes, depreciation and amortization), which would indicate a potential impairment associated with that reporting unit. If we determine that a potential impairment exists, we then compare the implied fair value associated with the respective reporting unit, to its carrying amount to determine if there is an impairment loss.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Evaluations of impairment involve management estimates of asset useful lives, future cash flows and discount rates. Significant management judgment is required in the forecasts of future operating results that are used in the evaluations. It is possible, however, that the plans and estimates used may prove to be inaccurate. If our actual results, or the plans and estimates used in future impairment analysis, are lower than the original estimates used to assess the recoverability of these assets, we could incur additional impairment charges in a future period. For example, we recorded impairment charges of $63.2 million for identifiable intangible assets in fiscal 2010 and impairment charges of $279.0 million for goodwill and $32.6 million for the Stratex trade name in fiscal 2009.</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evaluate other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Tax Valuation Allowances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record the estimated future tax effects of temporary differences between the tax basis of assets and liabilities of amounts reported in our Consolidated Balance Sheet, as well as operating loss and tax credit carryforwards. Significant changes in these estimates may result in an increase or decrease to our tax provision in a subsequent period.</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 deferred taxes by applying enacted statutory tax rates to the respective jurisdictions. We have accounted for taxes on income in our most significant international jurisdiction, Singapore, using a favorable tax rate that has been negotiated with the Singapore government for a duration of five years. This negotiated favorable tax rate is based on us meeting certain benchmarks. Due to the tax losses in Singapore, we did not realize any tax benefits in Singapore during the current year. We are currently in negotiation with EDB in amending the tax ruling. Also, because certain temporary differences will be realized during this tax holiday period and other temporary differences are anticipated to reverse outside of this period, we are required to estimate the appropriate tax rate to use in measuring deferred taxes. That estimate is based upon the best available information at each reporting period.</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follow specific and detailed guidelines in each tax jurisdiction regarding the recoverability of any tax assets recorded on the balance sheet and provide necessary valuation allowances as required. Future realization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deferred tax assets ultimately depends on meeting certain criteria in ASC 740.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are no accounting pronouncements that have recently been issued but have not yet been implemented by us that would have a material impact on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Reports of Independent Registered Public Accounting Firm</w:t>
              </w:r>
            </w:hyperlink>
          </w:p>
        </w:tc>
        <w:tc>
          <w:tcPr>
            <w:tcW w:w="1460" w:type="dxa"/>
            <w:vAlign w:val="bottom"/>
            <w:gridSpan w:val="2"/>
            <w:vMerge w:val="restart"/>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4200" w:type="dxa"/>
            <w:vAlign w:val="bottom"/>
            <w:tcBorders>
              <w:bottom w:val="single" w:sz="8" w:color="0000EE"/>
            </w:tcBorders>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5660" w:type="dxa"/>
            <w:vAlign w:val="bottom"/>
            <w:gridSpan w:val="4"/>
          </w:tcPr>
          <w:p>
            <w:pPr>
              <w:spacing w:after="0"/>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Statements of Operations for fiscal years ended July 1, 2011, July</w:t>
              </w:r>
            </w:hyperlink>
          </w:p>
        </w:tc>
        <w:tc>
          <w:tcPr>
            <w:tcW w:w="5360" w:type="dxa"/>
            <w:vAlign w:val="bottom"/>
            <w:gridSpan w:val="5"/>
          </w:tcPr>
          <w:p>
            <w:pPr>
              <w:ind w:left="20"/>
              <w:spacing w:after="0"/>
              <w:rPr>
                <w:rFonts w:ascii="Arial" w:cs="Arial" w:eastAsia="Arial" w:hAnsi="Arial"/>
                <w:sz w:val="18"/>
                <w:szCs w:val="18"/>
                <w:color w:val="0000EE"/>
              </w:rPr>
            </w:pPr>
            <w:hyperlink w:anchor="page58">
              <w:r>
                <w:rPr>
                  <w:rFonts w:ascii="Arial" w:cs="Arial" w:eastAsia="Arial" w:hAnsi="Arial"/>
                  <w:sz w:val="18"/>
                  <w:szCs w:val="18"/>
                  <w:color w:val="0000EE"/>
                </w:rPr>
                <w:t>2, 2010 and July 3, 2009</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Consolidated Balance Sheets as of July 1, 2011 and July 2, 2010</w:t>
              </w:r>
            </w:hyperlink>
          </w:p>
        </w:tc>
        <w:tc>
          <w:tcPr>
            <w:tcW w:w="1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Statements of Cash Flows for fiscal years ended July 1, 2011, July</w:t>
              </w:r>
            </w:hyperlink>
          </w:p>
        </w:tc>
        <w:tc>
          <w:tcPr>
            <w:tcW w:w="1760" w:type="dxa"/>
            <w:vAlign w:val="bottom"/>
            <w:tcBorders>
              <w:bottom w:val="single" w:sz="8" w:color="0000EE"/>
            </w:tcBorders>
            <w:gridSpan w:val="3"/>
          </w:tcPr>
          <w:p>
            <w:pPr>
              <w:ind w:left="60"/>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2,2010 and July 3, 2009</w:t>
              </w:r>
            </w:hyperlink>
          </w:p>
        </w:tc>
        <w:tc>
          <w:tcPr>
            <w:tcW w:w="36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20" w:type="dxa"/>
            <w:vAlign w:val="bottom"/>
            <w:gridSpan w:val="9"/>
          </w:tcPr>
          <w:p>
            <w:pPr>
              <w:spacing w:after="0" w:line="196" w:lineRule="exact"/>
              <w:rPr>
                <w:rFonts w:ascii="Arial" w:cs="Arial" w:eastAsia="Arial" w:hAnsi="Arial"/>
                <w:sz w:val="18"/>
                <w:szCs w:val="18"/>
                <w:color w:val="0000EE"/>
                <w:w w:val="98"/>
              </w:rPr>
            </w:pPr>
            <w:hyperlink w:anchor="page61">
              <w:r>
                <w:rPr>
                  <w:rFonts w:ascii="Arial" w:cs="Arial" w:eastAsia="Arial" w:hAnsi="Arial"/>
                  <w:sz w:val="18"/>
                  <w:szCs w:val="18"/>
                  <w:color w:val="0000EE"/>
                  <w:w w:val="98"/>
                </w:rPr>
                <w:t>Consolidated Statements of Stockholders’ Equity and Comprehensive Loss for fiscal years ended July 1, 2011, July 2, 2010 and July 3, 2009</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56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Financial Statement Schedule: Schedule II — Valuation and Qualifying Accounts</w:t>
              </w:r>
            </w:hyperlink>
          </w:p>
        </w:tc>
        <w:tc>
          <w:tcPr>
            <w:tcW w:w="528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3"/>
              </w:rPr>
              <w:t>111</w:t>
            </w:r>
          </w:p>
        </w:tc>
        <w:tc>
          <w:tcPr>
            <w:tcW w:w="0" w:type="dxa"/>
            <w:vAlign w:val="bottom"/>
          </w:tcPr>
          <w:p>
            <w:pPr>
              <w:spacing w:after="0"/>
              <w:rPr>
                <w:sz w:val="1"/>
                <w:szCs w:val="1"/>
                <w:color w:val="auto"/>
              </w:rPr>
            </w:pPr>
          </w:p>
        </w:tc>
      </w:tr>
      <w:tr>
        <w:trPr>
          <w:trHeight w:val="383"/>
        </w:trPr>
        <w:tc>
          <w:tcPr>
            <w:tcW w:w="7400" w:type="dxa"/>
            <w:vAlign w:val="bottom"/>
            <w:gridSpan w:val="6"/>
          </w:tcPr>
          <w:p>
            <w:pPr>
              <w:ind w:left="56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Aviat Networks, Inc.</w:t>
      </w:r>
    </w:p>
    <w:p>
      <w:pPr>
        <w:spacing w:after="0" w:line="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Aviat Networks, Inc. as of July 1, 2011 and July 2, 2010, and the related consolidated statements of operations, stockholders’ equity and comprehensive loss, and cash flows for each of the three years in the period ended July 1, 2011.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Aviat Networks, Inc. at July 1, 2011 and July 2, 2010, and the consolidated results of its operations and its cash flows for each of the three years in the period ended July 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discussed in Note 1 to the consolidated financial statements, in the year ended July 2, 2010, Aviat Networks, Inc. changed its method of accounting for revenue recognition for arrangements with multiple deliverables.</w:t>
      </w:r>
    </w:p>
    <w:p>
      <w:pPr>
        <w:spacing w:after="0" w:line="13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Aviat Networks, Inc.’s internal control over financial reporting as of July 1, 2011, based on criteria established in Internal Control-Integrated Framework issued by the Committee of Sponsoring Organizations of the Treadway Commission and our report dated September 12, 2011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Aviat Networks, Inc.</w:t>
      </w:r>
    </w:p>
    <w:p>
      <w:pPr>
        <w:spacing w:after="0" w:line="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audited Aviat Networks, Inc.’s internal control over financial reporting as of July 1, 2011, based on criteria established in Internal Control — Integrated Framework issued by the Committee of Sponsoring Organizations of the Treadway Commission (the COSO criteria). Aviat Networks,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our opinion, Aviat Networks, Inc. maintained, in all material respects, effective internal control over financial reporting as of July 1, 2011, based on the COSO criteria.</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Aviat Networks, Inc. as of July 1, 2011 and July 2, 2010, and the related consolidated statements of operations, stockholders’ equity and comprehensive loss, and cash flows for each of the three years in the period ended July 1, 2011 of Aviat Networks, Inc. and our report dated September 12, 2011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6"/>
              </w:rPr>
              <w:t>Fiscal Years Ended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2"/>
              </w:rPr>
              <w:t>July 1,</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7"/>
              </w:rPr>
              <w:t>July 2,</w:t>
            </w:r>
          </w:p>
        </w:tc>
        <w:tc>
          <w:tcPr>
            <w:tcW w:w="120" w:type="dxa"/>
            <w:vAlign w:val="bottom"/>
          </w:tcPr>
          <w:p>
            <w:pPr>
              <w:spacing w:after="0"/>
              <w:rPr>
                <w:sz w:val="11"/>
                <w:szCs w:val="11"/>
                <w:color w:val="auto"/>
              </w:rPr>
            </w:pPr>
          </w:p>
        </w:tc>
        <w:tc>
          <w:tcPr>
            <w:tcW w:w="580" w:type="dxa"/>
            <w:vAlign w:val="bottom"/>
          </w:tcPr>
          <w:p>
            <w:pPr>
              <w:jc w:val="right"/>
              <w:ind w:right="73"/>
              <w:spacing w:after="0" w:line="129" w:lineRule="exact"/>
              <w:rPr>
                <w:sz w:val="20"/>
                <w:szCs w:val="20"/>
                <w:color w:val="auto"/>
              </w:rPr>
            </w:pPr>
            <w:r>
              <w:rPr>
                <w:rFonts w:ascii="Arial" w:cs="Arial" w:eastAsia="Arial" w:hAnsi="Arial"/>
                <w:sz w:val="14"/>
                <w:szCs w:val="14"/>
                <w:b w:val="1"/>
                <w:bCs w:val="1"/>
                <w:color w:val="auto"/>
                <w:w w:val="91"/>
              </w:rPr>
              <w:t>July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8"/>
          </w:tcPr>
          <w:p>
            <w:pPr>
              <w:jc w:val="right"/>
              <w:ind w:right="313"/>
              <w:spacing w:after="0" w:line="142" w:lineRule="exact"/>
              <w:rPr>
                <w:sz w:val="20"/>
                <w:szCs w:val="20"/>
                <w:color w:val="auto"/>
              </w:rPr>
            </w:pPr>
            <w:r>
              <w:rPr>
                <w:rFonts w:ascii="Arial" w:cs="Arial" w:eastAsia="Arial" w:hAnsi="Arial"/>
                <w:sz w:val="14"/>
                <w:szCs w:val="14"/>
                <w:b w:val="1"/>
                <w:bCs w:val="1"/>
                <w:color w:val="auto"/>
                <w:w w:val="96"/>
              </w:rPr>
              <w:t>(In millions,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Revenue from product sales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357.5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356.6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420"/>
              <w:spacing w:after="0"/>
              <w:rPr>
                <w:sz w:val="20"/>
                <w:szCs w:val="20"/>
                <w:color w:val="auto"/>
              </w:rPr>
            </w:pPr>
            <w:r>
              <w:rPr>
                <w:rFonts w:ascii="Arial" w:cs="Arial" w:eastAsia="Arial" w:hAnsi="Arial"/>
                <w:sz w:val="18"/>
                <w:szCs w:val="18"/>
                <w:color w:val="auto"/>
              </w:rPr>
              <w:t>Total revenues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452.1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465.5</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 of product sales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252.3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Charges for product transition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technology</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420"/>
              <w:spacing w:after="0"/>
              <w:rPr>
                <w:sz w:val="20"/>
                <w:szCs w:val="20"/>
                <w:color w:val="auto"/>
              </w:rPr>
            </w:pPr>
            <w:r>
              <w:rPr>
                <w:rFonts w:ascii="Arial" w:cs="Arial" w:eastAsia="Arial" w:hAnsi="Arial"/>
                <w:sz w:val="18"/>
                <w:szCs w:val="18"/>
                <w:color w:val="auto"/>
              </w:rPr>
              <w:t>Total cost of revenues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324.0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identifiable intangible 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impairment charges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Intangible assets and trade name impairment charges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NetBoss 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income (loss), net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8"/>
                <w:szCs w:val="18"/>
                <w:color w:val="auto"/>
              </w:rPr>
              <w:t>(1)</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 from continuing operations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Basic and diluted loss per common share from discontinued operations</w:t>
            </w: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(0.54)</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weighted average shares outstanding</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20" w:hanging="452"/>
        <w:spacing w:after="0" w:line="294"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fiscal year 2009, we had Class A and Class B shares of common stock outstanding. The net loss per common share amounts were the same for Class A and Class B during fiscal year 2009 because the holders of each class were legally entitled to equal per share distributions whether through dividends or in liquidation. There were no shares of Class B common stock outstanding during fiscal years 2011 and 2010. Effective November 19, 2009, under a change to our certificate of incorporation approved by stockholders, all shares of our Class A common stock were reclassified on a one-to-one basis to shares of Common Stock without a class designation; we no longer have Class A or Class B common stock authorized, issued or outstanding.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1"/>
              </w:rPr>
              <w:t>July 1,</w:t>
            </w: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July 2,</w:t>
            </w:r>
          </w:p>
        </w:tc>
      </w:tr>
      <w:tr>
        <w:trPr>
          <w:trHeight w:val="161"/>
        </w:trPr>
        <w:tc>
          <w:tcPr>
            <w:tcW w:w="9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29"/>
        </w:trPr>
        <w:tc>
          <w:tcPr>
            <w:tcW w:w="9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4"/>
          </w:tcPr>
          <w:p>
            <w:pPr>
              <w:jc w:val="right"/>
              <w:ind w:right="293"/>
              <w:spacing w:after="0" w:line="129" w:lineRule="exact"/>
              <w:rPr>
                <w:sz w:val="20"/>
                <w:szCs w:val="20"/>
                <w:color w:val="auto"/>
              </w:rPr>
            </w:pPr>
            <w:r>
              <w:rPr>
                <w:rFonts w:ascii="Arial" w:cs="Arial" w:eastAsia="Arial" w:hAnsi="Arial"/>
                <w:sz w:val="14"/>
                <w:szCs w:val="14"/>
                <w:b w:val="1"/>
                <w:bCs w:val="1"/>
                <w:color w:val="auto"/>
              </w:rPr>
              <w:t>(In millions, except share</w:t>
            </w:r>
          </w:p>
        </w:tc>
        <w:tc>
          <w:tcPr>
            <w:tcW w:w="100" w:type="dxa"/>
            <w:vAlign w:val="bottom"/>
          </w:tcPr>
          <w:p>
            <w:pPr>
              <w:spacing w:after="0"/>
              <w:rPr>
                <w:sz w:val="11"/>
                <w:szCs w:val="11"/>
                <w:color w:val="auto"/>
              </w:rPr>
            </w:pPr>
          </w:p>
        </w:tc>
      </w:tr>
      <w:tr>
        <w:trPr>
          <w:trHeight w:val="174"/>
        </w:trPr>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and par value amounts)</w:t>
            </w:r>
          </w:p>
        </w:tc>
      </w:tr>
      <w:tr>
        <w:trPr>
          <w:trHeight w:val="217"/>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Unbilled costs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Customer service inventories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r>
      <w:tr>
        <w:trPr>
          <w:trHeight w:val="221"/>
        </w:trPr>
        <w:tc>
          <w:tcPr>
            <w:tcW w:w="91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350.3</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386.5</w:t>
            </w:r>
          </w:p>
        </w:tc>
      </w:tr>
      <w:tr>
        <w:trPr>
          <w:trHeight w:val="218"/>
        </w:trPr>
        <w:tc>
          <w:tcPr>
            <w:tcW w:w="9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Identifiable intangible assets,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16"/>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r>
      <w:tr>
        <w:trPr>
          <w:trHeight w:val="222"/>
        </w:trPr>
        <w:tc>
          <w:tcPr>
            <w:tcW w:w="91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383.9</w:t>
            </w:r>
          </w:p>
        </w:tc>
        <w:tc>
          <w:tcPr>
            <w:tcW w:w="8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447.0</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Redeemable preference shares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Advance payments and unearned income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Restructuring liabilities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16"/>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r>
      <w:tr>
        <w:trPr>
          <w:trHeight w:val="216"/>
        </w:trPr>
        <w:tc>
          <w:tcPr>
            <w:tcW w:w="914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long-term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Redeemable preference shares</w:t>
            </w:r>
          </w:p>
        </w:tc>
        <w:tc>
          <w:tcPr>
            <w:tcW w:w="100" w:type="dxa"/>
            <w:vAlign w:val="bottom"/>
          </w:tcPr>
          <w:p>
            <w:pPr>
              <w:spacing w:after="0"/>
              <w:rPr>
                <w:sz w:val="18"/>
                <w:szCs w:val="18"/>
                <w:color w:val="auto"/>
              </w:rPr>
            </w:pPr>
          </w:p>
        </w:tc>
        <w:tc>
          <w:tcPr>
            <w:tcW w:w="14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Reserve for uncertain tax positions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r>
      <w:tr>
        <w:trPr>
          <w:trHeight w:val="216"/>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w:t>
            </w:r>
          </w:p>
        </w:tc>
      </w:tr>
      <w:tr>
        <w:trPr>
          <w:trHeight w:val="216"/>
        </w:trPr>
        <w:tc>
          <w:tcPr>
            <w:tcW w:w="9140" w:type="dxa"/>
            <w:vAlign w:val="bottom"/>
          </w:tcPr>
          <w:p>
            <w:pPr>
              <w:spacing w:after="0"/>
              <w:rPr>
                <w:sz w:val="20"/>
                <w:szCs w:val="20"/>
                <w:color w:val="auto"/>
              </w:rPr>
            </w:pPr>
            <w:r>
              <w:rPr>
                <w:rFonts w:ascii="Arial" w:cs="Arial" w:eastAsia="Arial" w:hAnsi="Arial"/>
                <w:sz w:val="18"/>
                <w:szCs w:val="18"/>
                <w:i w:val="1"/>
                <w:iCs w:val="1"/>
                <w:color w:val="auto"/>
              </w:rPr>
              <w:t>Commitments and contingencies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100" w:type="dxa"/>
            <w:vAlign w:val="bottom"/>
          </w:tcPr>
          <w:p>
            <w:pPr>
              <w:spacing w:after="0"/>
              <w:rPr>
                <w:sz w:val="18"/>
                <w:szCs w:val="18"/>
                <w:color w:val="auto"/>
              </w:rPr>
            </w:pPr>
          </w:p>
        </w:tc>
        <w:tc>
          <w:tcPr>
            <w:tcW w:w="14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Common stock, $0.01 par value; 300,000,000 shares authorized; issued and outstanding 60,611,561shares as of July 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 and 59,400,059 shares as of July 2, 2010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791.6</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786.5</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(611.8)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(521.3)</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CEEFF"/>
          </w:tcPr>
          <w:p>
            <w:pPr>
              <w:spacing w:after="0"/>
              <w:rPr>
                <w:sz w:val="18"/>
                <w:szCs w:val="18"/>
                <w:color w:val="auto"/>
              </w:rPr>
            </w:pPr>
          </w:p>
        </w:tc>
      </w:tr>
      <w:tr>
        <w:trPr>
          <w:trHeight w:val="222"/>
        </w:trPr>
        <w:tc>
          <w:tcPr>
            <w:tcW w:w="914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383.9</w:t>
            </w:r>
          </w:p>
        </w:tc>
        <w:tc>
          <w:tcPr>
            <w:tcW w:w="8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447.0</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Fiscal Years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6"/>
              </w:rPr>
              <w:t>July 1,</w:t>
            </w:r>
          </w:p>
        </w:tc>
        <w:tc>
          <w:tcPr>
            <w:tcW w:w="320" w:type="dxa"/>
            <w:vAlign w:val="bottom"/>
          </w:tcPr>
          <w:p>
            <w:pPr>
              <w:spacing w:after="0"/>
              <w:rPr>
                <w:sz w:val="11"/>
                <w:szCs w:val="11"/>
                <w:color w:val="auto"/>
              </w:rPr>
            </w:pPr>
          </w:p>
        </w:tc>
        <w:tc>
          <w:tcPr>
            <w:tcW w:w="92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rPr>
              <w:t>July 2,</w:t>
            </w:r>
          </w:p>
        </w:tc>
        <w:tc>
          <w:tcPr>
            <w:tcW w:w="60" w:type="dxa"/>
            <w:vAlign w:val="bottom"/>
          </w:tcPr>
          <w:p>
            <w:pPr>
              <w:spacing w:after="0"/>
              <w:rPr>
                <w:sz w:val="11"/>
                <w:szCs w:val="11"/>
                <w:color w:val="auto"/>
              </w:rPr>
            </w:pPr>
          </w:p>
        </w:tc>
        <w:tc>
          <w:tcPr>
            <w:tcW w:w="560" w:type="dxa"/>
            <w:vAlign w:val="bottom"/>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2010</w:t>
            </w: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Amortization of identifiable intangible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Goodwill impairment charges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Intangible asset impairment charges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Property, plant and equipment impairment charges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Non-cash share-based compensation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expense (benefit)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Charges for product transition and inventory mark-downs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held for sale assets,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Loss on sale of NetBoss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Unbilled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Customer service inventories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Advance payments and unearned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Income taxes payable or receivable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 liabilities and other assets and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(41.5)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23.3</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Cash received from sale of NetBoss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 for business acquisition,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Proceeds from sale of property, plant and equipment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Purchases of short-term investments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of property, plant and equipment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Additions of capitalized software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debt arrangement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Payments on short-term debt arrangement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 arrangement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Proceeds from share-based compensation awards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 obligations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(43.5)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141.7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136.8</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6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141.7</w:t>
            </w:r>
          </w:p>
        </w:tc>
        <w:tc>
          <w:tcPr>
            <w:tcW w:w="3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paid (received) during the year for: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Income taxes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CONSOLIDATED STATEMENTS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AND COMPREHENSIVE LOSS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Common</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Common</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Class A</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Class B</w:t>
            </w: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Shares</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Shares</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Class A</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Class B</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(Loss) Income</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June 27, 2008</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779.9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(355.0)</w:t>
            </w:r>
          </w:p>
        </w:tc>
        <w:tc>
          <w:tcPr>
            <w:tcW w:w="6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loss</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Net unrealized loss on hedging activities</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Adjustment to capital from Harris Corporation</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stock related to employee share-based</w:t>
            </w: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awards</w:t>
            </w:r>
          </w:p>
        </w:tc>
        <w:tc>
          <w:tcPr>
            <w:tcW w:w="7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0.4</w:t>
            </w:r>
          </w:p>
        </w:tc>
        <w:tc>
          <w:tcPr>
            <w:tcW w:w="7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Conversion of Class B shares to Class A shares</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32.9</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(32.9)</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July 3, 2009</w:t>
            </w: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58.9</w:t>
            </w:r>
          </w:p>
        </w:tc>
        <w:tc>
          <w:tcPr>
            <w:tcW w:w="7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0.6</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783.2</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(391.1)</w:t>
            </w:r>
          </w:p>
        </w:tc>
        <w:tc>
          <w:tcPr>
            <w:tcW w:w="60" w:type="dxa"/>
            <w:vAlign w:val="bottom"/>
          </w:tcPr>
          <w:p>
            <w:pPr>
              <w:spacing w:after="0"/>
              <w:rPr>
                <w:sz w:val="13"/>
                <w:szCs w:val="13"/>
                <w:color w:val="auto"/>
              </w:rPr>
            </w:pPr>
          </w:p>
        </w:tc>
        <w:tc>
          <w:tcPr>
            <w:tcW w:w="10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(4.8)</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(130.2)</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gain</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gain on hedging activities</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loss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Reclassification of Class A shares to Common Stock</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58.9</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(58.9)</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w w:val="96"/>
              </w:rPr>
              <w:t>Issuance of stock related to employee share-based</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awards</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0.5</w:t>
            </w: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00" w:type="dxa"/>
            <w:vAlign w:val="bottom"/>
            <w:gridSpan w:val="2"/>
          </w:tcPr>
          <w:p>
            <w:pPr>
              <w:spacing w:after="0" w:line="155" w:lineRule="exact"/>
              <w:rPr>
                <w:sz w:val="20"/>
                <w:szCs w:val="20"/>
                <w:color w:val="auto"/>
              </w:rPr>
            </w:pPr>
            <w:r>
              <w:rPr>
                <w:rFonts w:ascii="Arial" w:cs="Arial" w:eastAsia="Arial" w:hAnsi="Arial"/>
                <w:sz w:val="14"/>
                <w:szCs w:val="14"/>
                <w:color w:val="auto"/>
              </w:rPr>
              <w:t>Balance as of July 2, 2010</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59.4</w:t>
            </w:r>
          </w:p>
        </w:tc>
        <w:tc>
          <w:tcPr>
            <w:tcW w:w="7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786.5</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(521.3)</w:t>
            </w:r>
          </w:p>
        </w:tc>
        <w:tc>
          <w:tcPr>
            <w:tcW w:w="60" w:type="dxa"/>
            <w:vAlign w:val="bottom"/>
          </w:tcPr>
          <w:p>
            <w:pPr>
              <w:spacing w:after="0"/>
              <w:rPr>
                <w:sz w:val="13"/>
                <w:szCs w:val="13"/>
                <w:color w:val="auto"/>
              </w:rPr>
            </w:pPr>
          </w:p>
        </w:tc>
        <w:tc>
          <w:tcPr>
            <w:tcW w:w="10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(2.6)</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(90.5)</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w w:val="99"/>
              </w:rPr>
              <w:t>Transfer from CTA to other loss resulting from the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liquidation of foreign entities</w:t>
            </w:r>
          </w:p>
        </w:tc>
        <w:tc>
          <w:tcPr>
            <w:tcW w:w="7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0.6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loss</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Net unrealized loss on hedging activities</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w w:val="96"/>
              </w:rPr>
              <w:t>Issuance of stock related to employee share-based</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awards</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1.2</w:t>
            </w: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0.2</w:t>
            </w:r>
          </w:p>
        </w:tc>
        <w:tc>
          <w:tcPr>
            <w:tcW w:w="120" w:type="dxa"/>
            <w:vAlign w:val="bottom"/>
          </w:tcPr>
          <w:p>
            <w:pPr>
              <w:spacing w:after="0"/>
              <w:rPr>
                <w:sz w:val="13"/>
                <w:szCs w:val="13"/>
                <w:color w:val="auto"/>
              </w:rPr>
            </w:pP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July 1, 2011</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60.6</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791.6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design, manufacture and sell a range of wireless networking products,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January 28, 2010, we changed our corporate name from Harris Stratex Networks, Inc. to Aviat Networks, Inc. (“Aviat Networks”,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Aviat Networks and its wholly-owned and majority owned subsidiaries. Significant intercompany transactions and accounts have been eliminated.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fiscal year ends on the Friday nearest calendar June 30. This was July 1 for fiscal 2011, July 2 for fiscal 2010 and July 3 for fiscal 2009. Fiscal year 2009 included 53 weeks and fiscal years 2011 and 2010 each included 52 weeks. In these notes to consolidated financial statements, we refer to our fiscal years as “fiscal 2011,” “fiscal 2010” and “fiscal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Beginning in the third quarter of fiscal 2011, the results of the WiMAX business are presented as discontinued operations in our consolidated financial statements. Historical amounts prior to fiscal 2011 are reclassified to conform to current period presentation. See Note 2 for a discussion of changes in reporting related to our discontinued operations.</w:t>
      </w:r>
    </w:p>
    <w:p>
      <w:pPr>
        <w:spacing w:after="0" w:line="14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In the fourth quarter of fiscal 2011, we reclassified customer service parts, previously reported as a component of property, plant and equipment, as customer service inventories. Accordingly, expenses related to customer service inventories of $1.9 million and $2.2 million for the years ended July 2, 2010 and July 3, 2009, respectively, have been reclassified in the consolidated statements of cash flows from depreciation and amortization to changes in customer service inventories within the cash flows from operating activities section. In addition, the purchases of $5.0 million and $3.8 million of customer service inventories in fiscal 2010 and 2009, respectively, have been reclassified from investing activities to operating activities in the consolidated statements of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consolidated financial statements and the accompanying notes to consolidated financial statements have been prepared in accordance with accounting principles generally accepted in the United States (“U.S. GAAP”) which require us to make estimates, assumptions and judgments affecting the amounts reported and related disclosures.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Estimates are based upon historical factors, current circumstances and the experience and judgment of our management. We evaluate our estimates and assumptions on an ongoing basis and may employ outside experts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fair value of goodwill and intangible assets, valuation allowances for deferred tax assets, uncertainties in income taxes, restructuring obligations, product warranty obligations, share-based awards, contingencies and useful lives of intangible assets, property, plant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consider all highly liquid investments with an original maturity of three months or less at the date of purchase to be cash equivalents. Cash and cash equivalents are carried at amortized cost, which approximates fair value due to the short-term nature of these investments. Amortization or accretion of premium or discount is included in interest income on the consolidated statements of operations. 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 Historically, we have not experienced any losses due to such concentration of credit risk.</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invest our excess cash in high-quality marketable debt securities to ensure that cash is readily available for use in our current operations. Investments with original maturities greater than three months but less than one year are accounted for as short-term and are classified as such at the time of purchase. All of our marketable securities are classified as “available-for-sale” because we view our entire portfolio as available for use in our current operations. Accordingly, we have classified all investments in marketable securities as short-term.</w:t>
      </w:r>
    </w:p>
    <w:p>
      <w:pPr>
        <w:spacing w:after="0" w:line="14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As of July 1, 2011 and July 2, 2010, all of our high-quality marketable debt securities were classified as cash equivalents. Realized gains and losses on short-term investments are recorded in selling and administrative expenses and were not significant during fiscal 2011, 2010 and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Major Customers and Other Significant Concentrations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record accounts receivable at net realizable value, which includes an allowance for estimated uncollectible accounts to reflect any loss anticipated on the collection of accounts receivable balances. We calculate the allowance based on our history of write-offs, level of past due accounts and economic status of the customers. The fair value of our accounts receivable approximates their net realizable value.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comply with requests from our customers for longer payment terms, we may accept letters of credit with payment terms of up to one year or more, which we generally discount with various financial institutions. Under these arrangements, collection risk is fully transferred to the financial institutions. We record the cost of discounting these letters of credit as interest expense. During fiscal 2011, 2010 and 2009 we discounted customer letters of credit totaling $80.6 million, $91.1 million and $84.7 million, respectively, and recorded related interest expense of $0.4 million, $0.7 million and $1.0 million, respectively.</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During fiscal 2011, 2010 and 2009, we had one International segment customer in Africa (Mobile Telephone Networks or MTN) that accounted for 14%, 17% and 17%, respectively, of our total revenue. As of July 1, 2011 and July 2, 2010, MTN accounted for approximately 8% and 7%, respectively, of our accounts receivable. No other customers accounted for more than 10% of our revenue or accounts receivable for the years presented.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certificates of deposit, commercial paper and corporate notes. We are exposed to credit risks related to such instruments in the event of default or decrease in credit-worthiness of the issuers of the investments. 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reserves for potential credit losses, but historically have not experienced any significant losses related to any particular geographic area since our business is not concentrated within any particular geographic region.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rely on sole providers for certain components of our products and rely on a limited number of contract manufacturers and suppliers to provide manufacturing services for our products. The inability of a contract manufacturer or supplier to fulfill our supply requirements could materially impact future operating results.</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entered into agreements relating to our foreign currency contracts with large, multinational financial institutions.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Inventories are valued at the lower of cost (determined by average cost and first-in, first-out methods) or market.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estimated market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Inventories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customer service inventories are stated at the lower of cost or market. We carry service parts because we generally provide product warranty for 12 to 24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Related Uncertainties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estimated future tax effects of temporary differences between the financial statement and tax bases of assets and liabilities, as measured by tax rates at which temporary differences are expected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reverse.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The income tax effects of the differences we identify are classified as current or long-term deferred tax assets and liabilities in our Consolidated Balance Sheets. Our judgments, assumptions, and estimates relative to the current provision for income tax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 or to goodwill or intangible assets to the extent that the valuation allowance related to tax attributes of the acquired entities.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use a two-step process to determine the amount of tax benefit to be recognized.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research and development, re-engineering, training and application maintenance. Leasehold improvements made either at the inception of the lease or during the lease term are amortized over the remaining current lease term, or estimated life, if shorter.</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ectPr>
          <w:pgSz w:w="11900" w:h="16838" w:orient="portrait"/>
          <w:cols w:equalWidth="0" w:num="1">
            <w:col w:w="11400"/>
          </w:cols>
          <w:pgMar w:left="240" w:top="459" w:right="259" w:bottom="1440" w:gutter="0" w:footer="0" w:header="0"/>
        </w:sectPr>
      </w:pPr>
    </w:p>
    <w:p>
      <w:pPr>
        <w:spacing w:after="0" w:line="18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Buildings and leasehold improvements</w:t>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Software developed for internal use</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2 to 45 years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3 to 5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 to 5 years</w:t>
      </w:r>
    </w:p>
    <w:p>
      <w:pPr>
        <w:spacing w:after="0" w:line="173" w:lineRule="exact"/>
        <w:rPr>
          <w:sz w:val="20"/>
          <w:szCs w:val="20"/>
          <w:color w:val="auto"/>
        </w:rPr>
      </w:pPr>
    </w:p>
    <w:p>
      <w:pPr>
        <w:sectPr>
          <w:pgSz w:w="11900" w:h="16838" w:orient="portrait"/>
          <w:cols w:equalWidth="0" w:num="2">
            <w:col w:w="7540" w:space="720"/>
            <w:col w:w="31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459" w:right="2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Expenditures for maintenance and repairs are charged to expense as incurred. Cost and accumulated depreciation of assets sold or retired are removed from the respective property accounts, and the gain or loss is reflected in the consolidated statements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Identifiable Intangible Assets and Impairment of Long-Lived Assets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account for business combinations using the purchase method of accounting which means we record the assets acquired and liabilities assumed at their respective fair values at the date of acquisition, with any excess purchase price recorded as goodwill.</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Valuation of intangible assets and in-process research and development requires significant estimates and assumptions including, but not limited to, determining the timing and expected costs to complete development projects, estimating future cash flows from product sales, developing appropriate discount rates, estimating probability rates for the successful completion of development projects, continuation of customer relationships and renewal of customer contracts. Intangible assets determined to have finite lives are amortized over their estimated useful lives.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Goodwill and intangible assets deemed to have indefinite lives are not amortized but instead are tested for impairment at the reporting unit level at least annually in the fourth quarter of our fiscal year. In addition, we review the carrying value of our intangible assets and goodwill for impairment whenever events or circumstances indicate that their carrying amount may not be recoverable. Significant negative industry or economic trends, including a lack of recovery in the market price of our common stock, disruptions to our business, unexpected significant changes or planned changes in the use of the intangible assets, and mergers and acquisitions could result in the need to reassess the fair value of our assets and liabilities which could lead to an impairment charge for any of our intangible assets or goodwill. The value of our indefinite lived intangible assets and goodwill could also be impacted by future adverse changes such as any future declines in our operating results, a significant slowdown in the worldwide economy and the microwave industry or any failure to meet the performance projections included in our forecasts of future operating results.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two reporting units, consisting of our North America segment and International segment. Goodwill is tested for impairment using a two-step process. First, we determine if the carrying amount of any of our reporting units exceeds its fair value (determined using an analysis of a combination of projected discounted cash flows and market multiples based on revenue and earnings before interest, taxes, depreciation and amortization), which would indicate a potential impairment associated with that reporting unit. If we determine that a potential impairment exists, we then compare the implied fair value associated with the respective reporting unit, to its carrying amount to determine if there is an impairment loss.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Evaluations of impairment involve management estimates of asset useful lives and future cash flows. Significant management judgment is required in the forecasts of future operating results that are used in the evaluations. It is possible, however, that the plans and estimates used may prove to be inaccurate. If our actual results, or the plans and estimates used in future impairment analysis, are lower than the original estimates used to assess the recoverability of these assets, we could incur additional impairment charges in a future period which could result in charges that are material to our results of operations.</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evaluate other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59" w:lineRule="auto"/>
        <w:rPr>
          <w:sz w:val="20"/>
          <w:szCs w:val="20"/>
          <w:color w:val="auto"/>
        </w:rPr>
      </w:pPr>
      <w:r>
        <w:rPr>
          <w:rFonts w:ascii="Arial" w:cs="Arial" w:eastAsia="Arial" w:hAnsi="Arial"/>
          <w:sz w:val="18"/>
          <w:szCs w:val="18"/>
          <w:color w:val="auto"/>
        </w:rPr>
        <w:t>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90"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Costs for the conceptual formulation and design of new software products are expensed as incurred until technological feasibility has been established (when we have a working model). Once technological feasibility has been established, we capitalize costs to produce the finished software products. Capitalization ceases when the product is available for general release to customers. Costs associated with product enhancements that extend the original product’s life or significantly improve the original product’s marketability are also capitalized once technological feasibility has been established.</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Amortization is calculated on a product-by-product basis as the greater of the amount computed using (i) the ratio that current gross revenue for a product bear to the total of current and anticipated future gross revenue for that product; or (ii) the straight-line method over the remaining economic life of the product. At each balance sheet date, the unamortized capitalized cost of each computer software product is compared to the net realizable value of that product. If an amount of unamortized capitalized costs of a computer software product is found to exceed the net realizable value of that asset, such amount will be written off. The net realizable value is the estimated future gross revenue from that product reduced by the estimated future costs of completing and deploying that product, including the costs of performing maintenance and customer support required to satisfy our responsibility set forth at the time of sale.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amortization expense related to capitalized software was $1.0 million, $2.8 million and $3.4 million in fiscal 2011, 2010 and 2009,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Unamortized capitalized software was $1.2 million and $9.8 million as of July 1, 2011 and July 2, 2010,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Expenses and Other Assets</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No accrued liabilities or expenses within other accrued expenses on our consolidated balance sheets exceed 5% of our total current liabilities as of July 1, 2011 or as of July 2, 2010. Other accrued expenses on our consolidated balance sheets primarily includes accruals for sales commissions, warranties and severance. No current assets other than those already disclosed on the consolidated balance sheets exceed 5% of our total current assets as of July 1, 2011 or as of July 2, 2010. No assets within the caption “Other assets” on the consolidated balance sheets exceed 5% of total assets as of July 1, 2011 or as of July 2, 2010.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On product sales we provide for future warranty costs upon product delivery. The specific terms and conditions of those warranties vary depending upon the product sold and country in which we do business. In the case of products sold by us, our warranties generally start from the delivery date and continue for one to two years, depending on the terms.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products are manufactured to customer specifications and their acceptance is based on meeting those specifications. Factors that affect our warranty liability include the number of installed units, historical experience and management’s judgment regarding anticipated rates of warranty claims and cost per claim. We assess the adequacy of our recorded warranty liabilities every quarter and make adjustments to the liability as necessary.</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Network management software products generally carry a 30-day to 90-day warranty from the date of acceptance. Our liability under these warranties is to provide a corrected copy of any portion of the software found not to be in substantial compliance with the agreed-upon specifications.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software license agreements generally include certain provisions for indemnifying customers against liabilities should our software products infringe a third party’s intellectual property rights. As of July 1, 2011, we had not incurred any material costs as a result of such indemnification and have not accrued any liabilities related to such obligations in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unresolved legal and tax matters, as discussed further in “Note 12. Income Taxes” and “Note 15. Legal Proceedings”. 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functional currency of our subsidiaries located in the United Kingdom, Singapore, Mexico, Algeria and New Zealand is the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income.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Gains and losses resulting from foreign exchange transactions and translation of monetary assets and liabilities in non-functional currencies are included in cost of product sales and services in the accompanying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consolidated statements of operations. Net foreign exchange (losses) gains recorded in our consolidated statements of operations during fiscal 2011, 2010 and 2009 totaled $(2.6) million, $0.3 million and $(7.4)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July 1, 2011,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We may make additional contributions to the plan at our discretion.</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Contributions to retirement plans are expensed as incurred. Retirement plan expense amounted to $3.3 million, $2.8 million and $2.7 million in fiscal 2011, 2010 and 2009,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Commercial Commitments and Indemnifications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July 1, 2011, we had no guarantees applicable to our debt arrangements. 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July 1, 2011, we had commercial commitments of $78.0 million outstanding, none of which are accrued for in our consolidated balance sheets.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To date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are related to the specific facts in each case, and given the lack of previous or current indemnification claims, we cannot estimate the maximum amount of potential future payments, if any, related to our indemnification provisions. As of July 1, 2011, we had not recorded any liabilities related to these indemnifications.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Revenue from product sales is generated predominately from the sales of products manufactured by us and by third party manufacturers with whom we have outsourced our manufacturing processes. In general, printed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circuit assemblies, mechanical housings, and packaged modules are manufactured by contract manufacturing partners, with periodic business reviews of material levels and obsolescence. Product assembly, product test, complete system integration and system test may either be performed within our own facilities or at partner locations.</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In October 2009, the FASB issued ASC Update (“ASU”) No.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xml:space="preserve"> (“ASU 2009-13”). ASU 2009-13 provides for three significant changes to the existing multiple element revenue recognition guidance as follows:</w:t>
      </w:r>
    </w:p>
    <w:p>
      <w:pPr>
        <w:spacing w:after="0" w:line="51" w:lineRule="exact"/>
        <w:rPr>
          <w:sz w:val="20"/>
          <w:szCs w:val="20"/>
          <w:color w:val="auto"/>
        </w:rPr>
      </w:pPr>
    </w:p>
    <w:p>
      <w:pPr>
        <w:ind w:left="900" w:right="2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Deletes the requirement to have objective and reliable evidence of fair value for undelivered elements in an arrangement. This may result in more deliverables being treated as separate units of accounting.</w:t>
      </w:r>
    </w:p>
    <w:p>
      <w:pPr>
        <w:spacing w:after="0" w:line="50" w:lineRule="exact"/>
        <w:rPr>
          <w:rFonts w:ascii="Arial" w:cs="Arial" w:eastAsia="Arial" w:hAnsi="Arial"/>
          <w:sz w:val="18"/>
          <w:szCs w:val="18"/>
          <w:color w:val="auto"/>
        </w:rPr>
      </w:pPr>
    </w:p>
    <w:p>
      <w:pPr>
        <w:ind w:left="900" w:right="20" w:hanging="325"/>
        <w:spacing w:after="0" w:line="294"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Modifies the manner in which the arrangement consideration is allocated to the separately identified deliverables. ASU 2009-13 requires an entity to allocate revenue in an arrangement using its best estimate of selling prices (“ESP”) of deliverables if a vendor does not have vendor-specific objective evidence of selling price (“VSOE”) or third-party evidence of selling price (“TPE”), if VSOE is not available. Each separate unit of accounting must have a selling price, which can be based on management’s estimate when there is no other means (VSOE or TPE) to determine the selling price of that deliverable. The arrangement consideration is allocated based on the elements’ relative selling prices.</w:t>
      </w:r>
    </w:p>
    <w:p>
      <w:pPr>
        <w:spacing w:after="0" w:line="34"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Eliminates use of the residual method and requires an entity to allocate revenue using the relative selling price method, which results in the discount in the transaction being evenly allocated to the separate units of accounting.</w:t>
      </w:r>
    </w:p>
    <w:p>
      <w:pPr>
        <w:spacing w:after="0" w:line="1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Concurrently with issuing ASU 2009-13, the FASB also issued ASU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(“ASU 2009-14”). ASU 2009-14 excludes software that is contained on a tangible product from the scope of software revenue guidance if the software component and the non-software component function together to deliver the tangible products’ essential functionality.</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permitted by ASU 2009-13 and ASU 2009-14, we elected to early adopt these new accounting standards at the beginning of our first quarter of fiscal 2010 on a prospective basis for transactions originating or materially modified on or after July 4, 2009.</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Under our revenue recognition policy before and after the adoption of ASU 2009-13 and ASU 2009-14, revenue is recognized when all of the following criteria have been met:</w:t>
      </w:r>
    </w:p>
    <w:p>
      <w:pPr>
        <w:spacing w:after="0" w:line="51" w:lineRule="exact"/>
        <w:rPr>
          <w:sz w:val="20"/>
          <w:szCs w:val="20"/>
          <w:color w:val="auto"/>
        </w:rPr>
      </w:pPr>
    </w:p>
    <w:p>
      <w:pPr>
        <w:ind w:left="900" w:right="7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 customer purchase orders are generally used to determine the existence of an arrangement.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Delivery has occurred. Shipping documents and customer acceptance, when applicable, are used to verify delivery.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Collectibility is reasonably assured. We assess collectibility based primarily on the creditworthiness of the customer as determined by credit checks and analysis, as well as the customer’s payment history.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elements represent “separate units of accounting”. In accordance with ASC 605-25 (as amended by ASU 2009-13), based on the terms and conditions of the product arrangements, we believe that our products and services can be accounted for separately as our products and services have value to our customers on a stand-alone basis. Accordingly,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 element arrangements: we deliver our products, perform installation services and then provide post-contract support services.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VSOE of fair value is based on the price charged when the element is sold separately. For multiple element arrangements, if VSOE cannot be established, we establish, where available, the selling price based on TPE. TPE is determined based on evidence of competitor pricing for similar deliverables when sold separately. When we cannot determine VSOE or TPE which is typically the case, we use ESP in our allocation of arrangement consideration. The objective of ESP is to determine the price at which we would typically transact a stand-alone sale of the product or service. 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updating of these estimates.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our proprietary and OEM products, we determine ESP using a discount off list methodology. Under this approach, reasonably available data points, including deals bid and won in the past rolling four quarters and competitor pricing data, for each part number are gathered . Then similar parts are grouped together and the average net price and the discount off the list price are calculated for each group of products. Since we have determined that pricing varies significantly by geography, the data is further stratified by geography. Within geographies, the data is stratified based on type of customer, distribution channel and estimated deal size or customer volume as larger opportunities with multiple deliverables bundled are more likely to receive preferential pricing. Based on all the available information (pricing practices and trends, competition, market, potential pricing limitations set by the competitors for the similar or identical product, functionality and expected technological life of the product, etc.), the final discount off list percentage is determined. Using the discount off list price percentage, the best estimated selling price for each product is determined.</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services ESP, we also stratify data based on geography, type of customer and estimated deal size. For training and extended support services, we determine ESP using a discount off list methodology as discussed above. For technical and installation services, we determine ESP using an estimated margin methodology. Under this methodology, ESP’s are determined based on estimated margins anticipated. We consider historical margins as well as current pricing trends and market conditions when determining the estimated margin.</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the adoption of ASU 2009-13 and ASU 2009-14, we recognized the revenue associated with each unit of accounting separately. If sufficient evidence of fair value could be established for all the elements of an arrangement, we allocated revenue to each element in the arrangement based on the relative fair value of each element and recognized that allocated revenue when each element met the criteria discussed above. However, we generally did not have sufficient evidence of the fair value for all elements of our arrangements, but we generally did have sufficient evidence of the fair value of the undelivered elements in our arrangements. In these cases, we allocated revenue using the residual method in which we deferred the fair value of the undelivered elements and allocated the remaining arrangement consideration to the delivered elements. If an arrangement involved the delivery of multiple items of the same elements that are only partially delivered at the end of a reporting period, revenue was allocated proportionately between the delivered and undelivered items.</w:t>
      </w:r>
    </w:p>
    <w:p>
      <w:pPr>
        <w:spacing w:after="0" w:line="11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Some of our products have both software and non-software components that function together to deliver the product’s essential functionality. We previously determined that the software element in our products was incidental in accordance with the software revenue recognition rules. Accordingly, these products were not within the scope of the software revenue recognition rules, ASC 985-605,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impact of adopting ASU 2009-13 and ASU 2009-14 did not have a material impact on any amounts previously reported. We believe that the new guidance significantly improves the reporting of these types of transactions to more closely reflect the underlying economics of the transactions. We cannot reasonably estimate the effect of adopting ASU 2009-13 and ASU 2009-14 on future financial periods as the impact will vary depending on the nature and volume of new or materially modified arrangements in any given period.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12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revenue recognition from the sale of software or products which have software which is more than incidental to the product as a whole, the entire fee from the arrangement is allocated to each of the elements based on the individual element’s fair value, which must be based on vendor specific objective evidence of the fair value (“VSOE”). If VSOE can be established for the undelivered elements of an arrangement, we recognize revenue following the residual method.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Royalty income is recognized on the basis of terms specified in the contractual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Services</w:t>
      </w:r>
    </w:p>
    <w:p>
      <w:pPr>
        <w:spacing w:after="0" w:line="9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Cost of sales consists primarily of materials, labor and overhead costs incurred internally and paid to contract manufacturers to produce our products, personnel and other implementation costs incurred to install our products and train customer personnel, and customer service and third party original equipment manufacturer costs to provide continuing support to our customers. Also included in cost of sales is the amortization of purchased technology intangible assets.</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we include in revenue the related costs that we bill our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Transactional Taxes Collected from Customers and Remitted to Government Authorities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present transactional taxes (e.g., sales tax) collected from customers and remitted to governmental authorities on a net basis.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issued stock options, restricted stock and performance shares under our 2007 Stock Equity Plan and assumed stock options from the Stratex acquisition. We estimate the grant date fair value of our share-based awards and amortize this fair value to compensation expense over the requisite service period or vesting term.</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estimate the fair value of our stock option awards, we use the Black-Scholes-Merton option-pricing model. The determination of the fair value of share-based payment awards on the date of grant using an option-pricing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and performance share awards, we measure the grant date fair value based upon the market price of our common stock on the date of the grant.</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For stock options and restricted stock, we recognize compensation cost on a straight-line basis over the awards’ vesting periods for those awards which contain only a service vesting feature. For awards with a performance condition vesting feature, when achievement of the performance condition is deemed probable we recognize compensation cost on a straight-line basis over the awards’ expected vesting periods.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forfeitures at the time of grant and revise, if necessary, in subsequent periods if actual forfeitures differ significantly from initial estimates. Share-based compensation expense was recorded net of estimated forfeitures such that expense was recorded only for those share-based awards that are expected to vest.</w:t>
      </w:r>
    </w:p>
    <w:p>
      <w:pPr>
        <w:spacing w:after="0" w:line="14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Cash flows, if any, resulting from the gross benefit of tax deductions related to share-based compensation in excess of the grant date fair value of the related share-based awards are presented as part of cash flows from financing activities. This amount is shown as a reduction to cash flows from operating activities and an increase to cash flow from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of Common Stock</w:t>
      </w:r>
    </w:p>
    <w:p>
      <w:pPr>
        <w:spacing w:after="0" w:line="9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fiscal 2011, fiscal 2010 and fiscal 2009. In accordance with ASC subtopic 260-10, undistributed losses are not allocated to unvested restricted shares due to the fact that the unvested restricted shares are not contractually obligated to share in the losses of the company.</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a result of the company’s net loss in fiscal 2011, fiscal 2010 and fiscal 2009, the computation of diluted net loss per share for these periods excluded all potential common stock equivalents outstanding as their effect was anti-dilutive. Accordingly, our basic and diluted net loss per share amounts are the same.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Expenses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 a liability for costs associated with an exit or disposal activity when the liability is incurred. We also record (i) liabilities associated with exit and disposal activities measured at fair value; (ii) expenses for one-time termination benefits at the date we notify the employee, unless the employee must provide future service, in which case the benefits are expensed ratably over the future service period; and (iii) liabilities related to an operating lease/contract at fair value and measured when the contract does not have any future economic benefit to the entity (i.e., the entity ceases to utilize the rights conveyed by the contract). We expense all other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costs related to an exit or disposal activity as incurred. We record severance benefits provided as part of an ongoing benefit arrangement, and accrue a liability for expected severance costs. Restructuring liabilities and the liability for expected severance costs are shown as “Restructuring liabilities” in current and long-term liabilities on our consolidated balance sheets and the related costs are reflected as operating expenses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company-sponsored research and development costs, which include costs in connection with new product development, improvement of existing products, process improvement, and product use technologies, are charged to operations in the period in which they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have two business segments: North America and International. Our Chief Executive Officer is the Chief Operating Decision-Maker (the “CODM”). Resources are allocated to each of these segments using information based primarily on their operating income (loss). Operating income (loss) is defined as revenue less cost of product sales and services, engineering, selling and administrative expenses, restructuring charges, acquired in-process research and development, impairments and amortization of identifiable intangible assets. General corporate expenses are allocated to the North America and International segments based on revenue. Information related to assets, capital expenditures and depreciation and amortization for the operating segments is not part of the discrete financial information provided to and reviewed by the CODM for this purpose.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2011, the FASB issued an accounting standards update on the presentation of comprehensive income. This update eliminates one of the presentation options provided by current U.S. GAAP, that is to present the components of other comprehensive income as part of the statement of changes in stockholders’ equity. In addition, it gives an entity the option to present the total of comprehensive income, the components of net income, and the components of other comprehensive income either in a single continuous statement of comprehensive income or in two separate but consecutive statements. This update is to be applied retrospectively and is effective for fiscal years, and interim reporting periods within those years, beginning after December 15, 2011, which for us is our fiscal 2013. The adoption of this update will not impact our consolidated financial position or results of operations. We are currently evaluating the disclosure impact of the adoption of this guidance on our consolidated financial statements.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December 2010, the FASB issued ASU No. 2010-28, Topic 350, “ Intangibles — Goodwill and Other: When to Perform Step 2 of the Goodwill Impairment Test for Reporting Units with Zero or Negative Carrying Amounts” (“ASU 2010-28”), which modifies Step 1 of the goodwill impairment test for reporting units with zero or negative amounts. For those reporting units, an entity is required to perform Step 2 of the goodwill impairment test if it is more likely than not that goodwill impairment exists. This guidance is effective for fiscal years, and interim periods within those years, beginning after December 15, 2010, which for us is our fiscal 2012. We do not expect that the adoption of ASU 2010-28 will have a material impact on our consolidated financial position or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Telsima</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February 2009, we acquired Telsima Corporation (“Telsima”) for $13.1 million in cash. Telsima was a privately-held leading developer and provider of WiMAX Forum Certified(</w:t>
      </w:r>
      <w:r>
        <w:rPr>
          <w:rFonts w:ascii="Arial" w:cs="Arial" w:eastAsia="Arial" w:hAnsi="Arial"/>
          <w:sz w:val="13"/>
          <w:szCs w:val="13"/>
          <w:color w:val="auto"/>
        </w:rPr>
        <w:t>TM</w:t>
      </w:r>
      <w:r>
        <w:rPr>
          <w:rFonts w:ascii="Arial" w:cs="Arial" w:eastAsia="Arial" w:hAnsi="Arial"/>
          <w:sz w:val="16"/>
          <w:szCs w:val="16"/>
          <w:color w:val="auto"/>
        </w:rPr>
        <w:t>) products for use in next generation broadband wireless networks. We completed the Telsima Acquisition to acquire WiMAX(</w:t>
      </w:r>
      <w:r>
        <w:rPr>
          <w:rFonts w:ascii="Arial" w:cs="Arial" w:eastAsia="Arial" w:hAnsi="Arial"/>
          <w:sz w:val="13"/>
          <w:szCs w:val="13"/>
          <w:color w:val="auto"/>
        </w:rPr>
        <w:t>TM</w:t>
      </w:r>
      <w:r>
        <w:rPr>
          <w:rFonts w:ascii="Arial" w:cs="Arial" w:eastAsia="Arial" w:hAnsi="Arial"/>
          <w:sz w:val="16"/>
          <w:szCs w:val="16"/>
          <w:color w:val="auto"/>
        </w:rPr>
        <w:t>) technology and products for use in next-generation broadband wireless networks and to enhance our ability to expand into new and emerging markets.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Telsima acquisition was accounted for as a purchase business combination and we recorded a total of $6.2 million of goodwill resulting from the purchase price allocation. During the fourth quarter of fiscal 2010, subsequent to one year from the date of acquisition, we recorded a $1.2 million gain in other income on our consolidated statement of operations from the final settlement of the purchase price.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WiMAX Discontinued Operations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March 2011, our board of directors approved a plan for the sale of our WiMAX business and we engaged an investment bank to market the sale of WiMAX business. In making the decision, we considered WiMAX business’ history of operating losses, lower than anticipated sales volume and additional investment required to achieve competitive technology, product functionality and manufacturing costs and to increase selling, marketing and distribution efforts. This decision resulted from an effort to complete the strategic plan to streamline our business activities and focus our time and resources on growing our core microwave business to better position us for long-term success. The sale of WiMAX business was completed on September 2, 2011.</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From the third quarter of fiscal 2011, we began accounting for WiMAX business as a discontinued operation. We have reclassified WiMAX business’ operating results for all prior periods presented to loss from discontinued operations in our consolidated statements of operations. We also classified the assets and liabilities of WiMAX business as held for sale, and, accordingly, included WiMAX business’ assets in other current assets, and the related liabilities in other accrued expenses on our condensed consolidated balance sheets as of July 1, 2011 and July 2, 2010.</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conjunction with the reclassification of WiMAX business as a discontinued operation, a $0.6 million of goodwill was allocated to the WiMAX business. Concurrently we performed an impairment review and recorded a $0.6 million impairment charge for WiMAX business goodwill, which was included in loss from discontinued operations. As of July 1, 2011, the net assets of the WiMAX business have been adjusted to their estimated fair value less cost of disposition. WiMAX business’ assets and liabilities included the following as of July 1, 2011 and July 2, 2010:</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900" w:type="dxa"/>
            <w:vAlign w:val="bottom"/>
            <w:gridSpan w:val="4"/>
          </w:tcPr>
          <w:p>
            <w:pPr>
              <w:ind w:left="1680"/>
              <w:spacing w:after="0"/>
              <w:rPr>
                <w:sz w:val="20"/>
                <w:szCs w:val="20"/>
                <w:color w:val="auto"/>
              </w:rPr>
            </w:pPr>
            <w:r>
              <w:rPr>
                <w:rFonts w:ascii="Arial" w:cs="Arial" w:eastAsia="Arial" w:hAnsi="Arial"/>
                <w:sz w:val="14"/>
                <w:szCs w:val="14"/>
                <w:b w:val="1"/>
                <w:bCs w:val="1"/>
                <w:color w:val="auto"/>
              </w:rPr>
              <w:t>July 1, 2011</w:t>
            </w:r>
          </w:p>
        </w:tc>
        <w:tc>
          <w:tcPr>
            <w:tcW w:w="1280" w:type="dxa"/>
            <w:vAlign w:val="bottom"/>
            <w:gridSpan w:val="4"/>
          </w:tcPr>
          <w:p>
            <w:pPr>
              <w:ind w:left="480"/>
              <w:spacing w:after="0"/>
              <w:rPr>
                <w:sz w:val="20"/>
                <w:szCs w:val="20"/>
                <w:color w:val="auto"/>
              </w:rPr>
            </w:pPr>
            <w:r>
              <w:rPr>
                <w:rFonts w:ascii="Arial" w:cs="Arial" w:eastAsia="Arial" w:hAnsi="Arial"/>
                <w:sz w:val="14"/>
                <w:szCs w:val="14"/>
                <w:b w:val="1"/>
                <w:bCs w:val="1"/>
                <w:color w:val="auto"/>
                <w:w w:val="99"/>
              </w:rPr>
              <w:t>July 2, 2010</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held for sale:</w:t>
            </w:r>
          </w:p>
        </w:tc>
        <w:tc>
          <w:tcPr>
            <w:tcW w:w="1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Inventories, net</w:t>
            </w:r>
          </w:p>
        </w:tc>
        <w:tc>
          <w:tcPr>
            <w:tcW w:w="194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8"/>
                <w:szCs w:val="18"/>
                <w:color w:val="auto"/>
              </w:rPr>
            </w:pP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Liabilities related to assets held for sale:</w:t>
            </w: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liabilities</w:t>
            </w:r>
          </w:p>
        </w:tc>
        <w:tc>
          <w:tcPr>
            <w:tcW w:w="19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includes WiMAX business’ operating results, which were historically included in our International segment:</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Fiscal Year Ended</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2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87"/>
              </w:rPr>
              <w:t>July 1,</w:t>
            </w: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July 2,</w:t>
            </w:r>
          </w:p>
        </w:tc>
        <w:tc>
          <w:tcPr>
            <w:tcW w:w="5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w w:val="87"/>
              </w:rPr>
              <w:t>July 3,</w:t>
            </w:r>
          </w:p>
        </w:tc>
        <w:tc>
          <w:tcPr>
            <w:tcW w:w="100" w:type="dxa"/>
            <w:vAlign w:val="bottom"/>
          </w:tcPr>
          <w:p>
            <w:pPr>
              <w:spacing w:after="0"/>
              <w:rPr>
                <w:sz w:val="11"/>
                <w:szCs w:val="11"/>
                <w:color w:val="auto"/>
              </w:rPr>
            </w:pPr>
          </w:p>
        </w:tc>
      </w:tr>
      <w:tr>
        <w:trPr>
          <w:trHeight w:val="161"/>
        </w:trPr>
        <w:tc>
          <w:tcPr>
            <w:tcW w:w="4220" w:type="dxa"/>
            <w:vAlign w:val="bottom"/>
          </w:tcPr>
          <w:p>
            <w:pPr>
              <w:spacing w:after="0"/>
              <w:rPr>
                <w:sz w:val="14"/>
                <w:szCs w:val="14"/>
                <w:color w:val="auto"/>
              </w:rPr>
            </w:pPr>
          </w:p>
        </w:tc>
        <w:tc>
          <w:tcPr>
            <w:tcW w:w="34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280" w:type="dxa"/>
            <w:vAlign w:val="bottom"/>
          </w:tcPr>
          <w:p>
            <w:pPr>
              <w:jc w:val="right"/>
              <w:ind w:right="426"/>
              <w:spacing w:after="0"/>
              <w:rPr>
                <w:sz w:val="20"/>
                <w:szCs w:val="20"/>
                <w:color w:val="auto"/>
              </w:rPr>
            </w:pPr>
            <w:r>
              <w:rPr>
                <w:rFonts w:ascii="Arial" w:cs="Arial" w:eastAsia="Arial" w:hAnsi="Arial"/>
                <w:sz w:val="14"/>
                <w:szCs w:val="14"/>
                <w:b w:val="1"/>
                <w:bCs w:val="1"/>
                <w:color w:val="auto"/>
              </w:rPr>
              <w:t>2010</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2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$ 20.6</w:t>
            </w:r>
          </w:p>
        </w:tc>
        <w:tc>
          <w:tcPr>
            <w:tcW w:w="1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$ 13.4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Loss from discontinued operations, net of tax of zero</w:t>
            </w:r>
          </w:p>
        </w:tc>
        <w:tc>
          <w:tcPr>
            <w:tcW w:w="3420" w:type="dxa"/>
            <w:vAlign w:val="bottom"/>
            <w:gridSpan w:val="2"/>
          </w:tcPr>
          <w:p>
            <w:pPr>
              <w:ind w:left="2800"/>
              <w:spacing w:after="0"/>
              <w:rPr>
                <w:sz w:val="20"/>
                <w:szCs w:val="20"/>
                <w:color w:val="auto"/>
              </w:rPr>
            </w:pPr>
            <w:r>
              <w:rPr>
                <w:rFonts w:ascii="Arial" w:cs="Arial" w:eastAsia="Arial" w:hAnsi="Arial"/>
                <w:sz w:val="18"/>
                <w:szCs w:val="18"/>
                <w:color w:val="auto"/>
                <w:w w:val="96"/>
              </w:rPr>
              <w:t>$ (31.7)</w:t>
            </w:r>
          </w:p>
        </w:tc>
        <w:tc>
          <w:tcPr>
            <w:tcW w:w="1280" w:type="dxa"/>
            <w:vAlign w:val="bottom"/>
          </w:tcPr>
          <w:p>
            <w:pPr>
              <w:ind w:left="420"/>
              <w:spacing w:after="0"/>
              <w:rPr>
                <w:sz w:val="20"/>
                <w:szCs w:val="20"/>
                <w:color w:val="auto"/>
              </w:rPr>
            </w:pPr>
            <w:r>
              <w:rPr>
                <w:rFonts w:ascii="Arial" w:cs="Arial" w:eastAsia="Arial" w:hAnsi="Arial"/>
                <w:sz w:val="18"/>
                <w:szCs w:val="18"/>
                <w:color w:val="auto"/>
              </w:rPr>
              <w:t>$ (21.8)</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(6.2)</w:t>
            </w:r>
          </w:p>
        </w:tc>
      </w:tr>
      <w:tr>
        <w:trPr>
          <w:trHeight w:val="356"/>
        </w:trPr>
        <w:tc>
          <w:tcPr>
            <w:tcW w:w="4220" w:type="dxa"/>
            <w:vAlign w:val="bottom"/>
          </w:tcPr>
          <w:p>
            <w:pPr>
              <w:spacing w:after="0"/>
              <w:rPr>
                <w:sz w:val="24"/>
                <w:szCs w:val="24"/>
                <w:color w:val="auto"/>
              </w:rPr>
            </w:pPr>
          </w:p>
        </w:tc>
        <w:tc>
          <w:tcPr>
            <w:tcW w:w="2800" w:type="dxa"/>
            <w:vAlign w:val="bottom"/>
          </w:tcPr>
          <w:p>
            <w:pPr>
              <w:jc w:val="right"/>
              <w:ind w:right="2057"/>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NetBoss Assets</w:t>
      </w:r>
    </w:p>
    <w:p>
      <w:pPr>
        <w:spacing w:after="0" w:line="9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In September 2010, we sold our NetBoss assets, consisting of internally-developed intellectual property and certain equipment, to NetBoss Technologies, Inc. for $3.8 million of cash. We recognized a $4.6 million loss on the sale of the NetBoss assets in our Consolidated Statement of Operations during fiscal 2011. NetBoss Technologies, Inc. is a new company formed by its management team, our former development partner for NetBoss, and private investors. As part of the terms of the sale, we have assigned our customer contracts for NetBoss software and maintenance to NetBoss Technologies, Inc. We continue to license NetBoss technology to operate our Network Operations Centers.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Identifiable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North</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6"/>
              </w:rPr>
              <w:t>America</w:t>
            </w:r>
          </w:p>
        </w:tc>
        <w:tc>
          <w:tcPr>
            <w:tcW w:w="8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International</w:t>
            </w:r>
          </w:p>
        </w:tc>
        <w:tc>
          <w:tcPr>
            <w:tcW w:w="3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r>
      <w:tr>
        <w:trPr>
          <w:trHeight w:val="142"/>
        </w:trPr>
        <w:tc>
          <w:tcPr>
            <w:tcW w:w="4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 2009</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Telsima purchase accounting adjustments</w:t>
            </w:r>
          </w:p>
        </w:tc>
        <w:tc>
          <w:tcPr>
            <w:tcW w:w="1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2, 2010</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Goodwill allocated to WiMAX business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r>
      <w:tr>
        <w:trPr>
          <w:trHeight w:val="27"/>
        </w:trPr>
        <w:tc>
          <w:tcPr>
            <w:tcW w:w="4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1, 2011</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$ 5.6</w:t>
            </w:r>
          </w:p>
        </w:tc>
      </w:tr>
      <w:tr>
        <w:trPr>
          <w:trHeight w:val="20"/>
        </w:trPr>
        <w:tc>
          <w:tcPr>
            <w:tcW w:w="4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the acquisition of Telsima on February 27, 2009, we recorded goodwill of $3.2 million in fiscal 2009, and recorded an additional $3.0 million of goodwill as purchase price adjustments in fiscal 2010. To test for potential impairment of our goodwill, we determined the fair value of each of our reporting segments based on projected discounted cash flows and market-based multiples applied to sales and earnings. In fiscal 2010, the results indicated that the estimated fair value of the International segment (the only reporting unit with goodwill) exceeded its corresponding carrying amount including recorded goodwill, and as such, no impairment existed.</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third quarter of fiscal 2011, in conjunction with the reclassification of WiMAX business as a discontinued operation, $0.6 million of goodwill was allocated to the WiMAX business. Concurrently we performed an impairment review and recorded a $0.6 million impairment charge for WiMAX business goodwill, which was included in loss from discontinued operations. We also performed impairment reviews on the remaining $5.6 million goodwill related to our International segment, and determined that there was no impairment as of July 1,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Identifiable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identifiable intangible assets is presented below (in millions except as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Identifiable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Trade_</w:t>
            </w:r>
          </w:p>
        </w:tc>
        <w:tc>
          <w:tcPr>
            <w:tcW w:w="8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Customer</w:t>
            </w:r>
          </w:p>
        </w:tc>
        <w:tc>
          <w:tcPr>
            <w:tcW w:w="3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Intangible</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Technology</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Names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identifiable intangible assets as of July 3, 2009</w:t>
            </w:r>
          </w:p>
        </w:tc>
        <w:tc>
          <w:tcPr>
            <w:tcW w:w="1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79"/>
              </w:rPr>
              <w:t>5.8</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amortization expense</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(2.6)</w:t>
            </w: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Reclassification of tax adjustments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jc w:val="center"/>
              <w:ind w:left="12"/>
              <w:spacing w:after="0"/>
              <w:rPr>
                <w:sz w:val="20"/>
                <w:szCs w:val="20"/>
                <w:color w:val="auto"/>
              </w:rPr>
            </w:pPr>
            <w:r>
              <w:rPr>
                <w:rFonts w:ascii="Arial" w:cs="Arial" w:eastAsia="Arial" w:hAnsi="Arial"/>
                <w:sz w:val="18"/>
                <w:szCs w:val="18"/>
                <w:color w:val="auto"/>
                <w:w w:val="79"/>
              </w:rPr>
              <w:t>0.4</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20"/>
                <w:szCs w:val="20"/>
                <w:color w:val="auto"/>
              </w:rPr>
            </w:pPr>
            <w:r>
              <w:rPr>
                <w:rFonts w:ascii="Arial" w:cs="Arial" w:eastAsia="Arial" w:hAnsi="Arial"/>
                <w:sz w:val="18"/>
                <w:szCs w:val="18"/>
                <w:color w:val="auto"/>
              </w:rPr>
              <w:t>Net identifiable intangible assets as of July 2, 2010</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center"/>
              <w:ind w:left="12"/>
              <w:spacing w:after="0"/>
              <w:rPr>
                <w:sz w:val="20"/>
                <w:szCs w:val="20"/>
                <w:color w:val="auto"/>
              </w:rPr>
            </w:pPr>
            <w:r>
              <w:rPr>
                <w:rFonts w:ascii="Arial" w:cs="Arial" w:eastAsia="Arial" w:hAnsi="Arial"/>
                <w:sz w:val="18"/>
                <w:szCs w:val="18"/>
                <w:color w:val="auto"/>
                <w:w w:val="79"/>
              </w:rPr>
              <w:t>3.6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Less: amortization expense</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6"/>
              </w:rPr>
              <w:t>(2.3)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Net identifiable intangible assets as of July 1, 2011</w:t>
            </w:r>
          </w:p>
        </w:tc>
        <w:tc>
          <w:tcPr>
            <w:tcW w:w="1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center"/>
              <w:ind w:left="12"/>
              <w:spacing w:after="0"/>
              <w:rPr>
                <w:sz w:val="20"/>
                <w:szCs w:val="20"/>
                <w:color w:val="auto"/>
              </w:rPr>
            </w:pPr>
            <w:r>
              <w:rPr>
                <w:rFonts w:ascii="Arial" w:cs="Arial" w:eastAsia="Arial" w:hAnsi="Arial"/>
                <w:sz w:val="18"/>
                <w:szCs w:val="18"/>
                <w:color w:val="auto"/>
                <w:w w:val="79"/>
              </w:rPr>
              <w:t>1.3</w:t>
            </w:r>
          </w:p>
        </w:tc>
        <w:tc>
          <w:tcPr>
            <w:tcW w:w="6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Fiscal 2011</w:t>
            </w:r>
          </w:p>
        </w:tc>
        <w:tc>
          <w:tcPr>
            <w:tcW w:w="17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center"/>
              <w:ind w:left="12"/>
              <w:spacing w:after="0"/>
              <w:rPr>
                <w:sz w:val="20"/>
                <w:szCs w:val="20"/>
                <w:color w:val="auto"/>
              </w:rPr>
            </w:pPr>
            <w:r>
              <w:rPr>
                <w:rFonts w:ascii="Arial" w:cs="Arial" w:eastAsia="Arial" w:hAnsi="Arial"/>
                <w:sz w:val="18"/>
                <w:szCs w:val="18"/>
                <w:color w:val="auto"/>
                <w:w w:val="79"/>
              </w:rPr>
              <w:t>2.3</w:t>
            </w:r>
          </w:p>
        </w:tc>
        <w:tc>
          <w:tcPr>
            <w:tcW w:w="6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Fiscal 2010</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2.6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Fiscal 2009</w:t>
            </w:r>
          </w:p>
        </w:tc>
        <w:tc>
          <w:tcPr>
            <w:tcW w:w="17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center"/>
              <w:ind w:left="12"/>
              <w:spacing w:after="0"/>
              <w:rPr>
                <w:sz w:val="20"/>
                <w:szCs w:val="20"/>
                <w:color w:val="auto"/>
              </w:rPr>
            </w:pPr>
            <w:r>
              <w:rPr>
                <w:rFonts w:ascii="Arial" w:cs="Arial" w:eastAsia="Arial" w:hAnsi="Arial"/>
                <w:sz w:val="18"/>
                <w:szCs w:val="18"/>
                <w:color w:val="auto"/>
                <w:w w:val="79"/>
              </w:rPr>
              <w:t>2.3</w:t>
            </w:r>
          </w:p>
        </w:tc>
        <w:tc>
          <w:tcPr>
            <w:tcW w:w="6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Useful Life (in years)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79"/>
              </w:rPr>
              <w:t>1.6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identifiable intangible assets are being amortized over their useful estimated economic lives, which range from one to five years.</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fourth quarter of fiscal 2010, we concluded that a potential impairment of our identifiable intangible assets existed due to a decline in our market capitalization and recent and expected financial performance. The undiscounted cash flow and fair value calculations related to the developed technology were estimated based on a relief-from-royalty method, and the calculations related to the customer relationships were estimated based on an excess earnings method considering future sales and operating costs. Discount rates ranging from 28% to 30% were applied to the cash flows used in the fair value calculations of intangible assets. The results of our impairment test indicated impairment related to certain amortizable intangible assets (developed technology and customer relationships), since the estimated undiscounted cash flows for these assets were less than their respective carrying values. Accordingly, we recorded impairment charges of $63.2 million for identifiable intangible assets in fiscal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July 1, 2011, we estimate our future amortization of identifiable intangible assets with definite lives by year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2013</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2015</w:t>
            </w:r>
          </w:p>
        </w:tc>
        <w:tc>
          <w:tcPr>
            <w:tcW w:w="4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720" w:type="dxa"/>
            <w:vAlign w:val="bottom"/>
            <w:vMerge w:val="restart"/>
          </w:tcPr>
          <w:p>
            <w:pPr>
              <w:jc w:val="right"/>
              <w:ind w:right="2892"/>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2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Accumulated Other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components of our accumulated other comprehensive income (loss) during fiscal 2011, 2010 and 2009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Foreign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Currency</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Adjustment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6"/>
          </w:tcPr>
          <w:p>
            <w:pPr>
              <w:jc w:val="right"/>
              <w:ind w:right="620"/>
              <w:spacing w:after="0" w:line="149" w:lineRule="exact"/>
              <w:rPr>
                <w:sz w:val="20"/>
                <w:szCs w:val="20"/>
                <w:color w:val="auto"/>
              </w:rPr>
            </w:pPr>
            <w:r>
              <w:rPr>
                <w:rFonts w:ascii="Arial" w:cs="Arial" w:eastAsia="Arial" w:hAnsi="Arial"/>
                <w:sz w:val="14"/>
                <w:szCs w:val="14"/>
                <w:b w:val="1"/>
                <w:bCs w:val="1"/>
                <w:color w:val="auto"/>
                <w:w w:val="82"/>
              </w:rPr>
              <w:t>Hedging</w:t>
            </w:r>
          </w:p>
        </w:tc>
        <w:tc>
          <w:tcPr>
            <w:tcW w:w="3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(“CTA”)</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85"/>
              </w:rPr>
              <w:t>Derivatives</w:t>
            </w:r>
          </w:p>
        </w:tc>
        <w:tc>
          <w:tcPr>
            <w:tcW w:w="34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(Loss) 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June 27, 2008</w:t>
            </w: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1"/>
              </w:rPr>
              <w:t>4.1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Foreign currency translation loss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6"/>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loss on hedging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82"/>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Arial" w:cs="Arial" w:eastAsia="Arial" w:hAnsi="Arial"/>
                <w:sz w:val="18"/>
                <w:szCs w:val="18"/>
                <w:color w:val="auto"/>
              </w:rPr>
              <w:t>Balance as of July 3, 2009</w:t>
            </w: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4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28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1"/>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unrealized gain on hedging activities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July 2, 2010</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Transfer from CTA to other loss resulting from the liquidation of</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foreign entities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80"/>
              <w:spacing w:after="0"/>
              <w:rPr>
                <w:sz w:val="20"/>
                <w:szCs w:val="20"/>
                <w:color w:val="auto"/>
              </w:rPr>
            </w:pPr>
            <w:r>
              <w:rPr>
                <w:rFonts w:ascii="Arial" w:cs="Arial" w:eastAsia="Arial" w:hAnsi="Arial"/>
                <w:sz w:val="18"/>
                <w:szCs w:val="18"/>
                <w:color w:val="auto"/>
                <w:w w:val="71"/>
              </w:rPr>
              <w:t>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6"/>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unrealized loss on hedging activities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28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July 1, 2011</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(2.6)</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82"/>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Balance Sheet Components</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94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Receivables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Our receivables are summarized below:</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4"/>
          </w:tcPr>
          <w:p>
            <w:pPr>
              <w:jc w:val="right"/>
              <w:ind w:right="106"/>
              <w:spacing w:after="0"/>
              <w:rPr>
                <w:sz w:val="20"/>
                <w:szCs w:val="20"/>
                <w:color w:val="auto"/>
              </w:rPr>
            </w:pPr>
            <w:r>
              <w:rPr>
                <w:rFonts w:ascii="Arial" w:cs="Arial" w:eastAsia="Arial" w:hAnsi="Arial"/>
                <w:sz w:val="14"/>
                <w:szCs w:val="14"/>
                <w:b w:val="1"/>
                <w:bCs w:val="1"/>
                <w:color w:val="auto"/>
                <w:w w:val="96"/>
              </w:rPr>
              <w:t>July 1,</w:t>
            </w:r>
          </w:p>
        </w:tc>
        <w:tc>
          <w:tcPr>
            <w:tcW w:w="480" w:type="dxa"/>
            <w:vAlign w:val="bottom"/>
          </w:tcPr>
          <w:p>
            <w:pPr>
              <w:spacing w:after="0"/>
              <w:rPr>
                <w:sz w:val="24"/>
                <w:szCs w:val="24"/>
                <w:color w:val="auto"/>
              </w:rPr>
            </w:pPr>
          </w:p>
        </w:tc>
        <w:tc>
          <w:tcPr>
            <w:tcW w:w="6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6"/>
              </w:rPr>
              <w:t>July 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ind w:left="600"/>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7"/>
          </w:tcPr>
          <w:p>
            <w:pPr>
              <w:jc w:val="right"/>
              <w:ind w:right="362"/>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Notes receivable due within one year</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(14.2)</w:t>
            </w:r>
          </w:p>
        </w:tc>
        <w:tc>
          <w:tcPr>
            <w:tcW w:w="1100" w:type="dxa"/>
            <w:vAlign w:val="bottom"/>
            <w:gridSpan w:val="6"/>
          </w:tcPr>
          <w:p>
            <w:pPr>
              <w:jc w:val="right"/>
              <w:ind w:right="6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94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Our inventories are summarized below:</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w w:val="82"/>
              </w:rPr>
              <w:t>July 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rPr>
              <w:t>July 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5"/>
          </w:tcPr>
          <w:p>
            <w:pPr>
              <w:jc w:val="right"/>
              <w:ind w:right="6"/>
              <w:spacing w:after="0"/>
              <w:rPr>
                <w:sz w:val="20"/>
                <w:szCs w:val="20"/>
                <w:color w:val="auto"/>
              </w:rPr>
            </w:pPr>
            <w:r>
              <w:rPr>
                <w:rFonts w:ascii="Arial" w:cs="Arial" w:eastAsia="Arial" w:hAnsi="Arial"/>
                <w:sz w:val="14"/>
                <w:szCs w:val="14"/>
                <w:b w:val="1"/>
                <w:bCs w:val="1"/>
                <w:color w:val="auto"/>
              </w:rPr>
              <w:t>2011</w:t>
            </w: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6"/>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Work in process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6.5</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gridSpan w:val="3"/>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w:t>
            </w:r>
          </w:p>
        </w:tc>
        <w:tc>
          <w:tcPr>
            <w:tcW w:w="10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During fiscal 2011, 2010 and 2009, we recorded charges to adjust our inventory to the lower of cost or market totaling $14.5 million, $29.6 million and $23.1 million, respectively. Such charges were 3.2%, 6.4% and 3.4% of our revenue for fiscal 2011, 2010 and 2009, respectively. These charges were primarily due to excess and obsolete inventory resulting from product transitioning and discontinuance.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property, plant and equipment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0" w:type="dxa"/>
            <w:vAlign w:val="bottom"/>
            <w:gridSpan w:val="3"/>
          </w:tcPr>
          <w:p>
            <w:pPr>
              <w:jc w:val="right"/>
              <w:ind w:right="712"/>
              <w:spacing w:after="0"/>
              <w:rPr>
                <w:sz w:val="20"/>
                <w:szCs w:val="20"/>
                <w:color w:val="auto"/>
              </w:rPr>
            </w:pPr>
            <w:r>
              <w:rPr>
                <w:rFonts w:ascii="Arial" w:cs="Arial" w:eastAsia="Arial" w:hAnsi="Arial"/>
                <w:sz w:val="14"/>
                <w:szCs w:val="14"/>
                <w:b w:val="1"/>
                <w:bCs w:val="1"/>
                <w:color w:val="auto"/>
                <w:w w:val="91"/>
              </w:rPr>
              <w:t>July 1,</w:t>
            </w:r>
          </w:p>
        </w:tc>
        <w:tc>
          <w:tcPr>
            <w:tcW w:w="2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July 2,</w:t>
            </w:r>
          </w:p>
        </w:tc>
      </w:tr>
      <w:tr>
        <w:trPr>
          <w:trHeight w:val="161"/>
        </w:trPr>
        <w:tc>
          <w:tcPr>
            <w:tcW w:w="5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2011</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r>
      <w:tr>
        <w:trPr>
          <w:trHeight w:val="216"/>
        </w:trPr>
        <w:tc>
          <w:tcPr>
            <w:tcW w:w="5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12"/>
              <w:spacing w:after="0"/>
              <w:rPr>
                <w:sz w:val="20"/>
                <w:szCs w:val="20"/>
                <w:color w:val="auto"/>
              </w:rPr>
            </w:pPr>
            <w:r>
              <w:rPr>
                <w:rFonts w:ascii="Arial" w:cs="Arial" w:eastAsia="Arial" w:hAnsi="Arial"/>
                <w:sz w:val="18"/>
                <w:szCs w:val="18"/>
                <w:color w:val="auto"/>
                <w:w w:val="89"/>
              </w:rPr>
              <w:t>(41.0)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(39.7)</w:t>
            </w:r>
          </w:p>
        </w:tc>
      </w:tr>
      <w:tr>
        <w:trPr>
          <w:trHeight w:val="27"/>
        </w:trPr>
        <w:tc>
          <w:tcPr>
            <w:tcW w:w="5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7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fiscal 2010, we recorded impairments of property, plant and equipment totaling $14.2 million. These charges consisted of $5.5 million on our manufacturing facility and idle equipment in San Antonio, Texas, $7.9 million recorded in connection with our impairment review process for goodwill and intangible assets and $0.8 million for software. The San Antonio impairment charge resulted from our plan to converge our products onto a single platform by the end of fiscal year 2010 and is included in “Charges for product transition” within “Cost of products sales and services” on our Consolidated Statement of Operations. The other impairments are included in “Property, plant and equipment impairment charges” on our Consolidated Statement of Operations. The San Antonio facility was sold in the fourth quarter of fiscal 2010.</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fiscal 2009, we recorded a $3.2 million impairment of software developed for internal use and a $7.2 million impairment of machinery and equipment related to our product transitioning activities. We also recorded a $2.4 million impairment of a building used in manufacturing that we classified as property held for sale. The machinery, equipment and building impairments were included in “Charges for product transition” within “Cost of products sales and services” on our Consolidated Statement of Operations and the software is included in “Property, plant and equipment impairment charges” on our Consolidated Statement of Operations.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$8.6 million, $20.0 million and $22.1 million, respectively, in fiscal 2011, 2010 and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have accrued for the estimated cost to repair or replace products under warranty at the time of sale. Changes in our warranty liability, which is included as a component of other accrued expenses on the consolidated balance sheets, during the fiscal years ended July 1, 2011 and July 2, 2010 are as follows:</w:t>
      </w:r>
    </w:p>
    <w:p>
      <w:pPr>
        <w:spacing w:after="0" w:line="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Fiscal Year Ended</w:t>
            </w: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692"/>
              <w:spacing w:after="0" w:line="129" w:lineRule="exact"/>
              <w:rPr>
                <w:sz w:val="20"/>
                <w:szCs w:val="20"/>
                <w:color w:val="auto"/>
              </w:rPr>
            </w:pPr>
            <w:r>
              <w:rPr>
                <w:rFonts w:ascii="Arial" w:cs="Arial" w:eastAsia="Arial" w:hAnsi="Arial"/>
                <w:sz w:val="14"/>
                <w:szCs w:val="14"/>
                <w:b w:val="1"/>
                <w:bCs w:val="1"/>
                <w:color w:val="auto"/>
                <w:w w:val="87"/>
              </w:rPr>
              <w:t>July 1,</w:t>
            </w:r>
          </w:p>
        </w:tc>
        <w:tc>
          <w:tcPr>
            <w:tcW w:w="4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July 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6"/>
              <w:spacing w:after="0"/>
              <w:rPr>
                <w:sz w:val="20"/>
                <w:szCs w:val="20"/>
                <w:color w:val="auto"/>
              </w:rPr>
            </w:pPr>
            <w:r>
              <w:rPr>
                <w:rFonts w:ascii="Arial" w:cs="Arial" w:eastAsia="Arial" w:hAnsi="Arial"/>
                <w:sz w:val="14"/>
                <w:szCs w:val="14"/>
                <w:b w:val="1"/>
                <w:bCs w:val="1"/>
                <w:color w:val="auto"/>
                <w:w w:val="76"/>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89"/>
              </w:rPr>
              <w:t>Warranty provision for revenue recorded during the period</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w w:val="97"/>
              </w:rPr>
              <w:t>(2.9)</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Balance as of the end of the period</w:t>
            </w:r>
          </w:p>
        </w:tc>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760" w:type="dxa"/>
            <w:vAlign w:val="bottom"/>
            <w:vMerge w:val="restart"/>
          </w:tcPr>
          <w:p>
            <w:pPr>
              <w:jc w:val="right"/>
              <w:ind w:right="2437"/>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 of Assets and Liabilities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3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carrying amounts, estimated fair values and valuation input levels of our financial assets and financial liabilities as of July 1, 2011 and July 2, 2010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1, 2011</w:t>
            </w:r>
          </w:p>
        </w:tc>
        <w:tc>
          <w:tcPr>
            <w:tcW w:w="3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2, 2010</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29"/>
        </w:trPr>
        <w:tc>
          <w:tcPr>
            <w:tcW w:w="68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Carrying</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600" w:type="dxa"/>
            <w:vAlign w:val="bottom"/>
            <w:gridSpan w:val="2"/>
          </w:tcPr>
          <w:p>
            <w:pPr>
              <w:jc w:val="center"/>
              <w:ind w:left="117"/>
              <w:spacing w:after="0" w:line="129" w:lineRule="exact"/>
              <w:rPr>
                <w:sz w:val="20"/>
                <w:szCs w:val="20"/>
                <w:color w:val="auto"/>
              </w:rPr>
            </w:pPr>
            <w:r>
              <w:rPr>
                <w:rFonts w:ascii="Arial" w:cs="Arial" w:eastAsia="Arial" w:hAnsi="Arial"/>
                <w:sz w:val="14"/>
                <w:szCs w:val="14"/>
                <w:b w:val="1"/>
                <w:bCs w:val="1"/>
                <w:color w:val="auto"/>
                <w:w w:val="93"/>
              </w:rPr>
              <w:t>Fair</w:t>
            </w:r>
          </w:p>
        </w:tc>
        <w:tc>
          <w:tcPr>
            <w:tcW w:w="2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84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Value</w:t>
            </w:r>
          </w:p>
        </w:tc>
        <w:tc>
          <w:tcPr>
            <w:tcW w:w="940" w:type="dxa"/>
            <w:vAlign w:val="bottom"/>
            <w:gridSpan w:val="2"/>
          </w:tcPr>
          <w:p>
            <w:pPr>
              <w:ind w:left="36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95"/>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5"/>
              <w:spacing w:after="0"/>
              <w:rPr>
                <w:sz w:val="20"/>
                <w:szCs w:val="20"/>
                <w:color w:val="auto"/>
              </w:rPr>
            </w:pPr>
            <w:r>
              <w:rPr>
                <w:rFonts w:ascii="Arial" w:cs="Arial" w:eastAsia="Arial" w:hAnsi="Arial"/>
                <w:sz w:val="18"/>
                <w:szCs w:val="18"/>
                <w:color w:val="auto"/>
              </w:rPr>
              <w:t>38.9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38.9</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5"/>
              <w:spacing w:after="0"/>
              <w:rPr>
                <w:sz w:val="20"/>
                <w:szCs w:val="20"/>
                <w:color w:val="auto"/>
              </w:rPr>
            </w:pPr>
            <w:r>
              <w:rPr>
                <w:rFonts w:ascii="Arial" w:cs="Arial" w:eastAsia="Arial" w:hAnsi="Arial"/>
                <w:sz w:val="18"/>
                <w:szCs w:val="18"/>
                <w:color w:val="auto"/>
              </w:rPr>
              <w:t>60.4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60.4</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59.3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59.3</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81.3</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5"/>
              <w:spacing w:after="0"/>
              <w:rPr>
                <w:sz w:val="20"/>
                <w:szCs w:val="20"/>
                <w:color w:val="auto"/>
              </w:rPr>
            </w:pPr>
            <w:r>
              <w:rPr>
                <w:rFonts w:ascii="Arial" w:cs="Arial" w:eastAsia="Arial" w:hAnsi="Arial"/>
                <w:sz w:val="18"/>
                <w:szCs w:val="18"/>
                <w:color w:val="auto"/>
              </w:rPr>
              <w:t>0.2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5"/>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5"/>
              <w:spacing w:after="0"/>
              <w:rPr>
                <w:sz w:val="20"/>
                <w:szCs w:val="20"/>
                <w:color w:val="auto"/>
              </w:rPr>
            </w:pPr>
            <w:r>
              <w:rPr>
                <w:rFonts w:ascii="Arial" w:cs="Arial" w:eastAsia="Arial" w:hAnsi="Arial"/>
                <w:sz w:val="18"/>
                <w:szCs w:val="18"/>
                <w:color w:val="auto"/>
              </w:rPr>
              <w:t>6.0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5"/>
              <w:spacing w:after="0"/>
              <w:rPr>
                <w:sz w:val="20"/>
                <w:szCs w:val="20"/>
                <w:color w:val="auto"/>
              </w:rPr>
            </w:pPr>
            <w:r>
              <w:rPr>
                <w:rFonts w:ascii="Arial" w:cs="Arial" w:eastAsia="Arial" w:hAnsi="Arial"/>
                <w:sz w:val="18"/>
                <w:szCs w:val="18"/>
                <w:color w:val="auto"/>
              </w:rPr>
              <w:t>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preference shares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5"/>
              <w:spacing w:after="0"/>
              <w:rPr>
                <w:sz w:val="20"/>
                <w:szCs w:val="20"/>
                <w:color w:val="auto"/>
              </w:rPr>
            </w:pPr>
            <w:r>
              <w:rPr>
                <w:rFonts w:ascii="Arial" w:cs="Arial" w:eastAsia="Arial" w:hAnsi="Arial"/>
                <w:sz w:val="18"/>
                <w:szCs w:val="18"/>
                <w:color w:val="auto"/>
              </w:rPr>
              <w:t>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5"/>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classify investments within Level 1 if quoted prices are available in active markets. Level 1investments generally include U.S. Treasuries, trading securities with quoted prices on active markets, and money market funds. Our cash equivalents consist primarily of shares in prime money market funds purchased from two major financial institutions. As of July 1, 2011, these money market shares were valued at $1.00 net asset value per share by these financial institutions.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classify items in Level 2 if the investments are valued using observable inputs to quoted market prices, benchmark yields, reported trades, broker/dealer quotes or alternative pricing sources with reasonable levels of price transparency. Our foreign exchange forward contracts and short-term debt are classified within Level 2. We determine the fair value of these instruments by considering the estimated amount we would pay or receive to terminate these agreements at the reporting date. We use observable inputs, including quoted prices in active markets for similar assets or liabilities.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classify items in Level 3 if the investments are valued based on unobservable inputs in the market. We have valued our redeemable preference shares at face value as of July 1, 2011 and July 2, 2010 due to the existence of a put option one of the holders has with our former majority stockholder Harris, our agreement with Harris to redeem these shares on January 30, 2012 in exchange for their reimbursement of the premium payable, and the non-existence of a market for comparable financial instruments. See Note 8 to the financial statements for further information on the early redemption of these shares.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As a result of our fiscal 2010 annual impairment review, we determined the carrying value of certain identifiable intangible assets and property, plant and equipment was no longer recoverable. Our assessment of the fair value of these assets considered forecasted cash flows (Level 3 valuation inputs). The carrying value of our identifiable intangible assets was reduced to $7.5 million and property, plant and equipment was reduced to $37.6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Facility and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debt consisted of short-term debt of $6.0 million as of July 1, 2011 compared to $5.0 million as of July 2, 2010.</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During the quarter ended October 1, 2010, we terminated our previous credit facility with two commercial banks and entered into a new $40.0 million credit facility with Silicon Valley Bank for a term of one year expiring on September 30, 2011. The outstanding debt of $5.0 million under the previous credit facility was repaid on October 1, 2010 with the proceeds of a new loan under the new facility in the amount of $6.0 million in demand borrowings. Our current credit facility provides for a committed amount of $40.0 million. The facility provides for (1) demand borrowings (with no stated maturity date); (2) fixed term Eurodollar loans for up to six months; and (3) the issuance of standby or commercial letters of credit.</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Demand borrowings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which was 3.25% as of July 1, 201l. Interest on Eurodollar loans are offered at LIBOR plus a spread of between 2.00% to 2.75% based on our current leverage ratio. The interest rate on Eurodollar loans was set initially at a spread of 2.75% for the fiscal quarter ending October 1, 2010 and is adjustable quarterly thereafter based on the computed actual leverage ratio for the most recently completed fiscal quarter. The facility contains a minimum liquidity ratio covenant and a minimum profitability covenant. As of July 1, 2011, we were in compliance with these financial covenants. Certain of our assets, including accounts receivable, inventory, and equipment, are pledged as collateral for the credit facility.</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Available credit as of July 1, 2011 was $24.8 million reflecting borrowings of $6.0 million and outstanding letters of credit of $9.2 million. The weighted average interest rate on our short-term borrowings was 3.25% as of July 1, 2011.</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also have an uncommitted short-term line of credit of $0.4 million from a bank in New Zealand to support the operations of our subsidiary located there. This line of credit provides for $0.2 million in short-term advances at various interest rates, all of which was available as of July 1, 2011. The line of credit also provides for the issuance of standby letters of credit and company credit cards, of which $0.2 million was outstanding as of July 1, 2011. This facility may be terminated upon notice, is reviewed annually for renewal or modification, and is supported by a corporate guarantee.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Preference Shares</w:t>
      </w:r>
    </w:p>
    <w:p>
      <w:pPr>
        <w:spacing w:after="0" w:line="9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During fiscal 2007, our Singapore subsidiary issued 8,250 redeemable preference shares to the U.S. parent company which, in turn, sold the shares to two unrelated investment companies at par value for total sale proceeds of $8.25 million. Upon original issuance in fiscal 2007, our former majority stockholder Harris guaranteed redemption of these preference shares directly with these two unrelated investment companies through the existence of put option arrangements. During May 2009, one of these unrelated investment companies exercised a put option with Harris and sold its entire interest in 3,250 redeemable preference shares at face value to Harris. Accordingly, Harris owns this partial interest in our redeemable preference shares outstanding as of July 1, 2011.</w:t>
      </w:r>
    </w:p>
    <w:p>
      <w:pPr>
        <w:spacing w:after="0" w:line="100" w:lineRule="exact"/>
        <w:rPr>
          <w:sz w:val="20"/>
          <w:szCs w:val="20"/>
          <w:color w:val="auto"/>
        </w:rPr>
      </w:pPr>
    </w:p>
    <w:p>
      <w:pPr>
        <w:ind w:right="320" w:firstLine="456"/>
        <w:spacing w:after="0" w:line="305" w:lineRule="auto"/>
        <w:rPr>
          <w:sz w:val="20"/>
          <w:szCs w:val="20"/>
          <w:color w:val="auto"/>
        </w:rPr>
      </w:pPr>
      <w:r>
        <w:rPr>
          <w:rFonts w:ascii="Arial" w:cs="Arial" w:eastAsia="Arial" w:hAnsi="Arial"/>
          <w:sz w:val="15"/>
          <w:szCs w:val="15"/>
          <w:color w:val="auto"/>
        </w:rPr>
        <w:t>These redeemable preference shares represent less than a 1% interest in our Singapore subsidiary. The redeemable preference shares have an automatic redemption date of January 2017, which is 10 years from the date of issue. Preference dividends are cumulative and payable quarterly in cash at the rate of</w:t>
      </w:r>
    </w:p>
    <w:p>
      <w:pPr>
        <w:ind w:right="20"/>
        <w:spacing w:after="0" w:line="292" w:lineRule="auto"/>
        <w:rPr>
          <w:sz w:val="20"/>
          <w:szCs w:val="20"/>
          <w:color w:val="auto"/>
        </w:rPr>
      </w:pPr>
      <w:r>
        <w:rPr>
          <w:rFonts w:ascii="Arial" w:cs="Arial" w:eastAsia="Arial" w:hAnsi="Arial"/>
          <w:sz w:val="16"/>
          <w:szCs w:val="16"/>
          <w:color w:val="auto"/>
        </w:rPr>
        <w:t>12% per annum. The holders of the redeemable preference shares have liquidation rights in priority of all classes of capital stock of our Singapore subsidiary. The holders of the redeemable preference shares do not have any other participation in, or rights to, our profits, assets or capital shares, and do not have rights to vote as a stockholder of the Singapore subsidiary unless the preference dividend or any part thereof is in arrears and has remained unpaid for at least 12 months after it has been declared. During fiscal 2011, 2010 and 2009, preference dividends totaling $1.0 million in each fiscal year were recorded as interest expense in the accompanying consolidated statements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Singapore subsidiary has the right at any time after 5 years from the issue date to redeem, in whole or in part, the redeemable preference shares at 100% to 105% of the issue price depending on the redemption date.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July 2, 2010, we classified the redeemable preference shares as a long-term liability due to the mandatory redemption provision 10 years from issue date and our intention at that time not to redeem the shares before the mandatory redemption date. In an agreement dated June 30, 2011 by and among Harris, the company and our Singapore subsidiary, we agreed to redeem the shares on the fifth anniversary of the date of issuance, January 30, 2012, at the stated redemption amount of 105% of their face value. In consideration for the early redemption, Harris has agreed to waive the 5% premium for the amount that would otherwise be payable to them and to reimburse us for the 5% premium that is payable to the remaining stockholder. Accordingly, as of July 1, 2011, these shares were classified as a current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Restructuring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Plan</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first quarter of fiscal 2011, we initiated a restructuring plan to reduce our operational costs (the “Fiscal 2011 Plan”). The Fiscal 2011 Plan was intended to bring our cost structure in line with the changing dynamics of the worldwide microwave radio and telecommunication markets, primarily in North America, Europe and Asia. The following table summarizes our costs incurred during fiscal 2011, estimated additional costs to be incurred and estimated total costs expected to be incurred under the Fiscal 2011 Plan (in millions):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Total Costs</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Incurred During</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Estimated</w:t>
            </w:r>
          </w:p>
        </w:tc>
        <w:tc>
          <w:tcPr>
            <w:tcW w:w="5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Restructuring</w:t>
            </w: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11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 Costs</w:t>
            </w:r>
          </w:p>
        </w:tc>
        <w:tc>
          <w:tcPr>
            <w:tcW w:w="5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Costs Expected</w:t>
            </w: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86"/>
              </w:rPr>
              <w:t>July 1, 2011</w:t>
            </w:r>
          </w:p>
        </w:tc>
        <w:tc>
          <w:tcPr>
            <w:tcW w:w="112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to be Incurred</w:t>
            </w:r>
          </w:p>
        </w:tc>
        <w:tc>
          <w:tcPr>
            <w:tcW w:w="56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Incurred</w:t>
            </w: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North America:</w:t>
            </w:r>
          </w:p>
        </w:tc>
        <w:tc>
          <w:tcPr>
            <w:tcW w:w="1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Severance and benefits</w:t>
            </w:r>
          </w:p>
        </w:tc>
        <w:tc>
          <w:tcPr>
            <w:tcW w:w="1740" w:type="dxa"/>
            <w:vAlign w:val="bottom"/>
            <w:gridSpan w:val="2"/>
          </w:tcPr>
          <w:p>
            <w:pPr>
              <w:ind w:left="16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4.7</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Facilities and other</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740" w:type="dxa"/>
            <w:vAlign w:val="bottom"/>
            <w:gridSpan w:val="2"/>
          </w:tcPr>
          <w:p>
            <w:pPr>
              <w:ind w:left="16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6.5</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1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Severance and benefits</w:t>
            </w:r>
          </w:p>
        </w:tc>
        <w:tc>
          <w:tcPr>
            <w:tcW w:w="1740" w:type="dxa"/>
            <w:vAlign w:val="bottom"/>
            <w:gridSpan w:val="2"/>
          </w:tcPr>
          <w:p>
            <w:pPr>
              <w:ind w:left="16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Facilities and other</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40" w:type="dxa"/>
            <w:vAlign w:val="bottom"/>
            <w:gridSpan w:val="2"/>
          </w:tcPr>
          <w:p>
            <w:pPr>
              <w:ind w:left="16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1.5</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 for Fiscal 2011 Plan</w:t>
            </w:r>
          </w:p>
        </w:tc>
        <w:tc>
          <w:tcPr>
            <w:tcW w:w="174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fiscal 2011, our severance and benefits charges under the Fiscal 2011 Plan for North America segment related to reductions in force for the downsizing of the Morrisville, North Carolina office, reductions in force in Canada of their finance, human resources, IT and engineering functions, and the reductions in force resulting from the sale of our NetBoss assets. The severance and benefits for International segment related primarily to reductions in personnel located in our field offices during fiscal 2011.</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Facilities and other charges in fiscal 2011 included obligations under non-cancelable leases for facilities that we ceased to use at the Morrisville, North Carolina office upon the permanent downsizing of that office.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to incur further costs to complete the initiatives of the Fiscal 2011 Plan which include a variety of activities to further align our cost structure with demands of the marketplace.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2009 Plan</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the first quarter of fiscal 2009, we announced a restructuring plan to reduce our worldwide workforce in the U.S., France, Canada and other locations throughout the world (the “Fiscal 2009 Plan”). The Fiscal 2009 Plan also included the restructure and transition of our North America manufacturing operations and global supply chain operations. The Fiscal 2009 Plan has been completed at the end of fiscal 2011 and we do not expect to incur future restructuring costs related to the Fiscal 2009 Plan.</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our costs incurred during fiscal 2011, 2010 and 2009 and through July 1, 2011 and estimated total costs expected to be incurred under the Fiscal 2009 Plan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Cumulative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60" w:type="dxa"/>
            <w:vAlign w:val="bottom"/>
            <w:gridSpan w:val="6"/>
            <w:vMerge w:val="restart"/>
          </w:tcPr>
          <w:p>
            <w:pPr>
              <w:jc w:val="right"/>
              <w:ind w:right="132"/>
              <w:spacing w:after="0"/>
              <w:rPr>
                <w:sz w:val="20"/>
                <w:szCs w:val="20"/>
                <w:color w:val="auto"/>
              </w:rPr>
            </w:pPr>
            <w:r>
              <w:rPr>
                <w:rFonts w:ascii="Arial" w:cs="Arial" w:eastAsia="Arial" w:hAnsi="Arial"/>
                <w:sz w:val="14"/>
                <w:szCs w:val="14"/>
                <w:b w:val="1"/>
                <w:bCs w:val="1"/>
                <w:color w:val="auto"/>
                <w:w w:val="98"/>
              </w:rPr>
              <w:t>Total Costs Incurred During Fiscal Year Ended</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and Total</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7"/>
        </w:trPr>
        <w:tc>
          <w:tcPr>
            <w:tcW w:w="39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gridSpan w:val="6"/>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6"/>
              </w:rPr>
              <w:t>Costs Incurred</w:t>
            </w:r>
          </w:p>
        </w:tc>
        <w:tc>
          <w:tcPr>
            <w:tcW w:w="820" w:type="dxa"/>
            <w:vAlign w:val="bottom"/>
          </w:tcPr>
          <w:p>
            <w:pPr>
              <w:spacing w:after="0"/>
              <w:rPr>
                <w:sz w:val="5"/>
                <w:szCs w:val="5"/>
                <w:color w:val="auto"/>
              </w:rPr>
            </w:pPr>
          </w:p>
        </w:tc>
        <w:tc>
          <w:tcPr>
            <w:tcW w:w="9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0" w:type="dxa"/>
            <w:vAlign w:val="bottom"/>
          </w:tcPr>
          <w:p>
            <w:pPr>
              <w:spacing w:after="0"/>
              <w:rPr>
                <w:sz w:val="1"/>
                <w:szCs w:val="1"/>
                <w:color w:val="auto"/>
              </w:rPr>
            </w:pPr>
          </w:p>
        </w:tc>
      </w:tr>
      <w:tr>
        <w:trPr>
          <w:trHeight w:val="62"/>
        </w:trPr>
        <w:tc>
          <w:tcPr>
            <w:tcW w:w="3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Through</w:t>
            </w:r>
          </w:p>
        </w:tc>
        <w:tc>
          <w:tcPr>
            <w:tcW w:w="8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Costs Expected</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6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8"/>
              </w:rPr>
              <w:t>July 1, 2011</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July 2, 2010</w:t>
            </w:r>
          </w:p>
        </w:tc>
        <w:tc>
          <w:tcPr>
            <w:tcW w:w="820" w:type="dxa"/>
            <w:vAlign w:val="bottom"/>
          </w:tcPr>
          <w:p>
            <w:pPr>
              <w:spacing w:after="0"/>
              <w:rPr>
                <w:sz w:val="14"/>
                <w:szCs w:val="14"/>
                <w:color w:val="auto"/>
              </w:rPr>
            </w:pPr>
          </w:p>
        </w:tc>
        <w:tc>
          <w:tcPr>
            <w:tcW w:w="16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4"/>
              </w:rPr>
              <w:t>July 3, 2009</w:t>
            </w:r>
          </w:p>
        </w:tc>
        <w:tc>
          <w:tcPr>
            <w:tcW w:w="100" w:type="dxa"/>
            <w:vAlign w:val="bottom"/>
          </w:tcPr>
          <w:p>
            <w:pPr>
              <w:spacing w:after="0"/>
              <w:rPr>
                <w:sz w:val="14"/>
                <w:szCs w:val="14"/>
                <w:color w:val="auto"/>
              </w:rPr>
            </w:pPr>
          </w:p>
        </w:tc>
        <w:tc>
          <w:tcPr>
            <w:tcW w:w="780" w:type="dxa"/>
            <w:vAlign w:val="bottom"/>
          </w:tcPr>
          <w:p>
            <w:pPr>
              <w:jc w:val="center"/>
              <w:ind w:right="20"/>
              <w:spacing w:after="0"/>
              <w:rPr>
                <w:sz w:val="20"/>
                <w:szCs w:val="20"/>
                <w:color w:val="auto"/>
              </w:rPr>
            </w:pPr>
            <w:r>
              <w:rPr>
                <w:rFonts w:ascii="Arial" w:cs="Arial" w:eastAsia="Arial" w:hAnsi="Arial"/>
                <w:sz w:val="14"/>
                <w:szCs w:val="14"/>
                <w:b w:val="1"/>
                <w:bCs w:val="1"/>
                <w:color w:val="auto"/>
                <w:w w:val="86"/>
              </w:rPr>
              <w:t>July 1, 2011</w:t>
            </w:r>
          </w:p>
        </w:tc>
        <w:tc>
          <w:tcPr>
            <w:tcW w:w="8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Incurred</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North America:</w:t>
            </w: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1.8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0.9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0.9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 for Fiscal 2009 Plan</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1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fiscal 2011, the restructuring activities related to the Fiscal 2009 Plan primarily consisted of outsourcing our San Antonio manufacturing operations to a third party in Austin, Texas. The restructuring charges primarily consisted of the severance and benefits charges for reductions in force in our San Antonio manufacturing facilities and costs related to facility lease obligation adjustments.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fiscal 2010, severance and benefits costs incurred primarily related to reductions in force and relocation of employees in the U.S., France, Canada and other locations throughout the world. Charges totaling $2.0 million in facility lease obligation impairments primarily related to facilities occupied in San Jose, California prior the relocation to our new corporate headquarters in Santa Clara, California.</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During fiscal 2009, our net restructuring charges related to the Fiscal 2009 Plan consisted primarily of severance, retention and related charges associated with reduction in force activities worldwide, and impairment of fixed assets and facility restoration costs at our Canadian location.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in the following table summarizes our restructuring activities during fiscal 2011 and restructuring liability as of July 1,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Facilities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 and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Benefits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Other</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Restructuring liability as of June 27, 2008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87"/>
              </w:rPr>
              <w:t>8.5</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Provision related to Fiscal 2009 Plan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center"/>
              <w:ind w:left="135"/>
              <w:spacing w:after="0"/>
              <w:rPr>
                <w:sz w:val="20"/>
                <w:szCs w:val="20"/>
                <w:color w:val="auto"/>
              </w:rPr>
            </w:pPr>
            <w:r>
              <w:rPr>
                <w:rFonts w:ascii="Arial" w:cs="Arial" w:eastAsia="Arial" w:hAnsi="Arial"/>
                <w:sz w:val="18"/>
                <w:szCs w:val="18"/>
                <w:color w:val="auto"/>
                <w:w w:val="87"/>
              </w:rPr>
              <w:t>0.3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Reversal of accrual related to changes in estimates for Fiscal 2007 Plans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(0.2)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Non-cash charges related to Fiscal 2009 Plan</w:t>
            </w: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(0.4)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1"/>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Restructuring liability as of July 3, 2009</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center"/>
              <w:ind w:left="135"/>
              <w:spacing w:after="0"/>
              <w:rPr>
                <w:sz w:val="20"/>
                <w:szCs w:val="20"/>
                <w:color w:val="auto"/>
              </w:rPr>
            </w:pPr>
            <w:r>
              <w:rPr>
                <w:rFonts w:ascii="Arial" w:cs="Arial" w:eastAsia="Arial" w:hAnsi="Arial"/>
                <w:sz w:val="18"/>
                <w:szCs w:val="18"/>
                <w:color w:val="auto"/>
                <w:w w:val="87"/>
              </w:rPr>
              <w:t>5.3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Provision related to Fiscal 2009 Plan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87"/>
              </w:rPr>
              <w:t>2.5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(3.6)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Restructuring liability as of July 2, 2010</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ind w:left="135"/>
              <w:spacing w:after="0"/>
              <w:rPr>
                <w:sz w:val="20"/>
                <w:szCs w:val="20"/>
                <w:color w:val="auto"/>
              </w:rPr>
            </w:pPr>
            <w:r>
              <w:rPr>
                <w:rFonts w:ascii="Arial" w:cs="Arial" w:eastAsia="Arial" w:hAnsi="Arial"/>
                <w:sz w:val="18"/>
                <w:szCs w:val="18"/>
                <w:color w:val="auto"/>
                <w:w w:val="87"/>
              </w:rPr>
              <w:t>4.2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Provision related to Fiscal 2011 Plan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center"/>
              <w:ind w:left="135"/>
              <w:spacing w:after="0"/>
              <w:rPr>
                <w:sz w:val="20"/>
                <w:szCs w:val="20"/>
                <w:color w:val="auto"/>
              </w:rPr>
            </w:pPr>
            <w:r>
              <w:rPr>
                <w:rFonts w:ascii="Arial" w:cs="Arial" w:eastAsia="Arial" w:hAnsi="Arial"/>
                <w:sz w:val="18"/>
                <w:szCs w:val="18"/>
                <w:color w:val="auto"/>
                <w:w w:val="87"/>
              </w:rPr>
              <w:t>2.2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Provision related to Fiscal 2009 Plan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87"/>
              </w:rPr>
              <w:t>0.2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(4.8)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Restructuring liability as of July 1, 2011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87"/>
              </w:rPr>
              <w:t>1.8</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Current portion of restructuring liability as of July 1, 2011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restructuring liability as of July 1, 2011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Programs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Equity Plan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July 1, 2011, we had one stock incentive plan for our employees and outside directors, the 2007 Stock Equity Plan, as amended and restated effective November 19, 2009 (the “2007 Stock Plan”). The 2007 Stock Plan provides for accelerated vesting of certain share-based awards if there is a change in control. The 2007 Stock Plan provides for the issuance of share-based awards in the form of stock options, stock appreciation rights, restricted stock awards and units, and performance share awards and units.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the 2007 Stock Plan, option exercise prices are equal to the fair market value on the date the options are granted using our closing stock price. Options may be exercised for a period set at the time of grant, generally 7 years after the date of grant, and they generally vest in installments of 50% one year from the grant date, 25% two years from the grant date and 25% three years from the grant date or one-third annually over a three year period from date of grant. Stock options are issued to directors annually and generally cliff vest (i.e. vest in full) one year from grant date.</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Restricted stock is not transferable until vested and the restrictions lapse upon the achievement of continued employment or service over a specified time period. Restricted stock issued to employees generally vests one-third annually over a three year period from date of grant or cliff vests three years after grant date. Restricted stock is issued to directors annually and generally cliff vests one year from grant date.</w:t>
      </w:r>
    </w:p>
    <w:p>
      <w:pPr>
        <w:spacing w:after="0" w:line="10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issued performance shares under our Long-Term Incentive Plans (“LTIPs”) and our Product Development Incentive Plans (“PDIPs”). Vesting of performance share awards under our LTIPs after fiscal 2009 was subject to performance criteria including meeting cash flow targets for the 3-year plan period, and continued employment at the end of the periods. Vesting of performance share awards under our fiscal 2007 LTIP was subject to performance criteria including meeting net income and cash flow targets for the 30-month plan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ended July 3, 2009 and continued employment at the end of that period. We determined that the net income and cash flow targets would not be achieved for performance share awards made under our fiscal 2009 and fiscal 2007 LTIPs. Accordingly, these awards did not vest and were canceled after the end of the plan periods. Performance shares under our PDIPs were issued to employees related to several new product development projects and are vested upon achievement of the product development milestones as defined in the plans. The final determination of the number of performance shares vesting in respect of an award is determined by our board of directors, or a committee of our board.</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Upon the exercise of stock options, vesting of restricted stock awards and units, or vesting of performance share awards and units, we issue new shares of our common stock. All awards which are cancelled prior to vesting or expire unexercised are returned to the share pool and made available for future awards. Shares of our common stock remaining available for future issuance under the 2007 Stock Plan totaled 4,400,272 as of July 1, 2011. Currently, we do not anticipate repurchasing shares to provide a source of shares for our rewards of share-based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Plans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assumed all of the former Stratex outstanding stock options as of January 26, 2007, as part of the Stratex acquisition. The outstanding former Stratex options were fully vested as of July 1, 2011.</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our employees who were formerly employed by Harris prior to the acquisition of Stratex participate in Harris’ three stockholder-approved stock incentive plans (the “Harris Plans”) under which options or other share-based compensation is outstanding. The compensation expense (credit) related to the Harris Plans’ share-based awards have been settled with Harris by cash. Harris has not made any awards to our employees since the date of the Stratex acquisition.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Employee Stock Purchase Plan (“ESPP”), employees are entitled to purchase shares of our common stock at 95% of the fair market value at the end of a three-month purchase period. As of July 1, 2011, 835,601shares were reserved for future issuances under the ESPP. We issued 14,399 shares under the ESPP for fiscal 2011.</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total, our compensation expense for share-based awards was $4.8 million, $3.2 million and $2.9 million for fiscal 2011, 2010 and 2009,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were included in our consolidated statements of operations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2"/>
              </w:rPr>
              <w:t>Fiscal 2011</w:t>
            </w:r>
          </w:p>
        </w:tc>
        <w:tc>
          <w:tcPr>
            <w:tcW w:w="780" w:type="dxa"/>
            <w:vAlign w:val="bottom"/>
          </w:tcPr>
          <w:p>
            <w:pPr>
              <w:spacing w:after="0"/>
              <w:rPr>
                <w:sz w:val="14"/>
                <w:szCs w:val="1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2"/>
              </w:rPr>
              <w:t>Fiscal 2010</w:t>
            </w:r>
          </w:p>
        </w:tc>
        <w:tc>
          <w:tcPr>
            <w:tcW w:w="3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ind w:left="760"/>
              <w:spacing w:after="0" w:line="142" w:lineRule="exact"/>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By Expense Category:</w:t>
            </w:r>
          </w:p>
        </w:tc>
        <w:tc>
          <w:tcPr>
            <w:tcW w:w="6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rPr>
              <w:t>Cost of product sales and services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0.2</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rPr>
              <w:t>Selling and administrative</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4"/>
          </w:tcPr>
          <w:p>
            <w:pPr>
              <w:ind w:left="420"/>
              <w:spacing w:after="0"/>
              <w:rPr>
                <w:sz w:val="20"/>
                <w:szCs w:val="20"/>
                <w:color w:val="auto"/>
              </w:rPr>
            </w:pPr>
            <w:r>
              <w:rPr>
                <w:rFonts w:ascii="Arial" w:cs="Arial" w:eastAsia="Arial" w:hAnsi="Arial"/>
                <w:sz w:val="18"/>
                <w:szCs w:val="18"/>
                <w:color w:val="auto"/>
              </w:rPr>
              <w:t>Total share-based compensation expense, net tax of nil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8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By Types of Award:</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Options</w:t>
            </w:r>
          </w:p>
        </w:tc>
        <w:tc>
          <w:tcPr>
            <w:tcW w:w="634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1000" w:type="dxa"/>
            <w:vAlign w:val="bottom"/>
            <w:tcBorders>
              <w:top w:val="single" w:sz="8" w:color="CCEEFF"/>
            </w:tcBorders>
            <w:gridSpan w:val="2"/>
          </w:tcPr>
          <w:p>
            <w:pPr>
              <w:ind w:left="7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jc w:val="right"/>
              <w:ind w:right="420"/>
              <w:spacing w:after="0"/>
              <w:rPr>
                <w:sz w:val="20"/>
                <w:szCs w:val="20"/>
                <w:color w:val="auto"/>
              </w:rPr>
            </w:pPr>
            <w:r>
              <w:rPr>
                <w:rFonts w:ascii="Arial" w:cs="Arial" w:eastAsia="Arial" w:hAnsi="Arial"/>
                <w:sz w:val="18"/>
                <w:szCs w:val="18"/>
                <w:color w:val="auto"/>
              </w:rPr>
              <w:t>2.5</w:t>
            </w:r>
          </w:p>
        </w:tc>
        <w:tc>
          <w:tcPr>
            <w:tcW w:w="60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rPr>
              <w:t>Performance shares</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By Stock Plans: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2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2007 Stock Plan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tcPr>
          <w:p>
            <w:pPr>
              <w:spacing w:after="0"/>
              <w:rPr>
                <w:sz w:val="20"/>
                <w:szCs w:val="20"/>
                <w:color w:val="auto"/>
              </w:rPr>
            </w:pPr>
            <w:r>
              <w:rPr>
                <w:rFonts w:ascii="Arial" w:cs="Arial" w:eastAsia="Arial" w:hAnsi="Arial"/>
                <w:sz w:val="18"/>
                <w:szCs w:val="18"/>
                <w:color w:val="auto"/>
              </w:rPr>
              <w:t>Former Stratex options</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Harris Plans (settled by cash)</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4"/>
            <w:vMerge w:val="restart"/>
          </w:tcPr>
          <w:p>
            <w:pPr>
              <w:ind w:left="420"/>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4"/>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combined stock option activity under our equity plans during fiscal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Weighted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Weighted</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Average</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5960" w:type="dxa"/>
            <w:vAlign w:val="bottom"/>
          </w:tcPr>
          <w:p>
            <w:pPr>
              <w:spacing w:after="0"/>
              <w:rPr>
                <w:sz w:val="14"/>
                <w:szCs w:val="14"/>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Shares</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(Years)</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as of July 2, 2010</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2"/>
              </w:rPr>
              <w:t>3,685,477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10.42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w w:val="92"/>
              </w:rPr>
              <w:t>1,256,221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4.74</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(23,166)</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5.50</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(456,442)</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5.76</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Expired</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(677,179)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18.42</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outstanding as of July 1, 2011</w:t>
            </w: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tcPr>
          <w:p>
            <w:pPr>
              <w:jc w:val="right"/>
              <w:ind w:right="760"/>
              <w:spacing w:after="0"/>
              <w:rPr>
                <w:sz w:val="20"/>
                <w:szCs w:val="20"/>
                <w:color w:val="auto"/>
              </w:rPr>
            </w:pPr>
            <w:r>
              <w:rPr>
                <w:rFonts w:ascii="Arial" w:cs="Arial" w:eastAsia="Arial" w:hAnsi="Arial"/>
                <w:sz w:val="18"/>
                <w:szCs w:val="18"/>
                <w:color w:val="auto"/>
              </w:rPr>
              <w:t>7.70</w:t>
            </w: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4.53</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w w:val="92"/>
              </w:rPr>
              <w:t>3,784,911</w:t>
            </w:r>
          </w:p>
        </w:tc>
        <w:tc>
          <w:tcPr>
            <w:tcW w:w="12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July 1, 2011</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2"/>
              </w:rPr>
              <w:t>1,910,905</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Options vested and expected to vest as of July 1, 2011</w:t>
            </w: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w w:val="92"/>
              </w:rPr>
              <w:t>3,614,444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7.82</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aggregate intrinsic value represents the total pre-tax intrinsic value or the aggregate difference between the closing price of our common stock on July 1, 2011 of $3.96 and the exercise price for in-the-money options that would have been received by the optionees if all options had been exercised on July 1, 2011. The options expected to vest are the result of applying the pre-vesting forfeiture rate assumptions to total outstanding options.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related to our stock options is summarized below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860" w:type="dxa"/>
            <w:vAlign w:val="bottom"/>
            <w:gridSpan w:val="2"/>
          </w:tcPr>
          <w:p>
            <w:pPr>
              <w:jc w:val="center"/>
              <w:ind w:left="462"/>
              <w:spacing w:after="0"/>
              <w:rPr>
                <w:sz w:val="20"/>
                <w:szCs w:val="20"/>
                <w:color w:val="auto"/>
              </w:rPr>
            </w:pPr>
            <w:r>
              <w:rPr>
                <w:rFonts w:ascii="Arial" w:cs="Arial" w:eastAsia="Arial" w:hAnsi="Arial"/>
                <w:sz w:val="14"/>
                <w:szCs w:val="14"/>
                <w:b w:val="1"/>
                <w:bCs w:val="1"/>
                <w:color w:val="auto"/>
                <w:w w:val="89"/>
              </w:rPr>
              <w:t>2010</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Intrinsic value of options exercised</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Fair value of options vested</w:t>
            </w:r>
          </w:p>
        </w:tc>
        <w:tc>
          <w:tcPr>
            <w:tcW w:w="320" w:type="dxa"/>
            <w:vAlign w:val="bottom"/>
          </w:tcPr>
          <w:p>
            <w:pPr>
              <w:jc w:val="center"/>
              <w:spacing w:after="0"/>
              <w:rPr>
                <w:sz w:val="20"/>
                <w:szCs w:val="20"/>
                <w:color w:val="auto"/>
              </w:rPr>
            </w:pPr>
            <w:r>
              <w:rPr>
                <w:rFonts w:ascii="Arial" w:cs="Arial" w:eastAsia="Arial" w:hAnsi="Arial"/>
                <w:sz w:val="18"/>
                <w:szCs w:val="18"/>
                <w:color w:val="auto"/>
                <w:w w:val="91"/>
              </w:rPr>
              <w:t>$2.6</w:t>
            </w:r>
          </w:p>
        </w:tc>
        <w:tc>
          <w:tcPr>
            <w:tcW w:w="860" w:type="dxa"/>
            <w:vAlign w:val="bottom"/>
            <w:gridSpan w:val="2"/>
          </w:tcPr>
          <w:p>
            <w:pPr>
              <w:jc w:val="center"/>
              <w:ind w:left="462"/>
              <w:spacing w:after="0"/>
              <w:rPr>
                <w:sz w:val="20"/>
                <w:szCs w:val="20"/>
                <w:color w:val="auto"/>
              </w:rPr>
            </w:pPr>
            <w:r>
              <w:rPr>
                <w:rFonts w:ascii="Arial" w:cs="Arial" w:eastAsia="Arial" w:hAnsi="Arial"/>
                <w:sz w:val="18"/>
                <w:szCs w:val="18"/>
                <w:color w:val="auto"/>
                <w:w w:val="91"/>
              </w:rPr>
              <w:t>$1.9</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w w:val="84"/>
              </w:rPr>
              <w:t>$ 0.5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each option grant under our 2007 Stock Equity Plan was estimated using the Black-Scholes option-pricing model on the date of grant. A summary of the significant weighted average assumptions we used in the Black-Scholes valuation model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Grant Fiscal Year</w:t>
            </w:r>
          </w:p>
        </w:tc>
        <w:tc>
          <w:tcPr>
            <w:tcW w:w="412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7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gridSpan w:val="2"/>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0.0%</w:t>
            </w: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400" w:type="dxa"/>
            <w:vAlign w:val="bottom"/>
            <w:gridSpan w:val="3"/>
          </w:tcPr>
          <w:p>
            <w:pPr>
              <w:jc w:val="right"/>
              <w:ind w:right="600"/>
              <w:spacing w:after="0"/>
              <w:rPr>
                <w:sz w:val="20"/>
                <w:szCs w:val="20"/>
                <w:color w:val="auto"/>
              </w:rPr>
            </w:pPr>
            <w:r>
              <w:rPr>
                <w:rFonts w:ascii="Arial" w:cs="Arial" w:eastAsia="Arial" w:hAnsi="Arial"/>
                <w:sz w:val="18"/>
                <w:szCs w:val="18"/>
                <w:color w:val="auto"/>
              </w:rPr>
              <w:t>63.7%</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61.1%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1.32%</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4.410</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0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 granted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$ 3.16</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Expected volatility is based on a hybrid method of implied volatility for the expected term of the options from our stock price and a group of peer companies whose share prices are publicly available. The expected term of the options is calculated using the simplified method described in the SEC’s Staff Accounting Bulletins Topic 14.D.2. We use the simplified method because our stock does not have sufficient trading history and we do not have sufficient stock option exercise data since our company was formed in January 2007. The risk-free rate for the expected term of the option is based on the U.S. Treasury yield curve in effect at the time of grant. The expected dividend yield is zero because we have not historically paid dividends and have no intention to pay dividends.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July 1, 2011, there was $3.6 million of total unrecognized compensation expense related to nonvested stock options granted under our 2007 Stock Equity Plan. This cost is expected to be recognized over a weighted-average period of 1.9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all of our stock options outstanding as of July 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w w:val="97"/>
              </w:rPr>
              <w:t>Options Outstanding</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40" w:type="dxa"/>
            <w:vAlign w:val="bottom"/>
            <w:gridSpan w:val="5"/>
          </w:tcPr>
          <w:p>
            <w:pPr>
              <w:ind w:left="500"/>
              <w:spacing w:after="0" w:line="142" w:lineRule="exact"/>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vMerge w:val="restart"/>
          </w:tcPr>
          <w:p>
            <w:pPr>
              <w:jc w:val="center"/>
              <w:spacing w:after="0" w:line="136"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12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8"/>
              </w:rPr>
              <w:t>Weighted</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Actual Range of Exercise Prices</w:t>
            </w:r>
          </w:p>
        </w:tc>
        <w:tc>
          <w:tcPr>
            <w:tcW w:w="32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Number</w:t>
            </w:r>
          </w:p>
        </w:tc>
        <w:tc>
          <w:tcPr>
            <w:tcW w:w="1520" w:type="dxa"/>
            <w:vAlign w:val="bottom"/>
          </w:tcPr>
          <w:p>
            <w:pPr>
              <w:jc w:val="right"/>
              <w:ind w:right="343"/>
              <w:spacing w:after="0" w:line="149" w:lineRule="exact"/>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55"/>
        </w:trPr>
        <w:tc>
          <w:tcPr>
            <w:tcW w:w="1960" w:type="dxa"/>
            <w:vAlign w:val="bottom"/>
            <w:gridSpan w:val="3"/>
            <w:vMerge w:val="continue"/>
          </w:tcPr>
          <w:p>
            <w:pPr>
              <w:spacing w:after="0"/>
              <w:rPr>
                <w:sz w:val="13"/>
                <w:szCs w:val="13"/>
                <w:color w:val="auto"/>
              </w:rPr>
            </w:pPr>
          </w:p>
        </w:tc>
        <w:tc>
          <w:tcPr>
            <w:tcW w:w="3240" w:type="dxa"/>
            <w:vAlign w:val="bottom"/>
          </w:tcPr>
          <w:p>
            <w:pPr>
              <w:spacing w:after="0"/>
              <w:rPr>
                <w:sz w:val="13"/>
                <w:szCs w:val="13"/>
                <w:color w:val="auto"/>
              </w:rPr>
            </w:pPr>
          </w:p>
        </w:tc>
        <w:tc>
          <w:tcPr>
            <w:tcW w:w="9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Life</w:t>
            </w:r>
          </w:p>
        </w:tc>
        <w:tc>
          <w:tcPr>
            <w:tcW w:w="1540" w:type="dxa"/>
            <w:vAlign w:val="bottom"/>
            <w:gridSpan w:val="3"/>
          </w:tcPr>
          <w:p>
            <w:pPr>
              <w:ind w:left="140"/>
              <w:spacing w:after="0" w:line="148" w:lineRule="exact"/>
              <w:rPr>
                <w:sz w:val="20"/>
                <w:szCs w:val="20"/>
                <w:color w:val="auto"/>
              </w:rPr>
            </w:pPr>
            <w:r>
              <w:rPr>
                <w:rFonts w:ascii="Arial" w:cs="Arial" w:eastAsia="Arial" w:hAnsi="Arial"/>
                <w:sz w:val="14"/>
                <w:szCs w:val="14"/>
                <w:b w:val="1"/>
                <w:bCs w:val="1"/>
                <w:color w:val="auto"/>
              </w:rPr>
              <w:t>Exercise Price</w:t>
            </w: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200" w:type="dxa"/>
            <w:vAlign w:val="bottom"/>
            <w:gridSpan w:val="3"/>
          </w:tcPr>
          <w:p>
            <w:pPr>
              <w:ind w:left="280"/>
              <w:spacing w:after="0" w:line="148" w:lineRule="exact"/>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(Years)</w:t>
            </w:r>
          </w:p>
        </w:tc>
        <w:tc>
          <w:tcPr>
            <w:tcW w:w="7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$3.87</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$4.59</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968,509</w:t>
            </w:r>
          </w:p>
        </w:tc>
        <w:tc>
          <w:tcPr>
            <w:tcW w:w="1520" w:type="dxa"/>
            <w:vAlign w:val="bottom"/>
            <w:shd w:val="clear" w:color="auto" w:fill="CCEEFF"/>
          </w:tcPr>
          <w:p>
            <w:pPr>
              <w:jc w:val="right"/>
              <w:ind w:right="343"/>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139,488</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$5.18</w:t>
            </w:r>
          </w:p>
        </w:tc>
        <w:tc>
          <w:tcPr>
            <w:tcW w:w="1540" w:type="dxa"/>
            <w:vAlign w:val="bottom"/>
          </w:tcPr>
          <w:p>
            <w:pPr>
              <w:ind w:left="20"/>
              <w:spacing w:after="0"/>
              <w:rPr>
                <w:sz w:val="20"/>
                <w:szCs w:val="20"/>
                <w:color w:val="auto"/>
              </w:rPr>
            </w:pPr>
            <w:r>
              <w:rPr>
                <w:rFonts w:ascii="Arial" w:cs="Arial" w:eastAsia="Arial" w:hAnsi="Arial"/>
                <w:sz w:val="18"/>
                <w:szCs w:val="18"/>
                <w:color w:val="auto"/>
              </w:rPr>
              <w:t>— $6.00</w:t>
            </w:r>
          </w:p>
        </w:tc>
        <w:tc>
          <w:tcPr>
            <w:tcW w:w="4160" w:type="dxa"/>
            <w:vAlign w:val="bottom"/>
            <w:gridSpan w:val="3"/>
          </w:tcPr>
          <w:p>
            <w:pPr>
              <w:jc w:val="right"/>
              <w:ind w:right="160"/>
              <w:spacing w:after="0"/>
              <w:rPr>
                <w:sz w:val="20"/>
                <w:szCs w:val="20"/>
                <w:color w:val="auto"/>
              </w:rPr>
            </w:pPr>
            <w:r>
              <w:rPr>
                <w:rFonts w:ascii="Arial" w:cs="Arial" w:eastAsia="Arial" w:hAnsi="Arial"/>
                <w:sz w:val="18"/>
                <w:szCs w:val="18"/>
                <w:color w:val="auto"/>
              </w:rPr>
              <w:t>1,371,123</w:t>
            </w:r>
          </w:p>
        </w:tc>
        <w:tc>
          <w:tcPr>
            <w:tcW w:w="1520" w:type="dxa"/>
            <w:vAlign w:val="bottom"/>
          </w:tcPr>
          <w:p>
            <w:pPr>
              <w:jc w:val="right"/>
              <w:ind w:right="343"/>
              <w:spacing w:after="0"/>
              <w:rPr>
                <w:sz w:val="20"/>
                <w:szCs w:val="20"/>
                <w:color w:val="auto"/>
              </w:rPr>
            </w:pPr>
            <w:r>
              <w:rPr>
                <w:rFonts w:ascii="Arial" w:cs="Arial" w:eastAsia="Arial" w:hAnsi="Arial"/>
                <w:sz w:val="18"/>
                <w:szCs w:val="18"/>
                <w:color w:val="auto"/>
              </w:rPr>
              <w:t>4.35</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5.92</w:t>
            </w:r>
          </w:p>
        </w:tc>
        <w:tc>
          <w:tcPr>
            <w:tcW w:w="5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782,234</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$6.07</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$16.04</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1,167,223</w:t>
            </w:r>
          </w:p>
        </w:tc>
        <w:tc>
          <w:tcPr>
            <w:tcW w:w="1520" w:type="dxa"/>
            <w:vAlign w:val="bottom"/>
            <w:shd w:val="clear" w:color="auto" w:fill="CCEEFF"/>
          </w:tcPr>
          <w:p>
            <w:pPr>
              <w:jc w:val="right"/>
              <w:ind w:right="343"/>
              <w:spacing w:after="0"/>
              <w:rPr>
                <w:sz w:val="20"/>
                <w:szCs w:val="20"/>
                <w:color w:val="auto"/>
              </w:rPr>
            </w:pPr>
            <w:r>
              <w:rPr>
                <w:rFonts w:ascii="Arial" w:cs="Arial" w:eastAsia="Arial" w:hAnsi="Arial"/>
                <w:sz w:val="18"/>
                <w:szCs w:val="18"/>
                <w:color w:val="auto"/>
              </w:rPr>
              <w:t>4.08</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711,127</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$16.27 — $24.60</w:t>
            </w:r>
          </w:p>
        </w:tc>
        <w:tc>
          <w:tcPr>
            <w:tcW w:w="32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278,056</w:t>
            </w:r>
          </w:p>
        </w:tc>
        <w:tc>
          <w:tcPr>
            <w:tcW w:w="160" w:type="dxa"/>
            <w:vAlign w:val="bottom"/>
          </w:tcPr>
          <w:p>
            <w:pPr>
              <w:spacing w:after="0"/>
              <w:rPr>
                <w:sz w:val="19"/>
                <w:szCs w:val="19"/>
                <w:color w:val="auto"/>
              </w:rPr>
            </w:pPr>
          </w:p>
        </w:tc>
        <w:tc>
          <w:tcPr>
            <w:tcW w:w="1520" w:type="dxa"/>
            <w:vAlign w:val="bottom"/>
          </w:tcPr>
          <w:p>
            <w:pPr>
              <w:jc w:val="right"/>
              <w:ind w:right="343"/>
              <w:spacing w:after="0"/>
              <w:rPr>
                <w:sz w:val="20"/>
                <w:szCs w:val="20"/>
                <w:color w:val="auto"/>
              </w:rPr>
            </w:pPr>
            <w:r>
              <w:rPr>
                <w:rFonts w:ascii="Arial" w:cs="Arial" w:eastAsia="Arial" w:hAnsi="Arial"/>
                <w:sz w:val="18"/>
                <w:szCs w:val="18"/>
                <w:color w:val="auto"/>
              </w:rPr>
              <w:t>2.16</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21.89</w:t>
            </w:r>
          </w:p>
        </w:tc>
        <w:tc>
          <w:tcPr>
            <w:tcW w:w="5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278,056</w:t>
            </w:r>
          </w:p>
        </w:tc>
        <w:tc>
          <w:tcPr>
            <w:tcW w:w="280" w:type="dxa"/>
            <w:vAlign w:val="bottom"/>
          </w:tcPr>
          <w:p>
            <w:pPr>
              <w:spacing w:after="0"/>
              <w:rPr>
                <w:sz w:val="19"/>
                <w:szCs w:val="19"/>
                <w:color w:val="auto"/>
              </w:rPr>
            </w:pP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$3.87</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$24.60</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3,784,911</w:t>
            </w:r>
          </w:p>
        </w:tc>
        <w:tc>
          <w:tcPr>
            <w:tcW w:w="1520" w:type="dxa"/>
            <w:vAlign w:val="bottom"/>
            <w:shd w:val="clear" w:color="auto" w:fill="CCEEFF"/>
          </w:tcPr>
          <w:p>
            <w:pPr>
              <w:jc w:val="right"/>
              <w:ind w:right="343"/>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1,910,905</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recognized $1.2 million, $1.0 million and $0.8 million of compensation expense related to restricted stock awards and units during fiscal 2011, 2010 and 2009, respectively. The fair value of each restricted stock grant is based on the closing price of our Common Stock on the date of grant and is amortized to compensation expense over its vesting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status of our restricted stock as of July 1, 2011 and changes during fiscal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Weighted Average</w:t>
            </w: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Restricted stock outstanding as of July 2, 2010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392,369</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578,259</w:t>
            </w:r>
          </w:p>
        </w:tc>
        <w:tc>
          <w:tcPr>
            <w:tcW w:w="500" w:type="dxa"/>
            <w:vAlign w:val="bottom"/>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 and released</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(111,993)</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(126,515)</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outstanding as of July 1, 2011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732,120</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July 1, 2011, there was $2.5 million of total unrecognized compensation expense related to restricted stock awards under our 2007 Stock Equity Plan. This expense is expected to be recognized over a weighted-average period of 2.0 years. The total fair value of restricted stock that vested during fiscal 2011, 2010 and 2009 was $0.7 million, $1.6 million and $0.4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status of our performance shares as of July 1, 2011, and changes during fiscal 2011,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LTIP Plans:</w:t>
            </w:r>
          </w:p>
        </w:tc>
        <w:tc>
          <w:tcPr>
            <w:tcW w:w="68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Performance shares outstanding as of July 2, 2010</w:t>
            </w:r>
          </w:p>
        </w:tc>
        <w:tc>
          <w:tcPr>
            <w:tcW w:w="680" w:type="dxa"/>
            <w:vAlign w:val="bottom"/>
          </w:tcPr>
          <w:p>
            <w:pPr>
              <w:jc w:val="right"/>
              <w:spacing w:after="0"/>
              <w:rPr>
                <w:sz w:val="20"/>
                <w:szCs w:val="20"/>
                <w:color w:val="auto"/>
              </w:rPr>
            </w:pPr>
            <w:r>
              <w:rPr>
                <w:rFonts w:ascii="Arial" w:cs="Arial" w:eastAsia="Arial" w:hAnsi="Arial"/>
                <w:sz w:val="18"/>
                <w:szCs w:val="18"/>
                <w:color w:val="auto"/>
              </w:rPr>
              <w:t>646,783</w:t>
            </w:r>
          </w:p>
        </w:tc>
        <w:tc>
          <w:tcPr>
            <w:tcW w:w="480" w:type="dxa"/>
            <w:vAlign w:val="bottom"/>
          </w:tcPr>
          <w:p>
            <w:pPr>
              <w:spacing w:after="0"/>
              <w:rPr>
                <w:sz w:val="18"/>
                <w:szCs w:val="18"/>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533,971</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Vested and released</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 due to target thresholds not achieved</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(298,248)</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Forfeited due to terminations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(199,628)</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shares outstanding as of July 1, 2011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682,878</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PDIP Plans:</w:t>
            </w: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78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shares outstanding as of July 2, 2010</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566,662</w:t>
            </w:r>
          </w:p>
        </w:tc>
        <w:tc>
          <w:tcPr>
            <w:tcW w:w="480" w:type="dxa"/>
            <w:vAlign w:val="bottom"/>
          </w:tcPr>
          <w:p>
            <w:pPr>
              <w:spacing w:after="0"/>
              <w:rPr>
                <w:sz w:val="18"/>
                <w:szCs w:val="18"/>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released</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(293,177)</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Forfeited due to target thresholds not achieved</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 due to terminations</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(24,945)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3"/>
          </w:tcPr>
          <w:p>
            <w:pPr>
              <w:spacing w:after="0"/>
              <w:rPr>
                <w:sz w:val="20"/>
                <w:szCs w:val="20"/>
                <w:color w:val="auto"/>
              </w:rPr>
            </w:pPr>
            <w:r>
              <w:rPr>
                <w:rFonts w:ascii="Arial" w:cs="Arial" w:eastAsia="Arial" w:hAnsi="Arial"/>
                <w:sz w:val="18"/>
                <w:szCs w:val="18"/>
                <w:color w:val="auto"/>
              </w:rPr>
              <w:t>Performance shares outstanding as of July 1, 2011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248,540</w:t>
            </w:r>
          </w:p>
        </w:tc>
        <w:tc>
          <w:tcPr>
            <w:tcW w:w="480" w:type="dxa"/>
            <w:vAlign w:val="bottom"/>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fiscal 2011, 2010 and 2009, we recorded compensation expense (credit) of $1.2 million, $(0.3) million and $(0.9) million, respectively, for all performance share awards. The fair value of each performance share is based on the closing price of our common stock on the date of grant and is amortized to compensation expense over its vesting period if achievement of the performance conditions is considered probable. Any previously recognized compensation cost would be reversed, if the performance condition is not satisfied or if it is not probable that the performance conditions will be achieved.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August 2010, our Board of Directors approved a PDIP to make a one-time grant of 566,662 performance shares to employees related to several new product development projects. During fiscal 2011, 293,177 performance shares were vested upon achievements of development milestones. We recorded a total of $1.5 million share-based compensation expense related to performance shares under this PDIP in fiscal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During fiscal 2011, we determined that the three-year cash flow target for performance shares made under our fiscal 2011 and fiscal 2010 LTIPs would probably not be achieved at the end of the plan years. We also determined that the three-year performance period minimum threshold targets were not achieved for performance shares made under our fiscal 2009 LTIP and these shares were canceled in July 2011. Accordingly, we recorded zero compensation expense related to LTIP awards and reversed a $0.3 million previously recognized compensation costs related to LTIP awards in fiscal 2011.</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During fiscal 2010, we determined that the three-year performance period minimum threshold targets would not be achieved for performance share awards made under our fiscal year 2009 LTIP and we estimated that 100% of these awards would not vest and would be forfeited at the end of the plan year. As a result, we recorded a $0.6 million credit to compensation expense during fiscal 2010 related to these awards.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During fiscal 2009, we determined that the net income and cash flow targets would not be achieved for performance share awards made under our fiscal year 2007 LTIP. Accordingly, these awards did not vest and were forfeited as of July 3, 2009. As a result, we recorded a credit to compensation expense of $1.6 million during fiscal 2009 related to these awards.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July 1, 2011, there was $0.1 million of total unrecognized compensation expense related to performance share awards. This expense is expected to be recognized over a weighted-average period of 0.21 years. The total fair value of performance share awards that vested during fiscal 2011 was $1.2 million, with none in fiscal 2010 and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and Class B Common Stock</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From the time we acquired Stratex Networks, Inc. (“Stratex”) on January 26, 2007, Harris owned 32,913,377 shares or 100% of our Class B Common Stock which approximated 56% of the total shares of our common stock. On May 27, 2009 Harris effected a spin-off, in the form of a taxable pro rata stock dividend, to its stockholders of all the shares of Harris Stratex owned by Harris. Harris stockholders received approximately 0.24 of a share of Harris Stratex Class A Common Stock for every share of Harris common stock they owned on the record date. The Class B Common Stock automatically converted to Class A Common Stock upon the spin-off event. Following the distribution, only Class A Common Stock was outstanding.</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November 19, 2009, under a change to our certificate of incorporation approved by stockholders, all shares of our Class A common stock were reclassified on a one-to-one basis to shares of Common Stock without a class designation; we no longer have Class A or Class B common stock authorized, issued or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Purchase Rights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 April 20, 2009, our board of directors adopted a rights plan. The terms of the rights and the rights plan are set forth in a Rights Agreement dated as of April 20, 2009 (the “Rights Plan”). The Rights Plan was intended to act as a deterrent to any person or group acquiring 15% or more of our outstanding common stock without the approval of our board of directors. The Rights Plan expired by its own terms on January 20, 2010.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operating loss by segment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6"/>
              </w:rPr>
              <w:t>2010</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North America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$160.4</w:t>
            </w: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174.8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446.0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678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452.1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465.5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677.9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North America(1)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(21.3)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(52.8)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(266.3)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Loss</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6780" w:type="dxa"/>
            <w:vAlign w:val="bottom"/>
            <w:gridSpan w:val="2"/>
            <w:vMerge w:val="continue"/>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(34.6)</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(111.5)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(329.1)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tables summarize certain charges, expenses and gains included in the North America segment operating results during fiscal 2011,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 —</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Intangible impairment charges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impairment charges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Rebranding and transitional costs</w:t>
            </w: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for product transition, product discontinuances and inventory mark-downs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Amortization of purchased technology and intangible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11.7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Amortization of the fair value adjustments related to fixed assets and inventory</w:t>
            </w: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from sale of building</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55.1</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81.5</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tables summarize certain charges, expenses and gains included in the International segment operating results during fiscal 2011,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charges</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8"/>
              </w:rPr>
              <w:t>$ —</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Intangible impairment charges</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52.6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impairment charges</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 product discontinuances and inventory mark-downs</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Amortization of purchased technology and intangible assets</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 and inventory</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Other charges or adjustments</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$ 1.</w:t>
            </w:r>
            <w:r>
              <w:rPr>
                <w:rFonts w:ascii="Arial" w:cs="Arial" w:eastAsia="Arial" w:hAnsi="Arial"/>
                <w:sz w:val="18"/>
                <w:szCs w:val="18"/>
                <w:u w:val="single" w:color="auto"/>
                <w:color w:val="auto"/>
                <w:w w:val="84"/>
              </w:rPr>
              <w:t>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$ 4.0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58.7</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ind w:left="5620"/>
              <w:spacing w:after="0"/>
              <w:rPr>
                <w:sz w:val="20"/>
                <w:szCs w:val="20"/>
                <w:color w:val="auto"/>
              </w:rPr>
            </w:pPr>
            <w:r>
              <w:rPr>
                <w:rFonts w:ascii="Arial" w:cs="Arial" w:eastAsia="Arial" w:hAnsi="Arial"/>
                <w:sz w:val="18"/>
                <w:szCs w:val="18"/>
                <w:color w:val="auto"/>
              </w:rPr>
              <w:t>90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report revenue by country based on the location where our customers accept delivery of our products and services. Revenue by country comprising more than 5% of our sales to unaffiliated customers for fiscal 2011, 2010 and 2009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2011</w:t>
            </w:r>
          </w:p>
        </w:tc>
        <w:tc>
          <w:tcPr>
            <w:tcW w:w="1220" w:type="dxa"/>
            <w:vAlign w:val="bottom"/>
          </w:tcPr>
          <w:p>
            <w:pPr>
              <w:jc w:val="right"/>
              <w:ind w:right="296"/>
              <w:spacing w:after="0"/>
              <w:rPr>
                <w:sz w:val="20"/>
                <w:szCs w:val="20"/>
                <w:color w:val="auto"/>
              </w:rPr>
            </w:pPr>
            <w:r>
              <w:rPr>
                <w:rFonts w:ascii="Arial" w:cs="Arial" w:eastAsia="Arial" w:hAnsi="Arial"/>
                <w:sz w:val="14"/>
                <w:szCs w:val="14"/>
                <w:b w:val="1"/>
                <w:bCs w:val="1"/>
                <w:color w:val="auto"/>
              </w:rPr>
              <w:t>% of Total</w:t>
            </w:r>
          </w:p>
        </w:tc>
        <w:tc>
          <w:tcPr>
            <w:tcW w:w="940" w:type="dxa"/>
            <w:vAlign w:val="bottom"/>
          </w:tcPr>
          <w:p>
            <w:pPr>
              <w:jc w:val="right"/>
              <w:ind w:right="259"/>
              <w:spacing w:after="0"/>
              <w:rPr>
                <w:sz w:val="20"/>
                <w:szCs w:val="20"/>
                <w:color w:val="auto"/>
              </w:rPr>
            </w:pPr>
            <w:r>
              <w:rPr>
                <w:rFonts w:ascii="Arial" w:cs="Arial" w:eastAsia="Arial" w:hAnsi="Arial"/>
                <w:sz w:val="14"/>
                <w:szCs w:val="14"/>
                <w:b w:val="1"/>
                <w:bCs w:val="1"/>
                <w:color w:val="auto"/>
              </w:rPr>
              <w:t>2010</w:t>
            </w:r>
          </w:p>
        </w:tc>
        <w:tc>
          <w:tcPr>
            <w:tcW w:w="1220" w:type="dxa"/>
            <w:vAlign w:val="bottom"/>
          </w:tcPr>
          <w:p>
            <w:pPr>
              <w:jc w:val="right"/>
              <w:ind w:right="276"/>
              <w:spacing w:after="0"/>
              <w:rPr>
                <w:sz w:val="20"/>
                <w:szCs w:val="20"/>
                <w:color w:val="auto"/>
              </w:rPr>
            </w:pPr>
            <w:r>
              <w:rPr>
                <w:rFonts w:ascii="Arial" w:cs="Arial" w:eastAsia="Arial" w:hAnsi="Arial"/>
                <w:sz w:val="14"/>
                <w:szCs w:val="14"/>
                <w:b w:val="1"/>
                <w:bCs w:val="1"/>
                <w:color w:val="auto"/>
              </w:rPr>
              <w:t>% of Total</w:t>
            </w:r>
          </w:p>
        </w:tc>
        <w:tc>
          <w:tcPr>
            <w:tcW w:w="9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2009</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 of Total</w:t>
            </w:r>
          </w:p>
        </w:tc>
      </w:tr>
      <w:tr>
        <w:trPr>
          <w:trHeight w:val="142"/>
        </w:trPr>
        <w:tc>
          <w:tcPr>
            <w:tcW w:w="31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b w:val="1"/>
                <w:bCs w:val="1"/>
                <w:color w:val="auto"/>
              </w:rPr>
              <w:t>(In millions)</w:t>
            </w:r>
          </w:p>
        </w:tc>
        <w:tc>
          <w:tcPr>
            <w:tcW w:w="9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$147.2</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32.6%</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$157.1</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33.8%</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$208.5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Nigeria</w:t>
            </w:r>
          </w:p>
        </w:tc>
        <w:tc>
          <w:tcPr>
            <w:tcW w:w="2900" w:type="dxa"/>
            <w:vAlign w:val="bottom"/>
            <w:gridSpan w:val="2"/>
          </w:tcPr>
          <w:p>
            <w:pPr>
              <w:jc w:val="right"/>
              <w:ind w:right="240"/>
              <w:spacing w:after="0"/>
              <w:rPr>
                <w:sz w:val="20"/>
                <w:szCs w:val="20"/>
                <w:color w:val="auto"/>
              </w:rPr>
            </w:pPr>
            <w:r>
              <w:rPr>
                <w:rFonts w:ascii="Arial" w:cs="Arial" w:eastAsia="Arial" w:hAnsi="Arial"/>
                <w:sz w:val="18"/>
                <w:szCs w:val="18"/>
                <w:color w:val="auto"/>
              </w:rPr>
              <w:t>78.0</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17.3%</w:t>
            </w:r>
          </w:p>
        </w:tc>
        <w:tc>
          <w:tcPr>
            <w:tcW w:w="940" w:type="dxa"/>
            <w:vAlign w:val="bottom"/>
          </w:tcPr>
          <w:p>
            <w:pPr>
              <w:jc w:val="right"/>
              <w:ind w:right="159"/>
              <w:spacing w:after="0"/>
              <w:rPr>
                <w:sz w:val="20"/>
                <w:szCs w:val="20"/>
                <w:color w:val="auto"/>
              </w:rPr>
            </w:pPr>
            <w:r>
              <w:rPr>
                <w:rFonts w:ascii="Arial" w:cs="Arial" w:eastAsia="Arial" w:hAnsi="Arial"/>
                <w:sz w:val="18"/>
                <w:szCs w:val="18"/>
                <w:color w:val="auto"/>
              </w:rPr>
              <w:t>83.8</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18.0%</w:t>
            </w:r>
          </w:p>
        </w:tc>
        <w:tc>
          <w:tcPr>
            <w:tcW w:w="960" w:type="dxa"/>
            <w:vAlign w:val="bottom"/>
          </w:tcPr>
          <w:p>
            <w:pPr>
              <w:jc w:val="right"/>
              <w:ind w:right="156"/>
              <w:spacing w:after="0"/>
              <w:rPr>
                <w:sz w:val="20"/>
                <w:szCs w:val="20"/>
                <w:color w:val="auto"/>
              </w:rPr>
            </w:pPr>
            <w:r>
              <w:rPr>
                <w:rFonts w:ascii="Arial" w:cs="Arial" w:eastAsia="Arial" w:hAnsi="Arial"/>
                <w:sz w:val="18"/>
                <w:szCs w:val="18"/>
                <w:color w:val="auto"/>
              </w:rPr>
              <w:t>145.9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Saudi Arabia</w:t>
            </w:r>
          </w:p>
        </w:tc>
        <w:tc>
          <w:tcPr>
            <w:tcW w:w="2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33.0</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7.1%</w:t>
            </w:r>
          </w:p>
        </w:tc>
        <w:tc>
          <w:tcPr>
            <w:tcW w:w="9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Poland</w:t>
            </w:r>
          </w:p>
        </w:tc>
        <w:tc>
          <w:tcPr>
            <w:tcW w:w="2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1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6"/>
              <w:spacing w:after="0"/>
              <w:rPr>
                <w:sz w:val="20"/>
                <w:szCs w:val="20"/>
                <w:color w:val="auto"/>
              </w:rPr>
            </w:pPr>
            <w:r>
              <w:rPr>
                <w:rFonts w:ascii="Arial" w:cs="Arial" w:eastAsia="Arial" w:hAnsi="Arial"/>
                <w:sz w:val="18"/>
                <w:szCs w:val="18"/>
                <w:color w:val="auto"/>
              </w:rPr>
              <w:t>36.5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Accounted for less than 5% of total revenue during the fiscal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Long-lived assets consisted primarily of identifiable intangible assets, goodwill and property, plant and equipment. Long-lived assets by location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July 1, 2011 and July 2, 2010 are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2"/>
              </w:rPr>
              <w:t>July 1,</w:t>
            </w:r>
          </w:p>
        </w:tc>
        <w:tc>
          <w:tcPr>
            <w:tcW w:w="6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July 2,</w:t>
            </w: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40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2011</w:t>
            </w:r>
          </w:p>
        </w:tc>
        <w:tc>
          <w:tcPr>
            <w:tcW w:w="100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0" w:type="dxa"/>
            <w:vAlign w:val="bottom"/>
            <w:tcBorders>
              <w:top w:val="single" w:sz="8" w:color="auto"/>
            </w:tcBorders>
            <w:gridSpan w:val="3"/>
          </w:tcPr>
          <w:p>
            <w:pPr>
              <w:jc w:val="right"/>
              <w:ind w:right="282"/>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Singapore</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countries</w:t>
            </w:r>
          </w:p>
        </w:tc>
        <w:tc>
          <w:tcPr>
            <w:tcW w:w="30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from continuing operations before provision for (benefit from) income taxes during fiscal year 2011, 2010 and 2009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0"/>
              </w:rPr>
              <w:t>$ (32.3)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Foreign</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(31.8)</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(147.8)</w:t>
            </w:r>
          </w:p>
        </w:tc>
      </w:tr>
      <w:tr>
        <w:trPr>
          <w:trHeight w:val="27"/>
        </w:trPr>
        <w:tc>
          <w:tcPr>
            <w:tcW w:w="66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(44.7)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(112.2)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(331.0)</w:t>
            </w:r>
          </w:p>
        </w:tc>
      </w:tr>
      <w:tr>
        <w:trPr>
          <w:trHeight w:val="20"/>
        </w:trPr>
        <w:tc>
          <w:tcPr>
            <w:tcW w:w="6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 (benefit) for income taxes from continuing operations for fiscal year 2011, 2010 and 2009 are summarized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United States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$(4.4)</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State and local</w:t>
            </w:r>
          </w:p>
        </w:tc>
        <w:tc>
          <w:tcPr>
            <w:tcW w:w="3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provision</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Deferred provision (benefit):</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12.0</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(4.2)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3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Total deferred provision (benefit)</w:t>
            </w: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12.0</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(4.2)</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8"/>
        </w:trPr>
        <w:tc>
          <w:tcPr>
            <w:tcW w:w="3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14.1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580" w:type="dxa"/>
            <w:vAlign w:val="bottom"/>
            <w:vMerge w:val="restart"/>
          </w:tcPr>
          <w:p>
            <w:pPr>
              <w:jc w:val="right"/>
              <w:ind w:right="2137"/>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our effective tax rate from continuing operations for fiscal year 2011, 2010 and 2009:</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tax rate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(35.0)%</w:t>
            </w: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(35.0)%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(35.0)%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Valuation allowances</w:t>
            </w:r>
          </w:p>
        </w:tc>
        <w:tc>
          <w:tcPr>
            <w:tcW w:w="440" w:type="dxa"/>
            <w:vAlign w:val="bottom"/>
          </w:tcPr>
          <w:p>
            <w:pPr>
              <w:jc w:val="right"/>
              <w:spacing w:after="0"/>
              <w:rPr>
                <w:sz w:val="20"/>
                <w:szCs w:val="20"/>
                <w:color w:val="auto"/>
              </w:rPr>
            </w:pPr>
            <w:r>
              <w:rPr>
                <w:rFonts w:ascii="Arial" w:cs="Arial" w:eastAsia="Arial" w:hAnsi="Arial"/>
                <w:sz w:val="18"/>
                <w:szCs w:val="18"/>
                <w:color w:val="auto"/>
              </w:rPr>
              <w:t>51.9</w:t>
            </w:r>
          </w:p>
        </w:tc>
        <w:tc>
          <w:tcPr>
            <w:tcW w:w="400" w:type="dxa"/>
            <w:vAlign w:val="bottom"/>
          </w:tcPr>
          <w:p>
            <w:pPr>
              <w:spacing w:after="0"/>
              <w:rPr>
                <w:sz w:val="18"/>
                <w:szCs w:val="18"/>
                <w:color w:val="auto"/>
              </w:rPr>
            </w:pPr>
          </w:p>
        </w:tc>
        <w:tc>
          <w:tcPr>
            <w:tcW w:w="1480" w:type="dxa"/>
            <w:vAlign w:val="bottom"/>
            <w:gridSpan w:val="3"/>
          </w:tcPr>
          <w:p>
            <w:pPr>
              <w:jc w:val="right"/>
              <w:ind w:right="740"/>
              <w:spacing w:after="0"/>
              <w:rPr>
                <w:sz w:val="20"/>
                <w:szCs w:val="20"/>
                <w:color w:val="auto"/>
              </w:rPr>
            </w:pPr>
            <w:r>
              <w:rPr>
                <w:rFonts w:ascii="Arial" w:cs="Arial" w:eastAsia="Arial" w:hAnsi="Arial"/>
                <w:sz w:val="18"/>
                <w:szCs w:val="18"/>
                <w:color w:val="auto"/>
              </w:rPr>
              <w:t>5.7</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 net of U.S. Federal tax benefit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14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(0.5)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Goodwill impairment not deductible</w:t>
            </w: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480" w:type="dxa"/>
            <w:vAlign w:val="bottom"/>
            <w:gridSpan w:val="3"/>
          </w:tcPr>
          <w:p>
            <w:pPr>
              <w:jc w:val="right"/>
              <w:ind w:right="740"/>
              <w:spacing w:after="0"/>
              <w:rPr>
                <w:sz w:val="20"/>
                <w:szCs w:val="20"/>
                <w:color w:val="auto"/>
              </w:rPr>
            </w:pPr>
            <w:r>
              <w:rPr>
                <w:rFonts w:ascii="Arial" w:cs="Arial" w:eastAsia="Arial" w:hAnsi="Arial"/>
                <w:sz w:val="18"/>
                <w:szCs w:val="18"/>
                <w:color w:val="auto"/>
              </w:rPr>
              <w:t>0.9</w:t>
            </w: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rates less than the U.S. statutory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Dividend from foreign subsidiary</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740"/>
              <w:spacing w:after="0"/>
              <w:rPr>
                <w:sz w:val="20"/>
                <w:szCs w:val="20"/>
                <w:color w:val="auto"/>
              </w:rPr>
            </w:pPr>
            <w:r>
              <w:rPr>
                <w:rFonts w:ascii="Arial" w:cs="Arial" w:eastAsia="Arial" w:hAnsi="Arial"/>
                <w:sz w:val="18"/>
                <w:szCs w:val="18"/>
                <w:color w:val="auto"/>
              </w:rPr>
              <w:t>15.6</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Foreign Branch Income/Withholding Taxes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1.6</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0.7</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r>
      <w:tr>
        <w:trPr>
          <w:trHeight w:val="27"/>
        </w:trPr>
        <w:tc>
          <w:tcPr>
            <w:tcW w:w="6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w:t>
            </w: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0"/>
        </w:trPr>
        <w:tc>
          <w:tcPr>
            <w:tcW w:w="6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8"/>
              </w:rPr>
              <w:t>July 1, 2011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8"/>
              </w:rPr>
              <w:t>July 2, 2010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Current</w:t>
            </w:r>
          </w:p>
        </w:tc>
        <w:tc>
          <w:tcPr>
            <w:tcW w:w="74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Current</w:t>
            </w:r>
          </w:p>
        </w:tc>
        <w:tc>
          <w:tcPr>
            <w:tcW w:w="74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Inventory</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Unrealized impairment loss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reserves and accruals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Bad debts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Depreciation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foreign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Severance and restructuring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Unrealized exchange gain/loss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Tax loss carryforwards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121.1</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164.6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(32.5)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(163.9)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(34.6)</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(148.8)</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Branch undistributed earnings reserve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consolidated balance sheet as of July 1, 2011 includes a total net current deferred income tax liability of $0.1 million and net non-current deferred income tax liability of $0.7 million. This compares to a total net non-current deferred income tax asset of $12.5 million as of July 2, 2010. For all jurisdictions for which we have deferred tax assets, these deferred tax assets are more likely than not to be realized based on criteria in ASC 740. Our valuation allowance related to deferred income taxes, as reflected in our consolidated balance sheet, was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$196.4 million as of July 1, 2011 and $183.4 million as of July 2, 2010. The increase in valuation allowance from fiscal 2010 to fiscal 2011 was primarily due to our establishing additional valuation allowance against certain foreign jurisdiction’s deferred tax assets. The effective tax rate in the fiscal year ended July 1, 2011 was impacted unfavorably by a valuation allowance recorded on certain deferred tax assets where it was determined it was not more likely than not that the assets would be realized. The net change in the valuation allowance impacting the effective tax rate during the year ended July 1, 2011 was an increase of $13.0 million.</w:t>
      </w:r>
    </w:p>
    <w:p>
      <w:pPr>
        <w:spacing w:after="0" w:line="9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effective tax rate in the fiscal year ended July 2, 2010 was impacted unfavorably by a valuation allowance recorded on certain deferred tax assets where it was determined it was not more likely than not that the assets would be realized. The net change in the valuation allowance impacting the effective tax rate during the year ended July 2, 2010 was an increase of $14.5 million.</w:t>
      </w:r>
    </w:p>
    <w:p>
      <w:pPr>
        <w:spacing w:after="0" w:line="14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Tax loss and credit carryforwards as of July 1, 2011 have expiration dates ranging between one year and no expiration in certain instances. The amount of U.S. federal tax loss carryforwards as of July 1, 2011 and July 2, 2010 were $249.7 million and $224.7 million and begin to expire in fiscal 2022. United States income taxes have not been provided on basis differences in foreign subsidiaries of $12.4 million and $18.2 million as of July 1, 2011 and July 2, 2010, because of our intention to reinvest these earnings indefinitely. The residual U.S. tax liability, if such amounts were remitted, would be nominal.</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Credit carryforwards as of July 1, 2011 and July 2, 2010 were $20.3 million and $24.5 million and certain credits began to expire in fiscal 2011. The amount of foreign tax loss carryforwards as of July 1, 2011 and July 2, 2010 was $163.9 million and $100.1 million, respectively. The utilization of a portion of the U.S. net operating losses created prior to the merger is subject to an annual limitation under Section 382 of the Internal Revenue Code as a result of a change of ownership.</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year ended July 1, 2011, some tax benefits recognized that were associated with Mexico deferred tax assets were accounted for through the statement of operations. This realization resulted in a reduction of the valuation allowance of $1.6 million.</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established our International Headquarters in Singapore and received a favorable tax ruling resulting from an application filed by us with the Singapore Economic Development Board (“EDB”) effective January 26, 2007. This favorable tax ruling calls for a 10% effective tax rate to be applied over a five year period provided certain milestones and objectives are met. Due to the tax losses in Singapore, we did not realize any tax benefits in Singapore during fiscal 2011. We are currently in negotiation with EDB in amending the tax ruling.</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entered into a tax sharing agreement with Harris Corporation effective on January 26, 2007, the date of the merger. The tax sharing agreement addresses, among other things, the settlement process associated with pre-merger tax liabilities and tax attributes that are attributable to the MCD business when it was a division of Harris Corporation. There were no settlement payments recorded in fiscal year 2011, 2010 or 2009.</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As of July 1, 2011 and July 2, 2010, we had a liability for unrecognized tax benefits of $14.0 million and $14.9 million for various federal, foreign, and state income tax matters. Unrecognized tax benefits decreased by $0.9 million. If the unrecognized tax benefits associated with these positions are ultimately recognized, they would not be expected to have a material impact on our effective tax rate or financial position.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income taxes. We did not accrue an additional amount for such interest as of July 1, 2011 and July 2, 2010. No penalties have been accrued.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expect that the amount of unrecognized tax benefit may change in the next twelve months; however, it is not expected to have a significant impact on our results of operations, financial position or cash flows due to net operating losses with full valuation allowance.</w:t>
      </w:r>
    </w:p>
    <w:p>
      <w:pPr>
        <w:sectPr>
          <w:pgSz w:w="11900" w:h="16838" w:orient="portrait"/>
          <w:cols w:equalWidth="0" w:num="1">
            <w:col w:w="11400"/>
          </w:cols>
          <w:pgMar w:left="240" w:top="459" w:right="259" w:bottom="1440" w:gutter="0" w:footer="0" w:header="0"/>
        </w:sectPr>
      </w:pP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unrecognized tax benefit activity for fiscal 2011, 2010 and 2009 is as follows (in millions):</w:t>
      </w: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Unrecognized tax benefit as of June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Additions for tax positions in prior periods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Unrecognized tax benefit as of July 3, 2009</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Decreases for tax positions in prior periods</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Unrecognized tax benefit as of July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Additions for tax positions in current periods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Unrecognized tax benefit as of July 1,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right"/>
        <w:ind w:right="1920"/>
        <w:spacing w:after="0"/>
        <w:rPr>
          <w:sz w:val="20"/>
          <w:szCs w:val="20"/>
          <w:color w:val="auto"/>
        </w:rPr>
      </w:pPr>
      <w:r>
        <w:rPr>
          <w:rFonts w:ascii="Arial" w:cs="Arial" w:eastAsia="Arial" w:hAnsi="Arial"/>
          <w:sz w:val="16"/>
          <w:szCs w:val="16"/>
          <w:color w:val="auto"/>
        </w:rPr>
        <w:t>$ 29.6</w:t>
      </w:r>
    </w:p>
    <w:p>
      <w:pPr>
        <w:spacing w:after="0" w:line="38"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1.5</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wp:posOffset>
            </wp:positionV>
            <wp:extent cx="3003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30.9</w:t>
      </w:r>
    </w:p>
    <w:p>
      <w:pPr>
        <w:spacing w:after="0" w:line="15"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wp:posOffset>
            </wp:positionV>
            <wp:extent cx="3003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0"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14.9</w:t>
      </w:r>
    </w:p>
    <w:p>
      <w:pPr>
        <w:spacing w:after="0" w:line="15"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wp:posOffset>
            </wp:positionV>
            <wp:extent cx="3003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10" w:lineRule="exact"/>
        <w:rPr>
          <w:sz w:val="20"/>
          <w:szCs w:val="20"/>
          <w:color w:val="auto"/>
        </w:rPr>
      </w:pPr>
    </w:p>
    <w:p>
      <w:pPr>
        <w:jc w:val="center"/>
        <w:ind w:right="1920"/>
        <w:spacing w:after="0"/>
        <w:rPr>
          <w:sz w:val="20"/>
          <w:szCs w:val="20"/>
          <w:color w:val="auto"/>
        </w:rPr>
      </w:pPr>
      <w:r>
        <w:rPr>
          <w:rFonts w:ascii="Arial" w:cs="Arial" w:eastAsia="Arial" w:hAnsi="Arial"/>
          <w:sz w:val="16"/>
          <w:szCs w:val="16"/>
          <w:u w:val="single" w:color="auto"/>
          <w:color w:val="auto"/>
        </w:rPr>
        <w:t>$ 14.0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42545</wp:posOffset>
            </wp:positionV>
            <wp:extent cx="3003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280" w:space="720"/>
            <w:col w:w="2400"/>
          </w:cols>
          <w:pgMar w:left="240" w:top="459" w:right="25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number of years with open tax audits which vary from jurisdiction to jurisdiction. Our major tax jurisdictions include the U.S., Singapore,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Poland, Nigeria, France and the U.K. The earliest years still open and subject to potential audits for these jurisdictions are as follows: Singapore —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 — 2006; Nigeria — 2004; France — 2008; U.K. — 2010; and Australia — 2007. For other foreign jurisdictions, the earliest years still open and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audits vary from year 2006 to year 2011. As of July 1, 2011, we are under audit by the U.S. Internal Revenue Service for the June 27, 2008 tax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Because of net operating loss carryforwards that remain subject to audit, the company is, in effect, open for U.S. exam for years back to 1993. In current year,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audit began in Nigeria for our 2004 through 2009 tax year.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Operating Lease Commitments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July 1, 2011, future minimum lease payments for our headquarters total $22.1 million through April 2021.</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July 1, 2011, our future minimum commitments, net of $2.4 million future proceeds from non-cancelable subleases, for all non-cancelable operating leases with an initial lease term in excess of one year are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Fiscal Years</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Ending in</w:t>
            </w: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w:t>
            </w: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millions)</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2013</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2015</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Rental expense for operating leases, including rentals on a month-to-month basis was $11.1 million, $12.7 million and $11.9 million in fiscal 2011, 2010 and 2009,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Risk Management, Derivative Financial Instruments and Hedging Activities</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are exposed to global market risks, including the effect of changes in foreign currency exchange rates, and use derivatives to manage financial exposures that occur in the normal course of business. We do not hold nor issue derivatives for trading purposes or make speculative investments in foreign currencies.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product sales on the consolidated statements of operations together with the transaction gain or loss from the hedged balance sheet position.</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Substantially all derivatives outstanding as of July 1, 2011 are designated as cash flow hedges or non-designated hedges of recorded balance sheet positions. All derivatives are recognized on the balance sheet at their fair value. The total gross notional amount of outstanding derivatives as of July 1, 2011 was $61.5 million, of which $9.4 million were designated as cash flow hedges and $52.1million were not designated as cash flow hedging instruments.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July 1, 2011, we had 49 foreign currency forward contracts outstanding with a total net notional amount of $31.6 million consisting of 13 different currencies, primarily the Canadian dollar, Euro, Philippine peso, Polish zloty and Republic of South Africa rand.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by currency of the contract net notional amounts grouped by the underlying foreign currency as of July 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2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Contract Amount</w:t>
            </w:r>
          </w:p>
        </w:tc>
        <w:tc>
          <w:tcPr>
            <w:tcW w:w="1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2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(Local Currency)</w:t>
            </w:r>
          </w:p>
        </w:tc>
        <w:tc>
          <w:tcPr>
            <w:tcW w:w="16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(USD)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 (“CAD”) net contracts to receive (pay) USD</w:t>
            </w:r>
          </w:p>
        </w:tc>
        <w:tc>
          <w:tcPr>
            <w:tcW w:w="3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(CAD)</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Euro (“EUR”) net contracts to receive (pay) USD</w:t>
            </w:r>
          </w:p>
        </w:tc>
        <w:tc>
          <w:tcPr>
            <w:tcW w:w="3440" w:type="dxa"/>
            <w:vAlign w:val="bottom"/>
          </w:tcPr>
          <w:p>
            <w:pPr>
              <w:spacing w:after="0"/>
              <w:rPr>
                <w:sz w:val="18"/>
                <w:szCs w:val="18"/>
                <w:color w:val="auto"/>
              </w:rPr>
            </w:pPr>
          </w:p>
        </w:tc>
        <w:tc>
          <w:tcPr>
            <w:tcW w:w="700" w:type="dxa"/>
            <w:vAlign w:val="bottom"/>
          </w:tcPr>
          <w:p>
            <w:pPr>
              <w:jc w:val="right"/>
              <w:ind w:right="78"/>
              <w:spacing w:after="0"/>
              <w:rPr>
                <w:sz w:val="20"/>
                <w:szCs w:val="20"/>
                <w:color w:val="auto"/>
              </w:rPr>
            </w:pPr>
            <w:r>
              <w:rPr>
                <w:rFonts w:ascii="Arial" w:cs="Arial" w:eastAsia="Arial" w:hAnsi="Arial"/>
                <w:sz w:val="18"/>
                <w:szCs w:val="18"/>
                <w:color w:val="auto"/>
              </w:rPr>
              <w:t>(EUR)</w:t>
            </w:r>
          </w:p>
        </w:tc>
        <w:tc>
          <w:tcPr>
            <w:tcW w:w="1020" w:type="dxa"/>
            <w:vAlign w:val="bottom"/>
          </w:tcPr>
          <w:p>
            <w:pPr>
              <w:jc w:val="right"/>
              <w:ind w:right="196"/>
              <w:spacing w:after="0"/>
              <w:rPr>
                <w:sz w:val="20"/>
                <w:szCs w:val="20"/>
                <w:color w:val="auto"/>
              </w:rPr>
            </w:pPr>
            <w:r>
              <w:rPr>
                <w:rFonts w:ascii="Arial" w:cs="Arial" w:eastAsia="Arial" w:hAnsi="Arial"/>
                <w:sz w:val="18"/>
                <w:szCs w:val="18"/>
                <w:color w:val="auto"/>
              </w:rPr>
              <w:t>10.2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 (“PHP”) net contracts to receive (pay) USD</w:t>
            </w:r>
          </w:p>
        </w:tc>
        <w:tc>
          <w:tcPr>
            <w:tcW w:w="3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(PHP)</w:t>
            </w:r>
          </w:p>
        </w:tc>
        <w:tc>
          <w:tcPr>
            <w:tcW w:w="10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(181.1)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Polish zloty (“PLN”) net contracts to receive (pay) USD</w:t>
            </w:r>
          </w:p>
        </w:tc>
        <w:tc>
          <w:tcPr>
            <w:tcW w:w="3440" w:type="dxa"/>
            <w:vAlign w:val="bottom"/>
          </w:tcPr>
          <w:p>
            <w:pPr>
              <w:spacing w:after="0"/>
              <w:rPr>
                <w:sz w:val="18"/>
                <w:szCs w:val="18"/>
                <w:color w:val="auto"/>
              </w:rPr>
            </w:pPr>
          </w:p>
        </w:tc>
        <w:tc>
          <w:tcPr>
            <w:tcW w:w="700" w:type="dxa"/>
            <w:vAlign w:val="bottom"/>
          </w:tcPr>
          <w:p>
            <w:pPr>
              <w:jc w:val="right"/>
              <w:ind w:right="78"/>
              <w:spacing w:after="0"/>
              <w:rPr>
                <w:sz w:val="20"/>
                <w:szCs w:val="20"/>
                <w:color w:val="auto"/>
              </w:rPr>
            </w:pPr>
            <w:r>
              <w:rPr>
                <w:rFonts w:ascii="Arial" w:cs="Arial" w:eastAsia="Arial" w:hAnsi="Arial"/>
                <w:sz w:val="18"/>
                <w:szCs w:val="18"/>
                <w:color w:val="auto"/>
              </w:rPr>
              <w:t>(PLN)</w:t>
            </w:r>
          </w:p>
        </w:tc>
        <w:tc>
          <w:tcPr>
            <w:tcW w:w="1020" w:type="dxa"/>
            <w:vAlign w:val="bottom"/>
          </w:tcPr>
          <w:p>
            <w:pPr>
              <w:jc w:val="right"/>
              <w:ind w:right="196"/>
              <w:spacing w:after="0"/>
              <w:rPr>
                <w:sz w:val="20"/>
                <w:szCs w:val="20"/>
                <w:color w:val="auto"/>
              </w:rPr>
            </w:pPr>
            <w:r>
              <w:rPr>
                <w:rFonts w:ascii="Arial" w:cs="Arial" w:eastAsia="Arial" w:hAnsi="Arial"/>
                <w:sz w:val="18"/>
                <w:szCs w:val="18"/>
                <w:color w:val="auto"/>
              </w:rPr>
              <w:t>26.1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3"/>
              </w:rPr>
              <w:t>Republic of South Africa rand (“ZAR”) net contracts to receive (pay) USD</w:t>
            </w:r>
          </w:p>
        </w:tc>
        <w:tc>
          <w:tcPr>
            <w:tcW w:w="34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(ZAR)</w:t>
            </w:r>
          </w:p>
        </w:tc>
        <w:tc>
          <w:tcPr>
            <w:tcW w:w="10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37.9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3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of all currencies</w:t>
            </w:r>
          </w:p>
        </w:tc>
        <w:tc>
          <w:tcPr>
            <w:tcW w:w="3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40" w:type="dxa"/>
            <w:vAlign w:val="bottom"/>
            <w:vMerge w:val="restart"/>
          </w:tcPr>
          <w:p>
            <w:pPr>
              <w:jc w:val="right"/>
              <w:ind w:right="3012"/>
              <w:spacing w:after="0"/>
              <w:rPr>
                <w:sz w:val="20"/>
                <w:szCs w:val="20"/>
                <w:color w:val="auto"/>
              </w:rPr>
            </w:pPr>
            <w:r>
              <w:rPr>
                <w:rFonts w:ascii="Arial" w:cs="Arial" w:eastAsia="Arial" w:hAnsi="Arial"/>
                <w:sz w:val="18"/>
                <w:szCs w:val="18"/>
                <w:color w:val="auto"/>
              </w:rPr>
              <w:t>95</w:t>
            </w: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As of July 2, 2010, we had 41 foreign currency forward contracts outstanding with a total net notional amount of $14.1 million consisting of 13 different currencies, primarily the Canadian dollar, Euro, Philippine peso, Polish zloty, Singapore dollar and Republic of South Africa rand. Following is a summary by currency of the contract net notional amounts grouped by the underlying foreign currency as of July 2, 2010: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8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Contract Amount</w:t>
            </w: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61"/>
        </w:trPr>
        <w:tc>
          <w:tcPr>
            <w:tcW w:w="890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(Local Currency)</w:t>
            </w:r>
          </w:p>
        </w:tc>
        <w:tc>
          <w:tcPr>
            <w:tcW w:w="44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(In millions)</w:t>
            </w: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(USD)</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 (“CAD”) net contracts to receive (pay) USD</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(CAD)</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Euro (“EUR”) net contracts to receive (pay) USD</w:t>
            </w:r>
          </w:p>
        </w:tc>
        <w:tc>
          <w:tcPr>
            <w:tcW w:w="700" w:type="dxa"/>
            <w:vAlign w:val="bottom"/>
          </w:tcPr>
          <w:p>
            <w:pPr>
              <w:jc w:val="right"/>
              <w:ind w:right="77"/>
              <w:spacing w:after="0"/>
              <w:rPr>
                <w:sz w:val="20"/>
                <w:szCs w:val="20"/>
                <w:color w:val="auto"/>
              </w:rPr>
            </w:pPr>
            <w:r>
              <w:rPr>
                <w:rFonts w:ascii="Arial" w:cs="Arial" w:eastAsia="Arial" w:hAnsi="Arial"/>
                <w:sz w:val="18"/>
                <w:szCs w:val="18"/>
                <w:color w:val="auto"/>
              </w:rPr>
              <w:t>(EUR)</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 (“PHP”) net contracts to receive (pay) USD</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(PHP)</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Polish zloty (“PLN”) net contracts to receive (pay) USD</w:t>
            </w:r>
          </w:p>
        </w:tc>
        <w:tc>
          <w:tcPr>
            <w:tcW w:w="700" w:type="dxa"/>
            <w:vAlign w:val="bottom"/>
          </w:tcPr>
          <w:p>
            <w:pPr>
              <w:jc w:val="right"/>
              <w:ind w:right="77"/>
              <w:spacing w:after="0"/>
              <w:rPr>
                <w:sz w:val="20"/>
                <w:szCs w:val="20"/>
                <w:color w:val="auto"/>
              </w:rPr>
            </w:pPr>
            <w:r>
              <w:rPr>
                <w:rFonts w:ascii="Arial" w:cs="Arial" w:eastAsia="Arial" w:hAnsi="Arial"/>
                <w:sz w:val="18"/>
                <w:szCs w:val="18"/>
                <w:color w:val="auto"/>
              </w:rPr>
              <w:t>(PLN)</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Singapore dollar (“SGD”) net contracts to receive (pay) USD</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(SGD)</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Republic of South Africa rand (“ZAR”) net contracts to receive (pay) USD</w:t>
            </w:r>
          </w:p>
        </w:tc>
        <w:tc>
          <w:tcPr>
            <w:tcW w:w="700" w:type="dxa"/>
            <w:vAlign w:val="bottom"/>
          </w:tcPr>
          <w:p>
            <w:pPr>
              <w:jc w:val="right"/>
              <w:ind w:right="77"/>
              <w:spacing w:after="0"/>
              <w:rPr>
                <w:sz w:val="20"/>
                <w:szCs w:val="20"/>
                <w:color w:val="auto"/>
              </w:rPr>
            </w:pPr>
            <w:r>
              <w:rPr>
                <w:rFonts w:ascii="Arial" w:cs="Arial" w:eastAsia="Arial" w:hAnsi="Arial"/>
                <w:sz w:val="18"/>
                <w:szCs w:val="18"/>
                <w:color w:val="auto"/>
              </w:rPr>
              <w:t>(ZAR)</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Total of all currencies</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derivative instruments included within our consolidated balance sheet as of July 1, 2011 and July 2,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w w:val="92"/>
              </w:rPr>
              <w:t>Asset Derivatives</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9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Fair Value</w:t>
            </w: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July1, 2011:</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Derivatives designated as hedging instruments: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Total derivatives</w:t>
            </w:r>
          </w:p>
        </w:tc>
        <w:tc>
          <w:tcPr>
            <w:tcW w:w="1900" w:type="dxa"/>
            <w:vAlign w:val="bottom"/>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July 2, 2010:</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Derivatives designated as hedging instruments: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1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tcPr>
          <w:p>
            <w:pPr>
              <w:spacing w:after="0"/>
              <w:rPr>
                <w:sz w:val="20"/>
                <w:szCs w:val="20"/>
                <w:color w:val="auto"/>
              </w:rPr>
            </w:pPr>
            <w:r>
              <w:rPr>
                <w:rFonts w:ascii="Arial" w:cs="Arial" w:eastAsia="Arial" w:hAnsi="Arial"/>
                <w:sz w:val="18"/>
                <w:szCs w:val="18"/>
                <w:color w:val="auto"/>
              </w:rPr>
              <w:t>Total derivatives</w:t>
            </w:r>
          </w:p>
        </w:tc>
        <w:tc>
          <w:tcPr>
            <w:tcW w:w="1900" w:type="dxa"/>
            <w:vAlign w:val="bottom"/>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900" w:type="dxa"/>
            <w:vAlign w:val="bottom"/>
            <w:vMerge w:val="restart"/>
          </w:tcPr>
          <w:p>
            <w:pPr>
              <w:ind w:left="3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presents the amounts of gains (losses) from cash flow hedges recorded in other comprehensive (loss) income, the amounts transferred from other comprehensive (loss) Income and recorded in revenue and cost of products sold, and the amounts associated with excluded time value and hedge ineffectiveness during fiscal 2011, 2010 and 2009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Locations of Gains (Losses) Recorded From Derivatives Designated as Cash Flow Hedges</w:t>
            </w:r>
          </w:p>
        </w:tc>
        <w:tc>
          <w:tcPr>
            <w:tcW w:w="2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940" w:type="dxa"/>
            <w:vAlign w:val="bottom"/>
          </w:tcPr>
          <w:p>
            <w:pPr>
              <w:ind w:left="340"/>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jc w:val="center"/>
              <w:ind w:left="5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149"/>
        </w:trPr>
        <w:tc>
          <w:tcPr>
            <w:tcW w:w="5460" w:type="dxa"/>
            <w:vAlign w:val="bottom"/>
            <w:tcBorders>
              <w:top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gain (loss) of effective hedges recognized in Other Comprehensive Income</w:t>
            </w:r>
          </w:p>
        </w:tc>
        <w:tc>
          <w:tcPr>
            <w:tcW w:w="21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$(0.6)</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$ 0.6</w:t>
            </w:r>
          </w:p>
        </w:tc>
        <w:tc>
          <w:tcPr>
            <w:tcW w:w="46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1"/>
              </w:rPr>
              <w:t>$2.6</w:t>
            </w:r>
          </w:p>
        </w:tc>
        <w:tc>
          <w:tcPr>
            <w:tcW w:w="100" w:type="dxa"/>
            <w:vAlign w:val="bottom"/>
            <w:shd w:val="clear" w:color="auto" w:fill="CCEEFF"/>
          </w:tcPr>
          <w:p>
            <w:pPr>
              <w:spacing w:after="0"/>
              <w:rPr>
                <w:sz w:val="18"/>
                <w:szCs w:val="18"/>
                <w:color w:val="auto"/>
              </w:rPr>
            </w:pPr>
          </w:p>
        </w:tc>
      </w:tr>
      <w:tr>
        <w:trPr>
          <w:trHeight w:val="208"/>
        </w:trPr>
        <w:tc>
          <w:tcPr>
            <w:tcW w:w="7740" w:type="dxa"/>
            <w:vAlign w:val="bottom"/>
            <w:gridSpan w:val="2"/>
          </w:tcPr>
          <w:p>
            <w:pPr>
              <w:spacing w:after="0"/>
              <w:rPr>
                <w:sz w:val="20"/>
                <w:szCs w:val="20"/>
                <w:color w:val="auto"/>
              </w:rPr>
            </w:pPr>
            <w:r>
              <w:rPr>
                <w:rFonts w:ascii="Arial" w:cs="Arial" w:eastAsia="Arial" w:hAnsi="Arial"/>
                <w:sz w:val="18"/>
                <w:szCs w:val="18"/>
                <w:color w:val="auto"/>
              </w:rPr>
              <w:t>Amount of gain (loss) of effective hedges reclassified from Other Comprehensive</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740" w:type="dxa"/>
            <w:vAlign w:val="bottom"/>
            <w:gridSpan w:val="2"/>
          </w:tcPr>
          <w:p>
            <w:pPr>
              <w:ind w:left="220"/>
              <w:spacing w:after="0"/>
              <w:rPr>
                <w:sz w:val="20"/>
                <w:szCs w:val="20"/>
                <w:color w:val="auto"/>
              </w:rPr>
            </w:pPr>
            <w:r>
              <w:rPr>
                <w:rFonts w:ascii="Arial" w:cs="Arial" w:eastAsia="Arial" w:hAnsi="Arial"/>
                <w:sz w:val="18"/>
                <w:szCs w:val="18"/>
                <w:color w:val="auto"/>
              </w:rPr>
              <w:t>Income into:</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$ 0.4</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1"/>
              </w:rPr>
              <w:t>$2.6</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Cost of Products Sold</w:t>
            </w:r>
          </w:p>
        </w:tc>
        <w:tc>
          <w:tcPr>
            <w:tcW w:w="2180" w:type="dxa"/>
            <w:vAlign w:val="bottom"/>
            <w:gridSpan w:val="2"/>
          </w:tcPr>
          <w:p>
            <w:pPr>
              <w:ind w:left="1660"/>
              <w:spacing w:after="0"/>
              <w:rPr>
                <w:sz w:val="20"/>
                <w:szCs w:val="20"/>
                <w:color w:val="auto"/>
              </w:rPr>
            </w:pPr>
            <w:r>
              <w:rPr>
                <w:rFonts w:ascii="Arial" w:cs="Arial" w:eastAsia="Arial" w:hAnsi="Arial"/>
                <w:sz w:val="18"/>
                <w:szCs w:val="18"/>
                <w:color w:val="auto"/>
              </w:rPr>
              <w:t>$(0.1)</w:t>
            </w:r>
          </w:p>
        </w:tc>
        <w:tc>
          <w:tcPr>
            <w:tcW w:w="940" w:type="dxa"/>
            <w:vAlign w:val="bottom"/>
          </w:tcPr>
          <w:p>
            <w:pPr>
              <w:ind w:left="280"/>
              <w:spacing w:after="0"/>
              <w:rPr>
                <w:sz w:val="20"/>
                <w:szCs w:val="20"/>
                <w:color w:val="auto"/>
              </w:rPr>
            </w:pPr>
            <w:r>
              <w:rPr>
                <w:rFonts w:ascii="Arial" w:cs="Arial" w:eastAsia="Arial" w:hAnsi="Arial"/>
                <w:sz w:val="18"/>
                <w:szCs w:val="18"/>
                <w:color w:val="auto"/>
              </w:rPr>
              <w:t>$ 0.2</w:t>
            </w:r>
          </w:p>
        </w:tc>
        <w:tc>
          <w:tcPr>
            <w:tcW w:w="460" w:type="dxa"/>
            <w:vAlign w:val="bottom"/>
          </w:tcPr>
          <w:p>
            <w:pPr>
              <w:jc w:val="center"/>
              <w:ind w:left="56"/>
              <w:spacing w:after="0"/>
              <w:rPr>
                <w:sz w:val="20"/>
                <w:szCs w:val="20"/>
                <w:color w:val="auto"/>
              </w:rPr>
            </w:pPr>
            <w:r>
              <w:rPr>
                <w:rFonts w:ascii="Arial" w:cs="Arial" w:eastAsia="Arial" w:hAnsi="Arial"/>
                <w:sz w:val="18"/>
                <w:szCs w:val="18"/>
                <w:color w:val="auto"/>
                <w:w w:val="91"/>
              </w:rPr>
              <w:t>$0.0</w:t>
            </w:r>
          </w:p>
        </w:tc>
        <w:tc>
          <w:tcPr>
            <w:tcW w:w="100" w:type="dxa"/>
            <w:vAlign w:val="bottom"/>
          </w:tcPr>
          <w:p>
            <w:pPr>
              <w:spacing w:after="0"/>
              <w:rPr>
                <w:sz w:val="18"/>
                <w:szCs w:val="18"/>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recorded into Cost of Products Sold associated with excluded time value</w:t>
            </w:r>
          </w:p>
        </w:tc>
        <w:tc>
          <w:tcPr>
            <w:tcW w:w="21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$ 0.2</w:t>
            </w:r>
          </w:p>
        </w:tc>
        <w:tc>
          <w:tcPr>
            <w:tcW w:w="460" w:type="dxa"/>
            <w:vAlign w:val="bottom"/>
            <w:shd w:val="clear" w:color="auto" w:fill="CCEEFF"/>
          </w:tcPr>
          <w:p>
            <w:pPr>
              <w:jc w:val="center"/>
              <w:ind w:left="56"/>
              <w:spacing w:after="0"/>
              <w:rPr>
                <w:sz w:val="20"/>
                <w:szCs w:val="20"/>
                <w:color w:val="auto"/>
              </w:rPr>
            </w:pPr>
            <w:r>
              <w:rPr>
                <w:rFonts w:ascii="Arial" w:cs="Arial" w:eastAsia="Arial" w:hAnsi="Arial"/>
                <w:sz w:val="18"/>
                <w:szCs w:val="18"/>
                <w:color w:val="auto"/>
                <w:w w:val="91"/>
              </w:rPr>
              <w:t>$0.0</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Amount recorded into Cost of Products Sold due to hedge ineffectiveness</w:t>
            </w:r>
          </w:p>
        </w:tc>
        <w:tc>
          <w:tcPr>
            <w:tcW w:w="2180" w:type="dxa"/>
            <w:vAlign w:val="bottom"/>
            <w:gridSpan w:val="2"/>
          </w:tcPr>
          <w:p>
            <w:pPr>
              <w:ind w:left="1660"/>
              <w:spacing w:after="0"/>
              <w:rPr>
                <w:sz w:val="20"/>
                <w:szCs w:val="20"/>
                <w:color w:val="auto"/>
              </w:rPr>
            </w:pPr>
            <w:r>
              <w:rPr>
                <w:rFonts w:ascii="Arial" w:cs="Arial" w:eastAsia="Arial" w:hAnsi="Arial"/>
                <w:sz w:val="18"/>
                <w:szCs w:val="18"/>
                <w:color w:val="auto"/>
              </w:rPr>
              <w:t>$ 0.0</w:t>
            </w:r>
          </w:p>
        </w:tc>
        <w:tc>
          <w:tcPr>
            <w:tcW w:w="940" w:type="dxa"/>
            <w:vAlign w:val="bottom"/>
          </w:tcPr>
          <w:p>
            <w:pPr>
              <w:ind w:left="280"/>
              <w:spacing w:after="0"/>
              <w:rPr>
                <w:sz w:val="20"/>
                <w:szCs w:val="20"/>
                <w:color w:val="auto"/>
              </w:rPr>
            </w:pPr>
            <w:r>
              <w:rPr>
                <w:rFonts w:ascii="Arial" w:cs="Arial" w:eastAsia="Arial" w:hAnsi="Arial"/>
                <w:sz w:val="18"/>
                <w:szCs w:val="18"/>
                <w:color w:val="auto"/>
              </w:rPr>
              <w:t>$ 0.1</w:t>
            </w:r>
          </w:p>
        </w:tc>
        <w:tc>
          <w:tcPr>
            <w:tcW w:w="460" w:type="dxa"/>
            <w:vAlign w:val="bottom"/>
          </w:tcPr>
          <w:p>
            <w:pPr>
              <w:jc w:val="center"/>
              <w:ind w:left="56"/>
              <w:spacing w:after="0"/>
              <w:rPr>
                <w:sz w:val="20"/>
                <w:szCs w:val="20"/>
                <w:color w:val="auto"/>
              </w:rPr>
            </w:pPr>
            <w:r>
              <w:rPr>
                <w:rFonts w:ascii="Arial" w:cs="Arial" w:eastAsia="Arial" w:hAnsi="Arial"/>
                <w:sz w:val="18"/>
                <w:szCs w:val="18"/>
                <w:color w:val="auto"/>
                <w:w w:val="91"/>
              </w:rPr>
              <w:t>$0.0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6. Fair Value Measurements of Assets and Liabilities” for a description of how the above financial instruments are valued and “Note 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 Income” for additional information on changes in other comprehensive loss during fiscal 2011, 2010 and 2009.</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currency exchange risks where internal netting strategies cannot be effectively employed. As of July 1, 2011, hedged transactions included our customer and intercompany backlog and outstanding purchase commitments denominated primarily in the Canadian dollar, Euro, Philippine peso, Polish zloty and Republic of South Africa rand. We hedge up to 100% of anticipated exposures typically one to three months in advance, but have hedged as much as six months in advance. We generally review our exposures twice each month and adjust the amount of derivatives outstanding as needed.</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derivative designated as a hedge of a forecasted transaction is carried at fair value with the effective portion of the derivative’s fair value recorded in other comprehensive income or loss and subsequently recognized in earnings in the same period or periods the hedged transaction affects earnings. Any ineffective or excluded portion of a derivative’s gain or loss is recorded in earnings as it occurs.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product sales, respectively, when the underlying hedged transaction is recorded.</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July 1, 2011, there was less than $0.1 million of deferred net losses on both outstanding and matured derivatives accumulated in other comprehensive loss that are expected to be reclassified to net income or loss during the next twelve months as a result of underlying hedged transactions also being recorded in net income or loss. Actual amounts ultimately reclassified to net income or loss are dependent on the exchange rates in effect when derivative contracts that are currently outstanding mature. As of July 1, 2011, the maximum term over which we are hedging cash flow exposures is six months.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non-designated hedge, if it is still outstanding at the time the determination is made.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 net income or loss when the forecasted transaction affects net income or loss. However, if it is probable that a forecasted transaction will not occur by the end of the originally specified time period or within an additional two-month period of time thereafter, the gains 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product sales.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mentioned above, the total notional amount of outstanding derivatives as of July 1, 2011 not designated as cash flow hedging instruments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$52.1 million. The purpose of these hedges is to offset realized and unrealized foreign exchange gains and losses recorded on non-functional currency monetary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assets and liabilities, including primarily cash balances and accounts receivable and accounts payable from third party and intercompany transactions recorded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balance sheet. Since these gains and losses are considered by us to be operational in nature, we record both the gains and losses from the revaluation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 transactions and the gains and losses on the derivatives in cost of products sold. During fiscal 2011, we recorded in cost of products sold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following amount of net losses recorded on non-designated hedges as follows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6"/>
              </w:rPr>
              <w:t>Location of Gain</w:t>
            </w:r>
          </w:p>
        </w:tc>
      </w:tr>
      <w:tr>
        <w:trPr>
          <w:trHeight w:val="149"/>
        </w:trPr>
        <w:tc>
          <w:tcPr>
            <w:tcW w:w="7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(Loss) Recognized in</w:t>
            </w:r>
          </w:p>
        </w:tc>
      </w:tr>
      <w:tr>
        <w:trPr>
          <w:trHeight w:val="149"/>
        </w:trPr>
        <w:tc>
          <w:tcPr>
            <w:tcW w:w="7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r>
      <w:tr>
        <w:trPr>
          <w:trHeight w:val="161"/>
        </w:trPr>
        <w:tc>
          <w:tcPr>
            <w:tcW w:w="77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Derivatives</w:t>
            </w: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Gains (losses) on foreign exchange forward contracts</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(2.3)</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(0.4)</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Cost of products sold</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12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Legal Proceedings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and certain of our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January 29, 2007 to July 30, 2008, including stockholders of Stratex Networks, Inc. who exchanged shares of Stratex Networks, Inc. for our shares as part of the merger between Stratex Networks and the Microwave Communications Division of Harris Corporation (“MCD”).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(“Dutton”). On July 27, 2010, the Court denied the motions to dismiss that we and the officer and director defendants had filed. On September 9, 2010, we and the officer and director defendants filed an answer denying the material allegations of the consolidated class action complaint.</w:t>
      </w:r>
    </w:p>
    <w:p>
      <w:pPr>
        <w:spacing w:after="0" w:line="12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 xml:space="preserve">On May 31, 2011, we and the other named defendants entered into a stipulation of settlement (“Stipulation”) with respect to the </w:t>
      </w:r>
      <w:r>
        <w:rPr>
          <w:rFonts w:ascii="Arial" w:cs="Arial" w:eastAsia="Arial" w:hAnsi="Arial"/>
          <w:sz w:val="16"/>
          <w:szCs w:val="16"/>
          <w:i w:val="1"/>
          <w:iCs w:val="1"/>
          <w:color w:val="auto"/>
        </w:rPr>
        <w:t>Dutton</w:t>
      </w:r>
      <w:r>
        <w:rPr>
          <w:rFonts w:ascii="Arial" w:cs="Arial" w:eastAsia="Arial" w:hAnsi="Arial"/>
          <w:sz w:val="16"/>
          <w:szCs w:val="16"/>
          <w:color w:val="auto"/>
        </w:rPr>
        <w:t xml:space="preserve"> action, pursuant to which we are to cause $8.9 million to be paid into a settlement fund. The entire settlement amount is covered by insurance and has been assumed by the insurance company. A motion for preliminary approval of the settlement was filed with the Court on June 1, 2011 and the Court issued its order preliminarily approving the settlement on June 21, 2011. The hearing on final approval of the settlement is set for September 16,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effectiveness of the Stipulation and the settlement incorporated therein is conditioned on the following remaining conditions:</w:t>
      </w:r>
    </w:p>
    <w:p>
      <w:pPr>
        <w:spacing w:after="0" w:line="90" w:lineRule="exact"/>
        <w:rPr>
          <w:sz w:val="20"/>
          <w:szCs w:val="20"/>
          <w:color w:val="auto"/>
        </w:rPr>
      </w:pPr>
    </w:p>
    <w:p>
      <w:pPr>
        <w:ind w:left="900" w:right="80" w:hanging="446"/>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and Harris Corporation’s option to terminate the Stipulation if prior to the settlement hearing the aggregate number of shares of Aviat Network’s common stock purchased during the class period by all class members who would otherwise be entitled to participate in the settlement but who validly request exclusion equals or exceeds the sum specified in a supplemental agreement between the parties;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Court entering an order of final approval of the Class Action settlement;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Court entering judgment in the Class Action;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judgment becoming final.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can be no assurance that the settlement will be approved or become effective.</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of our former executive officers and directors were named in a complaint filed on March 17, 2011 in the United States District Court for the District of Delaware by plaintiff Sandra J. Cutler Living Trust. Plaintiff purports to bring this action derivatively on behalf of Aviat Networks, which is named as</w:t>
      </w:r>
    </w:p>
    <w:p>
      <w:pPr>
        <w:ind w:right="140"/>
        <w:spacing w:after="0" w:line="292" w:lineRule="auto"/>
        <w:rPr>
          <w:sz w:val="20"/>
          <w:szCs w:val="20"/>
          <w:color w:val="auto"/>
        </w:rPr>
      </w:pPr>
      <w:r>
        <w:rPr>
          <w:rFonts w:ascii="Arial" w:cs="Arial" w:eastAsia="Arial" w:hAnsi="Arial"/>
          <w:sz w:val="16"/>
          <w:szCs w:val="16"/>
          <w:color w:val="auto"/>
        </w:rPr>
        <w:t>a nominal defendant. Plaintiff brings a claim for breach of fiduciary duty against the officer and director defendants based on the allegations of securities law violations alleged in the class action described above and seeks to recover unspecified damages and other relief on behalf of Aviat Networks, as well as payment of costs and attorneys fees. Defendants, including Aviat Networks as nominal defendant , filed their motion to dismiss on July 25, 2011. Following the filing of the motion to dismiss, plaintiff asked Defendants to stipulate to a dismissal of the action, without prejudice. The parties filed a stipulation requesting that the Court dismiss the action and, on August 18, 2011, the Court entered an order granting the stipulation and dismissing the action, without prejudice.</w:t>
      </w:r>
    </w:p>
    <w:p>
      <w:pPr>
        <w:spacing w:after="0" w:line="11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Certain of our former executive officers and directors were named in a complaint filed on July 18, 2011 in the United States District Court for the District of Delaware by plaintiff Howard Taylor . Plaintiff purports to bring this action derivatively on behalf of Aviat Networks, which is named as a nominal defendant. Plaintiff brings a claim for breach of fiduciary duty against the officer and director defendants based on the allegations of securities law violations alleged in the class action described above and also alleges that the defendants caused us to acquire MCD at an inflated price. Plaintiff seeks to recover unspecified damages and other relief on behalf of Aviat Networks, as well as payment of costs and attorneys fees. We intend to defend our interests in the litigation vigorously.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Beginning in the third quarter of fiscal 2011, the results of our WiMAX business are presented as discontinued operations in our consolidated financial statements. Historical amounts prior to the third quarter of fiscal 2011 are reclassified to conform to current period presentation. Summarized quarterly data for fiscal 2011 and 2010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Q1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Q2</w:t>
            </w:r>
          </w:p>
        </w:tc>
        <w:tc>
          <w:tcPr>
            <w:tcW w:w="120" w:type="dxa"/>
            <w:vAlign w:val="bottom"/>
          </w:tcPr>
          <w:p>
            <w:pPr>
              <w:spacing w:after="0"/>
              <w:rPr>
                <w:sz w:val="14"/>
                <w:szCs w:val="14"/>
                <w:color w:val="auto"/>
              </w:rPr>
            </w:pPr>
          </w:p>
        </w:tc>
        <w:tc>
          <w:tcPr>
            <w:tcW w:w="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Q3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Q4</w:t>
            </w:r>
          </w:p>
        </w:tc>
      </w:tr>
      <w:tr>
        <w:trPr>
          <w:trHeight w:val="161"/>
        </w:trPr>
        <w:tc>
          <w:tcPr>
            <w:tcW w:w="75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10/1/2010</w:t>
            </w:r>
          </w:p>
        </w:tc>
        <w:tc>
          <w:tcPr>
            <w:tcW w:w="1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12/31/2010</w:t>
            </w:r>
          </w:p>
        </w:tc>
        <w:tc>
          <w:tcPr>
            <w:tcW w:w="5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4/1/2011</w:t>
            </w:r>
          </w:p>
        </w:tc>
        <w:tc>
          <w:tcPr>
            <w:tcW w:w="400" w:type="dxa"/>
            <w:vAlign w:val="bottom"/>
          </w:tcPr>
          <w:p>
            <w:pPr>
              <w:spacing w:after="0"/>
              <w:rPr>
                <w:sz w:val="14"/>
                <w:szCs w:val="14"/>
                <w:color w:val="auto"/>
              </w:rPr>
            </w:pPr>
          </w:p>
        </w:tc>
        <w:tc>
          <w:tcPr>
            <w:tcW w:w="64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88"/>
              </w:rPr>
              <w:t>7/1/2011</w:t>
            </w:r>
          </w:p>
        </w:tc>
        <w:tc>
          <w:tcPr>
            <w:tcW w:w="100" w:type="dxa"/>
            <w:vAlign w:val="bottom"/>
          </w:tcPr>
          <w:p>
            <w:pPr>
              <w:spacing w:after="0"/>
              <w:rPr>
                <w:sz w:val="14"/>
                <w:szCs w:val="14"/>
                <w:color w:val="auto"/>
              </w:rPr>
            </w:pPr>
          </w:p>
        </w:tc>
      </w:tr>
      <w:tr>
        <w:trPr>
          <w:trHeight w:val="129"/>
        </w:trPr>
        <w:tc>
          <w:tcPr>
            <w:tcW w:w="7580" w:type="dxa"/>
            <w:vAlign w:val="bottom"/>
          </w:tcPr>
          <w:p>
            <w:pPr>
              <w:spacing w:after="0"/>
              <w:rPr>
                <w:sz w:val="11"/>
                <w:szCs w:val="11"/>
                <w:color w:val="auto"/>
              </w:rPr>
            </w:pPr>
          </w:p>
        </w:tc>
        <w:tc>
          <w:tcPr>
            <w:tcW w:w="5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(1)(2)(3)</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(1)(2)(3)</w:t>
            </w:r>
          </w:p>
        </w:tc>
        <w:tc>
          <w:tcPr>
            <w:tcW w:w="520" w:type="dxa"/>
            <w:vAlign w:val="bottom"/>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(2)(3)</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ind w:right="24"/>
              <w:spacing w:after="0" w:line="129" w:lineRule="exact"/>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1"/>
                <w:szCs w:val="11"/>
                <w:color w:val="auto"/>
              </w:rPr>
            </w:pPr>
          </w:p>
        </w:tc>
      </w:t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87"/>
              </w:rPr>
              <w:t>(In millions, except per share amounts)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$ 100.4</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115.3</w:t>
            </w:r>
          </w:p>
        </w:tc>
        <w:tc>
          <w:tcPr>
            <w:tcW w:w="520" w:type="dxa"/>
            <w:vAlign w:val="bottom"/>
          </w:tcPr>
          <w:p>
            <w:pPr>
              <w:spacing w:after="0"/>
              <w:rPr>
                <w:sz w:val="18"/>
                <w:szCs w:val="18"/>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w w:val="83"/>
              </w:rPr>
              <w:t>$115.5</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$120.9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31.6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3"/>
              </w:rPr>
              <w:t>$ (36.9)</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(19.8)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Per share data:</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(0.36)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(0.21)</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3"/>
              </w:rPr>
              <w:t>$ (0.63)</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(0.34)</w:t>
            </w:r>
          </w:p>
        </w:tc>
      </w:tr>
      <w:tr>
        <w:trPr>
          <w:trHeight w:val="352"/>
        </w:trPr>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Q1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Q2</w:t>
            </w:r>
          </w:p>
        </w:tc>
        <w:tc>
          <w:tcPr>
            <w:tcW w:w="120" w:type="dxa"/>
            <w:vAlign w:val="bottom"/>
          </w:tcPr>
          <w:p>
            <w:pPr>
              <w:spacing w:after="0"/>
              <w:rPr>
                <w:sz w:val="24"/>
                <w:szCs w:val="24"/>
                <w:color w:val="auto"/>
              </w:rPr>
            </w:pPr>
          </w:p>
        </w:tc>
        <w:tc>
          <w:tcPr>
            <w:tcW w:w="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Q3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Q4</w:t>
            </w:r>
          </w:p>
        </w:tc>
      </w:tr>
      <w:tr>
        <w:trPr>
          <w:trHeight w:val="161"/>
        </w:trPr>
        <w:tc>
          <w:tcPr>
            <w:tcW w:w="75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10/2/2009</w:t>
            </w:r>
          </w:p>
        </w:tc>
        <w:tc>
          <w:tcPr>
            <w:tcW w:w="140" w:type="dxa"/>
            <w:vAlign w:val="bottom"/>
          </w:tcPr>
          <w:p>
            <w:pPr>
              <w:spacing w:after="0"/>
              <w:rPr>
                <w:sz w:val="14"/>
                <w:szCs w:val="14"/>
                <w:color w:val="auto"/>
              </w:rPr>
            </w:pPr>
          </w:p>
        </w:tc>
        <w:tc>
          <w:tcPr>
            <w:tcW w:w="102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88"/>
              </w:rPr>
              <w:t>1/1/2010</w:t>
            </w:r>
          </w:p>
        </w:tc>
        <w:tc>
          <w:tcPr>
            <w:tcW w:w="5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4/2/2010</w:t>
            </w:r>
          </w:p>
        </w:tc>
        <w:tc>
          <w:tcPr>
            <w:tcW w:w="400" w:type="dxa"/>
            <w:vAlign w:val="bottom"/>
          </w:tcPr>
          <w:p>
            <w:pPr>
              <w:spacing w:after="0"/>
              <w:rPr>
                <w:sz w:val="14"/>
                <w:szCs w:val="14"/>
                <w:color w:val="auto"/>
              </w:rPr>
            </w:pPr>
          </w:p>
        </w:tc>
        <w:tc>
          <w:tcPr>
            <w:tcW w:w="64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88"/>
              </w:rPr>
              <w:t>7/2/2010</w:t>
            </w:r>
          </w:p>
        </w:tc>
        <w:tc>
          <w:tcPr>
            <w:tcW w:w="100" w:type="dxa"/>
            <w:vAlign w:val="bottom"/>
          </w:tcPr>
          <w:p>
            <w:pPr>
              <w:spacing w:after="0"/>
              <w:rPr>
                <w:sz w:val="14"/>
                <w:szCs w:val="14"/>
                <w:color w:val="auto"/>
              </w:rPr>
            </w:pPr>
          </w:p>
        </w:tc>
      </w:tr>
      <w:tr>
        <w:trPr>
          <w:trHeight w:val="129"/>
        </w:trPr>
        <w:tc>
          <w:tcPr>
            <w:tcW w:w="7580" w:type="dxa"/>
            <w:vAlign w:val="bottom"/>
          </w:tcPr>
          <w:p>
            <w:pPr>
              <w:spacing w:after="0"/>
              <w:rPr>
                <w:sz w:val="11"/>
                <w:szCs w:val="11"/>
                <w:color w:val="auto"/>
              </w:rPr>
            </w:pPr>
          </w:p>
        </w:tc>
        <w:tc>
          <w:tcPr>
            <w:tcW w:w="5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(1)(2)(3)</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(1)(2)(3)</w:t>
            </w:r>
          </w:p>
        </w:tc>
        <w:tc>
          <w:tcPr>
            <w:tcW w:w="520" w:type="dxa"/>
            <w:vAlign w:val="bottom"/>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(2)(3)</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ind w:right="24"/>
              <w:spacing w:after="0" w:line="129" w:lineRule="exact"/>
              <w:rPr>
                <w:sz w:val="20"/>
                <w:szCs w:val="20"/>
                <w:color w:val="auto"/>
              </w:rPr>
            </w:pPr>
            <w:r>
              <w:rPr>
                <w:rFonts w:ascii="Arial" w:cs="Arial" w:eastAsia="Arial" w:hAnsi="Arial"/>
                <w:sz w:val="14"/>
                <w:szCs w:val="14"/>
                <w:b w:val="1"/>
                <w:bCs w:val="1"/>
                <w:color w:val="auto"/>
                <w:w w:val="93"/>
              </w:rPr>
              <w:t>(1)(3)</w:t>
            </w:r>
          </w:p>
        </w:tc>
        <w:tc>
          <w:tcPr>
            <w:tcW w:w="100" w:type="dxa"/>
            <w:vAlign w:val="bottom"/>
          </w:tcPr>
          <w:p>
            <w:pPr>
              <w:spacing w:after="0"/>
              <w:rPr>
                <w:sz w:val="11"/>
                <w:szCs w:val="11"/>
                <w:color w:val="auto"/>
              </w:rPr>
            </w:pPr>
          </w:p>
        </w:tc>
      </w:t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87"/>
              </w:rPr>
              <w:t>(In millions, except per share amounts)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$ 119.4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120.8</w:t>
            </w:r>
          </w:p>
        </w:tc>
        <w:tc>
          <w:tcPr>
            <w:tcW w:w="520" w:type="dxa"/>
            <w:vAlign w:val="bottom"/>
          </w:tcPr>
          <w:p>
            <w:pPr>
              <w:spacing w:after="0"/>
              <w:rPr>
                <w:sz w:val="18"/>
                <w:szCs w:val="18"/>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w w:val="83"/>
              </w:rPr>
              <w:t>$117.7</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$107.6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18.5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w w:val="83"/>
              </w:rPr>
              <w:t>$ (24.6)</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 (83.6)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3"/>
              </w:rPr>
              <w:t>$ (25.7)</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(88.8)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Per share data:</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(0.13)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(0.13)</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3"/>
              </w:rPr>
              <w:t>$ (0.43)</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Differences between the amounts presented above and previously reported quarterly financial results are attributable to the operating results of our WiMAX business, which has been presented as discontinued operations for the periods presented.</w:t>
      </w:r>
    </w:p>
    <w:p>
      <w:pPr>
        <w:ind w:left="460" w:right="60" w:hanging="452"/>
        <w:spacing w:after="0" w:line="252"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reflect adjustments related to WiMAX revenues and operating expenses for the first three quarters of fiscal 2011 and 2010 as compared to previously reported quarterly financial results. Revenue previously reported was $117.0 million for the third quarter of fiscal 2010, $334.6 million and $356.2 million, respectively, for the first three quarters of fiscal 2011 and 2010. Gross margin previously reported was $17.3 million for the third quarter of fiscal 2010, $96.6 million and $97.3 million, respectively, for the first three quarters of fiscal 2011 and 2010. Operating loss previously reported was $(10.1) million and $(25.8) million, respectively, for the third quarter of fiscal 2011 and 2010, and $(30.4) million and $(30.1) million, respectively, for the first three quarters of fiscal 2011 and 2010.</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tables summarize certain charges, expenses, gains and loss from discontinued operations included in our results of operations for each of the fiscal quarters presented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ind w:right="114"/>
              <w:spacing w:after="0"/>
              <w:rPr>
                <w:sz w:val="20"/>
                <w:szCs w:val="20"/>
                <w:color w:val="auto"/>
              </w:rPr>
            </w:pPr>
            <w:r>
              <w:rPr>
                <w:rFonts w:ascii="Arial" w:cs="Arial" w:eastAsia="Arial" w:hAnsi="Arial"/>
                <w:sz w:val="14"/>
                <w:szCs w:val="14"/>
                <w:b w:val="1"/>
                <w:bCs w:val="1"/>
                <w:color w:val="auto"/>
              </w:rPr>
              <w:t>Q1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center"/>
              <w:ind w:right="74"/>
              <w:spacing w:after="0"/>
              <w:rPr>
                <w:sz w:val="20"/>
                <w:szCs w:val="20"/>
                <w:color w:val="auto"/>
              </w:rPr>
            </w:pPr>
            <w:r>
              <w:rPr>
                <w:rFonts w:ascii="Arial" w:cs="Arial" w:eastAsia="Arial" w:hAnsi="Arial"/>
                <w:sz w:val="14"/>
                <w:szCs w:val="14"/>
                <w:b w:val="1"/>
                <w:bCs w:val="1"/>
                <w:color w:val="auto"/>
                <w:w w:val="85"/>
              </w:rPr>
              <w:t>Q2</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4"/>
                <w:szCs w:val="1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Q4</w:t>
            </w: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10/1/2010</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12/31/2010</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4/1/2011</w:t>
            </w:r>
          </w:p>
        </w:tc>
        <w:tc>
          <w:tcPr>
            <w:tcW w:w="5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7/1/2011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Charges for product transition, product discontinuances and inventory mark-downs</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Amortization of purchased technology and intangible assets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Amortization of fair value adjustments related to fixed assets and inventory</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Loss on sale of NetBoss assets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Transactional tax assessments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Liquidation of entities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Loss from discontinued operations</w:t>
            </w: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ind w:right="114"/>
              <w:spacing w:after="0"/>
              <w:rPr>
                <w:sz w:val="20"/>
                <w:szCs w:val="20"/>
                <w:color w:val="auto"/>
              </w:rPr>
            </w:pPr>
            <w:r>
              <w:rPr>
                <w:rFonts w:ascii="Arial" w:cs="Arial" w:eastAsia="Arial" w:hAnsi="Arial"/>
                <w:sz w:val="14"/>
                <w:szCs w:val="14"/>
                <w:b w:val="1"/>
                <w:bCs w:val="1"/>
                <w:color w:val="auto"/>
              </w:rPr>
              <w:t>Q1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center"/>
              <w:ind w:right="74"/>
              <w:spacing w:after="0"/>
              <w:rPr>
                <w:sz w:val="20"/>
                <w:szCs w:val="20"/>
                <w:color w:val="auto"/>
              </w:rPr>
            </w:pPr>
            <w:r>
              <w:rPr>
                <w:rFonts w:ascii="Arial" w:cs="Arial" w:eastAsia="Arial" w:hAnsi="Arial"/>
                <w:sz w:val="14"/>
                <w:szCs w:val="14"/>
                <w:b w:val="1"/>
                <w:bCs w:val="1"/>
                <w:color w:val="auto"/>
                <w:w w:val="85"/>
              </w:rPr>
              <w:t>Q2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Q4</w:t>
            </w:r>
          </w:p>
        </w:tc>
        <w:tc>
          <w:tcPr>
            <w:tcW w:w="0" w:type="dxa"/>
            <w:vAlign w:val="bottom"/>
          </w:tcPr>
          <w:p>
            <w:pPr>
              <w:spacing w:after="0"/>
              <w:rPr>
                <w:sz w:val="1"/>
                <w:szCs w:val="1"/>
                <w:color w:val="auto"/>
              </w:rPr>
            </w:pPr>
          </w:p>
        </w:tc>
      </w:tr>
      <w:tr>
        <w:trPr>
          <w:trHeight w:val="161"/>
        </w:trPr>
        <w:tc>
          <w:tcPr>
            <w:tcW w:w="66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10/2/2009</w:t>
            </w:r>
          </w:p>
        </w:tc>
        <w:tc>
          <w:tcPr>
            <w:tcW w:w="122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w w:val="88"/>
              </w:rPr>
              <w:t>1/1/2010</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4/2/2010</w:t>
            </w:r>
          </w:p>
        </w:tc>
        <w:tc>
          <w:tcPr>
            <w:tcW w:w="5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7/2/2010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Intangible assets impairment charges</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Property, plant and equipment impairment charges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Charges for product transition, product discontinuances and inventory mark-downs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Amortization of purchased technology and intangible assets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Amortization of fair value adjustments related to fixed assets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Rebranding and transitional costs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Gain on sale of building and Telsima acquisition purchase price settlement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22.6</w:t>
            </w:r>
          </w:p>
        </w:tc>
        <w:tc>
          <w:tcPr>
            <w:tcW w:w="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September 2, 2011, we entered into an Asset Purchase Agreement (the “Agreement”) with EION Networks, Inc. (“EION”), a privately-owned Canadian company based in Ottawa, Ontario, pursuant to which we sold to EION our WiMAX business and related assets consisting of certain technology, inventory and equipment. Pursuant to the terms of the Agreement, we assigned our customer contracts for WiMAX products and maintenance and agreed to license related patents to EION. We also agreed to indemnification for customary seller representations and warranties, and the provision of transitional services. As consideration for the sale of assets, the Agreement provides for EION to pay us $0.4 million in cash six months from the date of closing and up to $2.8 million in additional cash payments contingent upon specific factors related to future WiMAX business performance. Currently, we are not able to estimate the amount of consideration that we will receive beyond the $0.4 million or the probability of any such payment. Accordingly, any future consideration will be recorded as a contingent gain in the period that it is received.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(the “Exchange Act”)). Based on this evaluation, the Chief Executive Officer and Chief Financial Officer concluded that our disclosure controls and procedures were effective as of July 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Under the supervision and with the participation of management, including our Chief Executive Officer and Chief Financial Officer, management has assessed the effectiveness of the Company’s internal control over financial reporting based on the framework in Internal Control — Integrated Framework issued by the Committee of Sponsoring Organizations of the Treadway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July 1, 2011.</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Ernst &amp; Young LLP, the independent registered public accounting firm that audited the financial statements included in this report has issued an attestation report on our internal control over financial reporting which appears in Item 8. Financial Statements and Supplementary Data in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with the Securities and Exchange Commission within 120 days after the end of our fiscal year ended July 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We adopted a Code of Business Ethics, that is available at </w:t>
      </w:r>
      <w:r>
        <w:rPr>
          <w:rFonts w:ascii="Arial" w:cs="Arial" w:eastAsia="Arial" w:hAnsi="Arial"/>
          <w:sz w:val="16"/>
          <w:szCs w:val="16"/>
          <w:u w:val="single" w:color="auto"/>
          <w:color w:val="auto"/>
        </w:rPr>
        <w:t>www.aviatnetworks.com.</w:t>
      </w:r>
      <w:r>
        <w:rPr>
          <w:rFonts w:ascii="Arial" w:cs="Arial" w:eastAsia="Arial" w:hAnsi="Arial"/>
          <w:sz w:val="16"/>
          <w:szCs w:val="16"/>
          <w:color w:val="auto"/>
        </w:rPr>
        <w:t xml:space="preserve"> No amendments to our Code of Business Ethics, or waivers from our Code of Business Ethics with respect to any of our executive officers or directors have been made. If, in the future, we amend our Code of Business Ethics or grant waivers from our code of Business Ethics with respect to any of our executive officers or directors, we will make information regarding such amendments or waivers available on our corporate website (</w:t>
      </w:r>
      <w:r>
        <w:rPr>
          <w:rFonts w:ascii="Arial" w:cs="Arial" w:eastAsia="Arial" w:hAnsi="Arial"/>
          <w:sz w:val="16"/>
          <w:szCs w:val="16"/>
          <w:u w:val="single" w:color="auto"/>
          <w:color w:val="auto"/>
        </w:rPr>
        <w:t>www.aviatnetworks.com</w:t>
      </w:r>
      <w:r>
        <w:rPr>
          <w:rFonts w:ascii="Arial" w:cs="Arial" w:eastAsia="Arial" w:hAnsi="Arial"/>
          <w:sz w:val="16"/>
          <w:szCs w:val="16"/>
          <w:color w:val="auto"/>
        </w:rPr>
        <w:t>) for a period of at least 12 months.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with respect to Executive Officers, see Part I, Item 1 of this Annual Report on Form 10-K, under “Executive Officers of the Registrant.”</w:t>
      </w:r>
    </w:p>
    <w:p>
      <w:pPr>
        <w:spacing w:after="0" w:line="19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Information regarding our directors and compliance with Section 16(a) of the Securities and Exchange Act of 1934, as amended, by our directors and executive officers will appear in our definitive Proxy Statement for our 2011 Annual Meeting of Stockholders to be held on or about November 17, 2011 and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Information regarding our executive compensation will appear in our definitive Proxy Statement for our 2011 Annual Meeting of Stockholders to be held on or about November 17, 2011 and is incorporated herein by reference.</w:t>
      </w:r>
    </w:p>
    <w:p>
      <w:pPr>
        <w:spacing w:after="0" w:line="207" w:lineRule="exact"/>
        <w:rPr>
          <w:sz w:val="20"/>
          <w:szCs w:val="20"/>
          <w:color w:val="auto"/>
        </w:rPr>
      </w:pPr>
    </w:p>
    <w:p>
      <w:pPr>
        <w:ind w:right="3420"/>
        <w:spacing w:after="0" w:line="347"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Equity Compensation Plan Summary</w:t>
      </w:r>
    </w:p>
    <w:p>
      <w:pPr>
        <w:spacing w:after="0" w:line="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provides information as of July 1, 2011, relating to our equity compensation plan pursuant to which grants of options, restricted stock and performance shares may be granted from time to time and the option plans and agreements assumed by us in connection with the Stratex acquisition: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Number of Securities to</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Further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be Issued Upon Exercise</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5"/>
              </w:rPr>
              <w:t>of Options and Vesting of</w:t>
            </w:r>
          </w:p>
        </w:tc>
        <w:tc>
          <w:tcPr>
            <w:tcW w:w="140" w:type="dxa"/>
            <w:vAlign w:val="bottom"/>
          </w:tcPr>
          <w:p>
            <w:pPr>
              <w:spacing w:after="0"/>
              <w:rPr>
                <w:sz w:val="12"/>
                <w:szCs w:val="12"/>
                <w:color w:val="auto"/>
              </w:rPr>
            </w:pPr>
          </w:p>
        </w:tc>
        <w:tc>
          <w:tcPr>
            <w:tcW w:w="2420" w:type="dxa"/>
            <w:vAlign w:val="bottom"/>
            <w:gridSpan w:val="2"/>
          </w:tcPr>
          <w:p>
            <w:pPr>
              <w:jc w:val="right"/>
              <w:ind w:right="13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4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6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Restricted Stock and</w:t>
            </w:r>
          </w:p>
        </w:tc>
        <w:tc>
          <w:tcPr>
            <w:tcW w:w="140" w:type="dxa"/>
            <w:vAlign w:val="bottom"/>
          </w:tcPr>
          <w:p>
            <w:pPr>
              <w:spacing w:after="0"/>
              <w:rPr>
                <w:sz w:val="12"/>
                <w:szCs w:val="12"/>
                <w:color w:val="auto"/>
              </w:rPr>
            </w:pPr>
          </w:p>
        </w:tc>
        <w:tc>
          <w:tcPr>
            <w:tcW w:w="2420" w:type="dxa"/>
            <w:vAlign w:val="bottom"/>
            <w:gridSpan w:val="2"/>
          </w:tcPr>
          <w:p>
            <w:pPr>
              <w:jc w:val="right"/>
              <w:ind w:right="13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48"/>
        </w:trPr>
        <w:tc>
          <w:tcPr>
            <w:tcW w:w="4740" w:type="dxa"/>
            <w:vAlign w:val="bottom"/>
            <w:gridSpan w:val="4"/>
            <w:vMerge w:val="continue"/>
          </w:tcPr>
          <w:p>
            <w:pPr>
              <w:spacing w:after="0"/>
              <w:rPr>
                <w:sz w:val="12"/>
                <w:szCs w:val="12"/>
                <w:color w:val="auto"/>
              </w:rPr>
            </w:pPr>
          </w:p>
        </w:tc>
        <w:tc>
          <w:tcPr>
            <w:tcW w:w="262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6"/>
              </w:rPr>
              <w:t>Performance Shares(1)</w:t>
            </w:r>
          </w:p>
        </w:tc>
        <w:tc>
          <w:tcPr>
            <w:tcW w:w="25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Outstanding Options(2)</w:t>
            </w:r>
          </w:p>
        </w:tc>
        <w:tc>
          <w:tcPr>
            <w:tcW w:w="15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the First Column)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72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 approved by security</w:t>
            </w:r>
          </w:p>
        </w:tc>
        <w:tc>
          <w:tcPr>
            <w:tcW w:w="1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holders(3)</w:t>
            </w:r>
          </w:p>
        </w:tc>
        <w:tc>
          <w:tcPr>
            <w:tcW w:w="26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3,366,929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6.14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4,400,272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security holders(4)</w:t>
            </w:r>
          </w:p>
        </w:tc>
        <w:tc>
          <w:tcPr>
            <w:tcW w:w="2620" w:type="dxa"/>
            <w:vAlign w:val="bottom"/>
            <w:gridSpan w:val="2"/>
          </w:tcPr>
          <w:p>
            <w:pPr>
              <w:jc w:val="right"/>
              <w:ind w:right="1160"/>
              <w:spacing w:after="0"/>
              <w:rPr>
                <w:sz w:val="20"/>
                <w:szCs w:val="20"/>
                <w:color w:val="auto"/>
              </w:rPr>
            </w:pPr>
            <w:r>
              <w:rPr>
                <w:rFonts w:ascii="Arial" w:cs="Arial" w:eastAsia="Arial" w:hAnsi="Arial"/>
                <w:sz w:val="18"/>
                <w:szCs w:val="18"/>
                <w:color w:val="auto"/>
              </w:rPr>
              <w:t>571,849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1180"/>
              <w:spacing w:after="0"/>
              <w:rPr>
                <w:sz w:val="20"/>
                <w:szCs w:val="20"/>
                <w:color w:val="auto"/>
              </w:rPr>
            </w:pPr>
            <w:r>
              <w:rPr>
                <w:rFonts w:ascii="Arial" w:cs="Arial" w:eastAsia="Arial" w:hAnsi="Arial"/>
                <w:sz w:val="18"/>
                <w:szCs w:val="18"/>
                <w:color w:val="auto"/>
              </w:rPr>
              <w:t>16.44</w:t>
            </w:r>
          </w:p>
        </w:tc>
        <w:tc>
          <w:tcPr>
            <w:tcW w:w="15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3,938,778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7.70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2007 Stock Equity Plan, in addition to options, we have granted share-based compensation awards in the form of performance shares, restricted stock, performance share units and restricted stock units. As of July 1, 2011, there were 1,663,538 such awards outstanding under that plan. The outstanding awards consisted of (i) performance share awards at target and restricted stock awards, for which all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302" w:lineRule="auto"/>
        <w:rPr>
          <w:sz w:val="20"/>
          <w:szCs w:val="20"/>
          <w:color w:val="auto"/>
        </w:rPr>
      </w:pPr>
      <w:r>
        <w:rPr>
          <w:rFonts w:ascii="Arial" w:cs="Arial" w:eastAsia="Arial" w:hAnsi="Arial"/>
          <w:sz w:val="15"/>
          <w:szCs w:val="15"/>
          <w:color w:val="auto"/>
        </w:rPr>
        <w:t>1,509,671 shares were issued and outstanding; and (ii) 153,867 performance share unit awards at target and restricted stock unit awards, for which all 153,867 were payable in shares but for which no shares were yet issued and outstanding. The 3,366,929 shares to be issued upon exercise of outstanding options and vesting of restricted stock units and performance share units as listed in the first column consisted of shares to be issued in respect of the exercise of 3,213,062 outstanding options and in respect of the 153,867 performance share unit awards and restricted stock units awards payable in shares.</w:t>
      </w:r>
    </w:p>
    <w:p>
      <w:pPr>
        <w:spacing w:after="0" w:line="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Excludes weighted average fair value of restricted stock units and performance share units at issuance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solely of our 2007 Stock Equity Plan, as amended and restated effective November 19, 2009.</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common stock that may be issued pursuant to option plans and agreements assumed pursuant to the Stratex acquisition. The Stratex plans were duly approved by the stockholders of Stratex prior to the merger with us. No shares are available for further issuance.</w:t>
      </w:r>
    </w:p>
    <w:p>
      <w:pPr>
        <w:spacing w:after="0" w:line="1" w:lineRule="exact"/>
        <w:rPr>
          <w:rFonts w:ascii="Arial" w:cs="Arial" w:eastAsia="Arial" w:hAnsi="Arial"/>
          <w:sz w:val="16"/>
          <w:szCs w:val="16"/>
          <w:color w:val="auto"/>
        </w:rPr>
      </w:pPr>
    </w:p>
    <w:p>
      <w:pPr>
        <w:ind w:left="460" w:right="26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further information on our equity compensation plans see “Note 1. The Company and Summary of Significant Accounting Policies” and “Note 10. Stockholders’ Equity” in the notes to consolidated financial statements included in Item 8.</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other information required by this item will appear in our definitive Proxy Statement for our 2011 Annual Meeting of Stockholders to be held on or about November 17, 2011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Information regarding certain relationships and related transactions, and director independence will appear under “Transactions with Related Persons” and “Corporate Governance” in our definitive Proxy Statement for our 2011 Annual Meeting of Stockholders to be held on or about November 17, 2011 and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Information regarding our principal accountant fees and services will appear in our definitive Proxy Statement for our 2011 Annual Meeting of Stockholders to be held on or about November 17, 2011 and is incorporated herein by reference.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6" w:lineRule="exact"/>
        <w:rPr>
          <w:sz w:val="20"/>
          <w:szCs w:val="20"/>
          <w:color w:val="auto"/>
        </w:rPr>
      </w:pPr>
    </w:p>
    <w:p>
      <w:pPr>
        <w:ind w:left="700" w:hanging="236"/>
        <w:spacing w:after="0"/>
        <w:tabs>
          <w:tab w:leader="none" w:pos="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46" w:lineRule="exact"/>
        <w:rPr>
          <w:rFonts w:ascii="Arial" w:cs="Arial" w:eastAsia="Arial" w:hAnsi="Arial"/>
          <w:sz w:val="18"/>
          <w:szCs w:val="18"/>
          <w:color w:val="auto"/>
        </w:rPr>
      </w:pPr>
    </w:p>
    <w:p>
      <w:pPr>
        <w:ind w:left="180" w:hanging="172"/>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of Aviat Networks, Inc. are set forth in Item 8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II — Valuation and Qualifying Accounts for the three fiscal years ended July 1, 2011</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2(b).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Ex.</w:t>
            </w:r>
          </w:p>
        </w:tc>
        <w:tc>
          <w:tcPr>
            <w:tcW w:w="5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80" w:type="dxa"/>
            <w:vAlign w:val="bottom"/>
          </w:tcPr>
          <w:p>
            <w:pPr>
              <w:spacing w:after="0"/>
              <w:rPr>
                <w:sz w:val="14"/>
                <w:szCs w:val="14"/>
                <w:color w:val="auto"/>
              </w:rPr>
            </w:pPr>
          </w:p>
        </w:tc>
      </w:tr>
      <w:tr>
        <w:trPr>
          <w:trHeight w:val="168"/>
        </w:trPr>
        <w:tc>
          <w:tcPr>
            <w:tcW w:w="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520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880" w:type="dxa"/>
            <w:vAlign w:val="bottom"/>
          </w:tcPr>
          <w:p>
            <w:pPr>
              <w:spacing w:after="0"/>
              <w:rPr>
                <w:sz w:val="14"/>
                <w:szCs w:val="14"/>
                <w:color w:val="auto"/>
              </w:rPr>
            </w:pPr>
          </w:p>
        </w:tc>
      </w:tr>
      <w:tr>
        <w:trPr>
          <w:trHeight w:val="316"/>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2.1</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3"/>
              </w:rPr>
              <w:t>Amended and Restated Formation, Contribution and Merger Agreement, dated as of December 18, 2006, among Harris Corporation, Stratex</w:t>
            </w:r>
          </w:p>
        </w:tc>
      </w:tr>
      <w:tr>
        <w:trPr>
          <w:trHeight w:val="216"/>
        </w:trPr>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9"/>
              </w:rPr>
              <w:t>Networks, Inc., Harris Stratex Networks, Inc. and Stratex Merger Corp. (incorporated by reference to Appendix A to the proxy statement/prospectus</w:t>
            </w:r>
          </w:p>
        </w:tc>
      </w:tr>
      <w:tr>
        <w:trPr>
          <w:trHeight w:val="216"/>
        </w:trPr>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1"/>
              </w:rPr>
              <w:t>forming a part of the Registration Statement on Form S-4 of Harris Stratex Networks, Inc. filed with the Securities and Exchange Commission on</w:t>
            </w:r>
          </w:p>
        </w:tc>
      </w:tr>
      <w:tr>
        <w:trPr>
          <w:trHeight w:val="222"/>
        </w:trPr>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rPr>
              <w:t>January 3, 2007, File No. 333-137980)</w:t>
            </w:r>
          </w:p>
        </w:tc>
      </w:tr>
      <w:tr>
        <w:trPr>
          <w:trHeight w:val="318"/>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2.2</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8"/>
              </w:rPr>
              <w:t>Letter Agreement, dated as of January 26, 2007, among Harris Corporation, Stratex Networks, Inc., Harris Stratex Networks, Inc. and Stratex Merger</w:t>
            </w:r>
          </w:p>
        </w:tc>
      </w:tr>
      <w:tr>
        <w:trPr>
          <w:trHeight w:val="216"/>
        </w:trPr>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2"/>
              </w:rPr>
              <w:t>Corp. (incorporated by reference to Exhibit 2.1.1 to the Report on Form 8-K filed with the Securities and Exchange Commission on February 1,</w:t>
            </w:r>
          </w:p>
        </w:tc>
      </w:tr>
      <w:tr>
        <w:trPr>
          <w:trHeight w:val="222"/>
        </w:trPr>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rPr>
              <w:t>2007, File No. 001-33278)</w:t>
            </w:r>
          </w:p>
        </w:tc>
      </w:tr>
      <w:tr>
        <w:trPr>
          <w:trHeight w:val="318"/>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4"/>
              </w:rPr>
              <w:t>Agreement and Plan of Merger by and among Harris Stratex Networks Operating Corporation, Eagle Networks Merger Corporation, Telsima</w:t>
            </w:r>
          </w:p>
        </w:tc>
      </w:tr>
      <w:tr>
        <w:trPr>
          <w:trHeight w:val="216"/>
        </w:trPr>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89"/>
              </w:rPr>
              <w:t>Corporation and the Holder Representative dated as of February 27, 2009 (incorporated by reference to Exhibit 2.1 to the Report on Form 8-K filed</w:t>
            </w:r>
          </w:p>
        </w:tc>
      </w:tr>
      <w:tr>
        <w:trPr>
          <w:trHeight w:val="222"/>
        </w:trPr>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rPr>
              <w:t>with the Securities and Exchange Commission on March 6, 2009, File No. 001-33278)</w:t>
            </w:r>
          </w:p>
        </w:tc>
      </w:tr>
      <w:tr>
        <w:trPr>
          <w:trHeight w:val="318"/>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2.4</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0"/>
              </w:rPr>
              <w:t>Asset Purchase Agreement by and among Aviat U.S., Inc. and EION Networks, Inc., dated as of September 2, 2011 (incorporated by reference to</w:t>
            </w:r>
          </w:p>
        </w:tc>
      </w:tr>
      <w:tr>
        <w:trPr>
          <w:trHeight w:val="222"/>
        </w:trPr>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8"/>
              </w:rPr>
              <w:t>Exhibit 2.1 to the Report on Form 8-K filed with the Securities and Exchange Commission on September 9, 2011, File No. 001-33278)</w:t>
            </w:r>
          </w:p>
        </w:tc>
      </w:tr>
      <w:tr>
        <w:trPr>
          <w:trHeight w:val="318"/>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0"/>
              </w:rPr>
              <w:t>Amended and Restated Certificate of Incorporation of Harris Stratex Networks, Inc. as filed with the Secretary of State of the State of Delaware on</w:t>
            </w:r>
          </w:p>
        </w:tc>
      </w:tr>
      <w:tr>
        <w:trPr>
          <w:trHeight w:val="216"/>
        </w:trPr>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2"/>
              </w:rPr>
              <w:t>November 19, 2009 (incorporated by reference to Exhibit 3.1 to the Report on Form 8-K filed with the Securities and Exchange Commission on</w:t>
            </w:r>
          </w:p>
        </w:tc>
      </w:tr>
      <w:tr>
        <w:trPr>
          <w:trHeight w:val="222"/>
        </w:trPr>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rPr>
              <w:t>November 20, 2009, File No. 001-33278)</w:t>
            </w:r>
          </w:p>
        </w:tc>
      </w:tr>
      <w:tr>
        <w:trPr>
          <w:trHeight w:val="318"/>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1"/>
              </w:rPr>
              <w:t>Amended and Restated Bylaws of Harris Stratex Networks, Inc. (incorporated by reference to Exhibit 3.2 to the Report on Form 8-K filed with the</w:t>
            </w:r>
          </w:p>
        </w:tc>
      </w:tr>
      <w:tr>
        <w:trPr>
          <w:trHeight w:val="222"/>
        </w:trPr>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rPr>
              <w:t>Securities and Exchange Commission on November 20, 2009, File No. 001-33278)</w:t>
            </w:r>
          </w:p>
        </w:tc>
      </w:tr>
      <w:tr>
        <w:trPr>
          <w:trHeight w:val="318"/>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3.3</w:t>
            </w: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1"/>
              </w:rPr>
              <w:t>Certificate of Ownership and Merger Merging Aviat Networks, Inc. into Harris Stratex Networks, Inc., effective January 27, 2010, as filed with the</w:t>
            </w:r>
          </w:p>
        </w:tc>
      </w:tr>
      <w:tr>
        <w:trPr>
          <w:trHeight w:val="216"/>
        </w:trPr>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w w:val="90"/>
              </w:rPr>
              <w:t>Secretary of State of the State of Delaware on January 27, 2010 (incorporated by reference to Exhibit 3.1 to the Report on Form 8-K filed with the</w:t>
            </w:r>
          </w:p>
        </w:tc>
      </w:tr>
      <w:tr>
        <w:trPr>
          <w:trHeight w:val="222"/>
        </w:trPr>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0" w:type="dxa"/>
            <w:vAlign w:val="bottom"/>
            <w:gridSpan w:val="3"/>
          </w:tcPr>
          <w:p>
            <w:pPr>
              <w:ind w:left="300"/>
              <w:spacing w:after="0"/>
              <w:rPr>
                <w:sz w:val="20"/>
                <w:szCs w:val="20"/>
                <w:color w:val="auto"/>
              </w:rPr>
            </w:pPr>
            <w:r>
              <w:rPr>
                <w:rFonts w:ascii="Arial" w:cs="Arial" w:eastAsia="Arial" w:hAnsi="Arial"/>
                <w:sz w:val="18"/>
                <w:szCs w:val="18"/>
                <w:color w:val="auto"/>
              </w:rPr>
              <w:t>Securities and Exchange Commission on January 28, 2010, File No. 001-33278)</w:t>
            </w:r>
          </w:p>
        </w:tc>
      </w:tr>
      <w:tr>
        <w:trPr>
          <w:trHeight w:val="365"/>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2"/>
          </w:tcPr>
          <w:p>
            <w:pPr>
              <w:ind w:left="4960"/>
              <w:spacing w:after="0"/>
              <w:rPr>
                <w:sz w:val="20"/>
                <w:szCs w:val="20"/>
                <w:color w:val="auto"/>
              </w:rPr>
            </w:pPr>
            <w:r>
              <w:rPr>
                <w:rFonts w:ascii="Arial" w:cs="Arial" w:eastAsia="Arial" w:hAnsi="Arial"/>
                <w:sz w:val="18"/>
                <w:szCs w:val="18"/>
                <w:color w:val="auto"/>
              </w:rPr>
              <w:t>105</w:t>
            </w:r>
          </w:p>
        </w:tc>
        <w:tc>
          <w:tcPr>
            <w:tcW w:w="4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3"/>
          </w:tcPr>
          <w:p>
            <w:pPr>
              <w:ind w:left="160"/>
              <w:spacing w:after="0"/>
              <w:rPr>
                <w:sz w:val="20"/>
                <w:szCs w:val="20"/>
                <w:color w:val="auto"/>
              </w:rPr>
            </w:pPr>
            <w:r>
              <w:rPr>
                <w:rFonts w:ascii="Arial" w:cs="Arial" w:eastAsia="Arial" w:hAnsi="Arial"/>
                <w:sz w:val="14"/>
                <w:szCs w:val="14"/>
                <w:b w:val="1"/>
                <w:bCs w:val="1"/>
                <w:color w:val="auto"/>
              </w:rPr>
              <w:t>Ex.</w:t>
            </w:r>
          </w:p>
        </w:tc>
        <w:tc>
          <w:tcPr>
            <w:tcW w:w="5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68"/>
        </w:trPr>
        <w:tc>
          <w:tcPr>
            <w:tcW w:w="34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r>
      <w:tr>
        <w:trPr>
          <w:trHeight w:val="322"/>
        </w:trPr>
        <w:tc>
          <w:tcPr>
            <w:tcW w:w="340" w:type="dxa"/>
            <w:vAlign w:val="bottom"/>
            <w:gridSpan w:val="2"/>
          </w:tcPr>
          <w:p>
            <w:pPr>
              <w:ind w:left="100"/>
              <w:spacing w:after="0"/>
              <w:rPr>
                <w:sz w:val="20"/>
                <w:szCs w:val="20"/>
                <w:color w:val="auto"/>
              </w:rPr>
            </w:pPr>
            <w:r>
              <w:rPr>
                <w:rFonts w:ascii="Arial" w:cs="Arial" w:eastAsia="Arial" w:hAnsi="Arial"/>
                <w:sz w:val="18"/>
                <w:szCs w:val="18"/>
                <w:color w:val="auto"/>
                <w:w w:val="87"/>
              </w:rPr>
              <w:t>4.1</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4.1.1</w:t>
            </w: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89"/>
              </w:rPr>
              <w:t>Specimen common stock certificate, adopted as of January 29, 2010 (incorporated by reference to Exhibit 4.1.1 to the Company’s Annual Report</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1"/>
              </w:rPr>
              <w:t>on Form 10-K for fiscal year end July 2, 2010 filed with the Securities and Exchange Commission on September 9, 2010, File No. 001-33278)</w:t>
            </w:r>
          </w:p>
        </w:tc>
      </w:tr>
      <w:tr>
        <w:trPr>
          <w:trHeight w:val="324"/>
        </w:trPr>
        <w:tc>
          <w:tcPr>
            <w:tcW w:w="340" w:type="dxa"/>
            <w:vAlign w:val="bottom"/>
            <w:gridSpan w:val="2"/>
          </w:tcPr>
          <w:p>
            <w:pPr>
              <w:ind w:left="100"/>
              <w:spacing w:after="0"/>
              <w:rPr>
                <w:sz w:val="20"/>
                <w:szCs w:val="20"/>
                <w:color w:val="auto"/>
              </w:rPr>
            </w:pPr>
            <w:r>
              <w:rPr>
                <w:rFonts w:ascii="Arial" w:cs="Arial" w:eastAsia="Arial" w:hAnsi="Arial"/>
                <w:sz w:val="18"/>
                <w:szCs w:val="18"/>
                <w:color w:val="auto"/>
                <w:w w:val="87"/>
              </w:rPr>
              <w:t>4.2</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24"/>
        </w:trPr>
        <w:tc>
          <w:tcPr>
            <w:tcW w:w="340" w:type="dxa"/>
            <w:vAlign w:val="bottom"/>
            <w:gridSpan w:val="2"/>
          </w:tcPr>
          <w:p>
            <w:pPr>
              <w:ind w:left="100"/>
              <w:spacing w:after="0"/>
              <w:rPr>
                <w:sz w:val="20"/>
                <w:szCs w:val="20"/>
                <w:color w:val="auto"/>
              </w:rPr>
            </w:pPr>
            <w:r>
              <w:rPr>
                <w:rFonts w:ascii="Arial" w:cs="Arial" w:eastAsia="Arial" w:hAnsi="Arial"/>
                <w:sz w:val="18"/>
                <w:szCs w:val="18"/>
                <w:color w:val="auto"/>
                <w:w w:val="87"/>
              </w:rPr>
              <w:t>4.3</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10.1</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10.2</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4"/>
              </w:rPr>
              <w:t>Non-Competition Agreement among Harris Stratex Networks, Inc., Harris Corporation and Stratex Networks, Inc. dated January 26, 2007</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1"/>
              </w:rPr>
              <w:t>(incorporated by reference to Exhibit 10.2 to the Report on Form 8-K filed with the Securities and Exchange Commission on February 1, 2007,</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File No. 001-33278)</w:t>
            </w:r>
          </w:p>
        </w:tc>
      </w:tr>
      <w:tr>
        <w:trPr>
          <w:trHeight w:val="318"/>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10.3</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89"/>
              </w:rPr>
              <w:t>Intellectual Property Agreement between Harris Stratex Networks, Inc. and Harris Corporation dated January 26, 2007 (incorporated by reference</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5"/>
              </w:rPr>
              <w:t>to Exhibit 10.4 to the Report on Form 8-K filed with the Securities and Exchange Commission on February 1, 2007, File No. 001-33278)</w:t>
            </w:r>
          </w:p>
        </w:tc>
      </w:tr>
      <w:tr>
        <w:trPr>
          <w:trHeight w:val="318"/>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10.4</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6"/>
              </w:rPr>
              <w:t>Trademark and Trade Name License Agreement between Harris Stratex Networks, Inc. and Harris Corporation dated January 26, 2007</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1"/>
              </w:rPr>
              <w:t>(incorporated by reference to Exhibit 10.5 to the Report on Form 8-K filed with the Securities and Exchange Commission on February 1, 2007,</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File No. 001-33278)</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10.5</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10.6</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88"/>
              </w:rPr>
              <w:t>Transition Services Agreement between Harris Stratex Networks, Inc. and Harris Corporation dated January 26, 2007 (incorporated by reference to</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7"/>
              </w:rPr>
              <w:t>Exhibit 10.7 to the Report on Form 8-K filed with the Securities and Exchange Commission on February 1, 2007, File No. 001-33278)</w:t>
            </w:r>
          </w:p>
        </w:tc>
      </w:tr>
      <w:tr>
        <w:trPr>
          <w:trHeight w:val="318"/>
        </w:trPr>
        <w:tc>
          <w:tcPr>
            <w:tcW w:w="760" w:type="dxa"/>
            <w:vAlign w:val="bottom"/>
            <w:gridSpan w:val="3"/>
          </w:tcPr>
          <w:p>
            <w:pPr>
              <w:spacing w:after="0"/>
              <w:rPr>
                <w:sz w:val="20"/>
                <w:szCs w:val="20"/>
                <w:color w:val="auto"/>
              </w:rPr>
            </w:pPr>
            <w:r>
              <w:rPr>
                <w:rFonts w:ascii="Arial" w:cs="Arial" w:eastAsia="Arial" w:hAnsi="Arial"/>
                <w:sz w:val="18"/>
                <w:szCs w:val="18"/>
                <w:color w:val="auto"/>
              </w:rPr>
              <w:t>10.6.1</w:t>
            </w: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6"/>
              </w:rPr>
              <w:t>Amendment to Transition Services Agreement between Harris Stratex Networks, Inc. and Harris Corporation dated December 12, 2008</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89"/>
              </w:rPr>
              <w:t>(incorporated by reference to Exhibit 10.1 to the Company’s Quarterly Report on Form 10-Q for the fiscal quarter ended January 2, 2009 filed with</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the Securities and Exchange Commission on February 10, 2009, File No. 001-33278)</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10.7</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10.8</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89"/>
              </w:rPr>
              <w:t>NetBoss Service Agreement between Harris Stratex Networks, Inc. and Harris Corporation dated January 26, 2007 (incorporated by reference to</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7"/>
              </w:rPr>
              <w:t>Exhibit 10.9 to the Report on Form 8-K filed with the Securities and Exchange Commission on February 1, 2007, File No. 001-33278)</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10.9</w:t>
            </w:r>
          </w:p>
        </w:tc>
        <w:tc>
          <w:tcPr>
            <w:tcW w:w="420" w:type="dxa"/>
            <w:vAlign w:val="bottom"/>
          </w:tcPr>
          <w:p>
            <w:pPr>
              <w:spacing w:after="0"/>
              <w:rPr>
                <w:sz w:val="24"/>
                <w:szCs w:val="24"/>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760" w:type="dxa"/>
            <w:vAlign w:val="bottom"/>
            <w:gridSpan w:val="3"/>
          </w:tcPr>
          <w:p>
            <w:pPr>
              <w:spacing w:after="0"/>
              <w:rPr>
                <w:sz w:val="20"/>
                <w:szCs w:val="20"/>
                <w:color w:val="auto"/>
              </w:rPr>
            </w:pPr>
            <w:r>
              <w:rPr>
                <w:rFonts w:ascii="Arial" w:cs="Arial" w:eastAsia="Arial" w:hAnsi="Arial"/>
                <w:sz w:val="18"/>
                <w:szCs w:val="18"/>
                <w:color w:val="auto"/>
              </w:rPr>
              <w:t>10.10</w:t>
            </w: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2"/>
              </w:rPr>
              <w:t>Tax Sharing Agreement between Harris Stratex Networks, Inc. and Harris Corporation dated January 26, 2007 (incorporated by reference to</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6"/>
              </w:rPr>
              <w:t>Exhibit 10.11 to the Report on Form 8-K filed with the Securities and Exchange Commission on February 1, 2007, File No. 001-33278)</w:t>
            </w:r>
          </w:p>
        </w:tc>
      </w:tr>
      <w:tr>
        <w:trPr>
          <w:trHeight w:val="324"/>
        </w:trPr>
        <w:tc>
          <w:tcPr>
            <w:tcW w:w="760" w:type="dxa"/>
            <w:vAlign w:val="bottom"/>
            <w:gridSpan w:val="3"/>
          </w:tcPr>
          <w:p>
            <w:pPr>
              <w:spacing w:after="0"/>
              <w:rPr>
                <w:sz w:val="20"/>
                <w:szCs w:val="20"/>
                <w:color w:val="auto"/>
              </w:rPr>
            </w:pPr>
            <w:r>
              <w:rPr>
                <w:rFonts w:ascii="Arial" w:cs="Arial" w:eastAsia="Arial" w:hAnsi="Arial"/>
                <w:sz w:val="18"/>
                <w:szCs w:val="18"/>
                <w:color w:val="auto"/>
              </w:rPr>
              <w:t>10.11</w:t>
            </w: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760" w:type="dxa"/>
            <w:vAlign w:val="bottom"/>
            <w:gridSpan w:val="3"/>
          </w:tcPr>
          <w:p>
            <w:pPr>
              <w:spacing w:after="0"/>
              <w:rPr>
                <w:sz w:val="20"/>
                <w:szCs w:val="20"/>
                <w:color w:val="auto"/>
              </w:rPr>
            </w:pPr>
            <w:r>
              <w:rPr>
                <w:rFonts w:ascii="Arial" w:cs="Arial" w:eastAsia="Arial" w:hAnsi="Arial"/>
                <w:sz w:val="18"/>
                <w:szCs w:val="18"/>
                <w:color w:val="auto"/>
              </w:rPr>
              <w:t>10.12*</w:t>
            </w: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1"/>
              </w:rPr>
              <w:t>Employment Agreement, effective as of April 8, 2008, between Harris Stratex Networks, Inc. and Harald J. Braun (incorporated by reference to</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1"/>
              </w:rPr>
              <w:t>Exhibit 10.15.1 to the Company’s Quarterly Report on Form 10-Q for the quarter ended March 28, 2008 filed with the Securities and Exchange</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Commission on May 6, 2008, File No. 001-33278)</w:t>
            </w:r>
          </w:p>
        </w:tc>
      </w:tr>
      <w:tr>
        <w:trPr>
          <w:trHeight w:val="318"/>
        </w:trPr>
        <w:tc>
          <w:tcPr>
            <w:tcW w:w="760" w:type="dxa"/>
            <w:vAlign w:val="bottom"/>
            <w:gridSpan w:val="3"/>
          </w:tcPr>
          <w:p>
            <w:pPr>
              <w:spacing w:after="0"/>
              <w:rPr>
                <w:sz w:val="20"/>
                <w:szCs w:val="20"/>
                <w:color w:val="auto"/>
              </w:rPr>
            </w:pPr>
            <w:r>
              <w:rPr>
                <w:rFonts w:ascii="Arial" w:cs="Arial" w:eastAsia="Arial" w:hAnsi="Arial"/>
                <w:sz w:val="18"/>
                <w:szCs w:val="18"/>
                <w:color w:val="auto"/>
              </w:rPr>
              <w:t>10.13*</w:t>
            </w: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1"/>
              </w:rPr>
              <w:t>Restated Employment Agreement, dated as of May 14, 2002, by and between Stratex Networks, Inc. and Charles D. Kissner (incorporated by</w:t>
            </w: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w w:val="91"/>
              </w:rPr>
              <w:t>reference to Exhibit 10.7 to the Annual Report on Form 10-K of Stratex Networks, Inc. for the Fiscal Year Ended March 31, 2003 filed with the</w:t>
            </w:r>
          </w:p>
        </w:tc>
      </w:tr>
      <w:tr>
        <w:trPr>
          <w:trHeight w:val="222"/>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40" w:type="dxa"/>
            <w:vAlign w:val="bottom"/>
            <w:gridSpan w:val="3"/>
          </w:tcPr>
          <w:p>
            <w:pPr>
              <w:ind w:left="280"/>
              <w:spacing w:after="0"/>
              <w:rPr>
                <w:sz w:val="20"/>
                <w:szCs w:val="20"/>
                <w:color w:val="auto"/>
              </w:rPr>
            </w:pPr>
            <w:r>
              <w:rPr>
                <w:rFonts w:ascii="Arial" w:cs="Arial" w:eastAsia="Arial" w:hAnsi="Arial"/>
                <w:sz w:val="18"/>
                <w:szCs w:val="18"/>
                <w:color w:val="auto"/>
              </w:rPr>
              <w:t>Securities and Exchange Commission on May 19, 2003, File No. 000-15895)</w:t>
            </w:r>
          </w:p>
        </w:tc>
      </w:tr>
      <w:tr>
        <w:trPr>
          <w:trHeight w:val="365"/>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20" w:type="dxa"/>
            <w:vAlign w:val="bottom"/>
          </w:tcPr>
          <w:p>
            <w:pPr>
              <w:ind w:left="4820"/>
              <w:spacing w:after="0"/>
              <w:rPr>
                <w:sz w:val="20"/>
                <w:szCs w:val="20"/>
                <w:color w:val="auto"/>
              </w:rPr>
            </w:pPr>
            <w:r>
              <w:rPr>
                <w:rFonts w:ascii="Arial" w:cs="Arial" w:eastAsia="Arial" w:hAnsi="Arial"/>
                <w:sz w:val="18"/>
                <w:szCs w:val="18"/>
                <w:color w:val="auto"/>
                <w:w w:val="93"/>
              </w:rPr>
              <w:t>106</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3"/>
          </w:tcPr>
          <w:p>
            <w:pPr>
              <w:ind w:left="220"/>
              <w:spacing w:after="0"/>
              <w:rPr>
                <w:sz w:val="20"/>
                <w:szCs w:val="20"/>
                <w:color w:val="auto"/>
              </w:rPr>
            </w:pPr>
            <w:r>
              <w:rPr>
                <w:rFonts w:ascii="Arial" w:cs="Arial" w:eastAsia="Arial" w:hAnsi="Arial"/>
                <w:sz w:val="14"/>
                <w:szCs w:val="14"/>
                <w:b w:val="1"/>
                <w:bCs w:val="1"/>
                <w:color w:val="auto"/>
              </w:rPr>
              <w:t>Ex.</w:t>
            </w:r>
          </w:p>
        </w:tc>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8"/>
        </w:trPr>
        <w:tc>
          <w:tcPr>
            <w:tcW w:w="42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316"/>
        </w:trPr>
        <w:tc>
          <w:tcPr>
            <w:tcW w:w="900" w:type="dxa"/>
            <w:vAlign w:val="bottom"/>
            <w:gridSpan w:val="3"/>
          </w:tcPr>
          <w:p>
            <w:pPr>
              <w:spacing w:after="0"/>
              <w:rPr>
                <w:sz w:val="20"/>
                <w:szCs w:val="20"/>
                <w:color w:val="auto"/>
              </w:rPr>
            </w:pPr>
            <w:r>
              <w:rPr>
                <w:rFonts w:ascii="Arial" w:cs="Arial" w:eastAsia="Arial" w:hAnsi="Arial"/>
                <w:sz w:val="18"/>
                <w:szCs w:val="18"/>
                <w:color w:val="auto"/>
              </w:rPr>
              <w:t>10.13.1*</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9"/>
              </w:rPr>
              <w:t>Third Amendment to Employment Agreement, dated as of December 15, 2006, by and between Stratex Networks, Inc. and Charles D. Kissner</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4"/>
              </w:rPr>
              <w:t>(incorporated by reference to Exhibit 10.29 to Amendment No. 2 to the Registration Statement on Form S-4 filed with the Securities and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Exchange Commission on December 19, 2006, File No. 333-137980)</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10.14*</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8"/>
              </w:rPr>
              <w:t>Standard Form of Executive Employment Agreement between Harris Stratex Networks, Inc. and certain executives (incorporated by reference to</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5"/>
              </w:rPr>
              <w:t>Exhibit 10.16 to the Report on Form 8-K filed with the Securities and Exchange Commission on February 1, 2007, File No. 001-33278)</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10.15</w:t>
            </w:r>
          </w:p>
        </w:tc>
        <w:tc>
          <w:tcPr>
            <w:tcW w:w="480" w:type="dxa"/>
            <w:vAlign w:val="bottom"/>
          </w:tcPr>
          <w:p>
            <w:pPr>
              <w:spacing w:after="0"/>
              <w:rPr>
                <w:sz w:val="24"/>
                <w:szCs w:val="24"/>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1"/>
              </w:rPr>
              <w:t>Form of Indemnification Agreement between Harris Stratex Networks, Inc. and its directors and certain officers (incorporated by reference to</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Exhibit 10.16 to the Registration Statement on Form S-1 of Stratex Networks, Inc., File No. 33-13431)</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10.16</w:t>
            </w:r>
          </w:p>
        </w:tc>
        <w:tc>
          <w:tcPr>
            <w:tcW w:w="480" w:type="dxa"/>
            <w:vAlign w:val="bottom"/>
          </w:tcPr>
          <w:p>
            <w:pPr>
              <w:spacing w:after="0"/>
              <w:rPr>
                <w:sz w:val="24"/>
                <w:szCs w:val="24"/>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4"/>
              </w:rPr>
              <w:t>Sublicense Agreement, effective as of January 26, 2007, between Harris Stratex Networks, Inc. and Harris Stratex Networks Operating</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9"/>
              </w:rPr>
              <w:t>Corporation (incorporated by reference to Exhibit 10.22 to the Company’s Annual Report on Form 10-K for the fiscal year ended June 29, 2007</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filed with the Securities and Exchange Commission on August 27, 2007,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10.17*</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9"/>
              </w:rPr>
              <w:t>Harris Stratex Networks, Inc. Annual Incentive Plan (incorporated by reference to Exhibit 10.17 to the Company’s Annual Report on Form 10-K</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3"/>
              </w:rPr>
              <w:t>for the fiscal year ended June 27, 2008 filed with the Securities and Exchange Commission on September 25, 2008,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10.18*</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Harris Stratex Networks, Inc. 2007 Stock Equity Plan (incorporated by reference to Exhibit 4.9 to the Registration Statement on Form S-8 filed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with the Securities and Exchange Commission on February 5, 2007, File No. 333-140442)</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10.18.1</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Harris Stratex Networks, Inc. 2007 Stock Equity Plan (As Amended and Restated Effective November 19, 2009) (incorporated by reference to</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2"/>
              </w:rPr>
              <w:t>Appendix B to the Registrant’s Schedule 14A filed with the Securities and Exchange Commission on October 7, 2009, File No. 001-33278)</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10.19</w:t>
            </w:r>
          </w:p>
        </w:tc>
        <w:tc>
          <w:tcPr>
            <w:tcW w:w="480" w:type="dxa"/>
            <w:vAlign w:val="bottom"/>
          </w:tcPr>
          <w:p>
            <w:pPr>
              <w:spacing w:after="0"/>
              <w:rPr>
                <w:sz w:val="24"/>
                <w:szCs w:val="24"/>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9"/>
              </w:rPr>
              <w:t>Credit Agreement between Harris Stratex Networks, Inc., Harris Stratex Networks Operating Corporation, Harris Stratex Networks(S) Pte. Ltd.,</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3"/>
              </w:rPr>
              <w:t>Bank of America, N.A., Silicon Valley Bank, Banc of America Securities Asia Limited and Banc of America Securities LLC, dated June 30,</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2008 (incorporated by reference to Exhibit 10.19 to the Company’s Annual Report on Form 10-K for the fiscal year ended June 27, 2008 filed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with the Securities and Exchange Commission on September 25, 2008,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10.19.1</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2"/>
              </w:rPr>
              <w:t>Amendment No. 1 to Credit Agreement between Aviat Networks, Inc., Aviat U.S., Inc., Aviat Networks(S) Pte. Ltd., Bank of America, N.A.,</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Bank of America, N.A. Hong Kong Branch, and Silicon Valley Bank, dated August 23, 2010 (incorporate by reference to Exhibit 10.19.1 to the</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5"/>
              </w:rPr>
              <w:t>Company’s Annual Report on Form 10-K for the fiscal year ended July 2, 2010 filed with the Securities and Exchange Commission on</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September 9, 2010, File No. 001-33278)</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10.20</w:t>
            </w:r>
          </w:p>
        </w:tc>
        <w:tc>
          <w:tcPr>
            <w:tcW w:w="480" w:type="dxa"/>
            <w:vAlign w:val="bottom"/>
          </w:tcPr>
          <w:p>
            <w:pPr>
              <w:spacing w:after="0"/>
              <w:rPr>
                <w:sz w:val="24"/>
                <w:szCs w:val="24"/>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4"/>
              </w:rPr>
              <w:t>Amended and Restated Loan and Security Agreement between Stratex Networks, Inc. and Silicon Valley Bank, dated January 21, 2004</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3"/>
              </w:rPr>
              <w:t>(incorporated by reference to Exhibit 10.1 to the Report on Form 8-K of Stratex Networks, Inc. on January 22, 2004, File No. 000-15895)</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10.20.1</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Amendment No. 5 to Amended and Restated Loan and Security Agreement between Harris Stratex Networks Operating Corporation, a wholly</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8"/>
              </w:rPr>
              <w:t>owned subsidiary of Harris Stratex Networks, Inc. and the successor to Stratex Networks, Inc. and Silicon Valley Bank, dated February 23, 2007</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8"/>
              </w:rPr>
              <w:t>(incorporated herein by reference to Exhibit 10.28.5 to the Company’s Annual Report on Form 10-K for the fiscal year ended June 29, 2007 filed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with the Securities and Exchange Commission on August 27, 2007, File No. 001-33278)</w:t>
            </w:r>
          </w:p>
        </w:tc>
      </w:tr>
      <w:tr>
        <w:trPr>
          <w:trHeight w:val="324"/>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10.21</w:t>
            </w:r>
          </w:p>
        </w:tc>
        <w:tc>
          <w:tcPr>
            <w:tcW w:w="480" w:type="dxa"/>
            <w:vAlign w:val="bottom"/>
          </w:tcPr>
          <w:p>
            <w:pPr>
              <w:spacing w:after="0"/>
              <w:rPr>
                <w:sz w:val="24"/>
                <w:szCs w:val="24"/>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65"/>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60" w:type="dxa"/>
            <w:vAlign w:val="bottom"/>
          </w:tcPr>
          <w:p>
            <w:pPr>
              <w:ind w:left="4680"/>
              <w:spacing w:after="0"/>
              <w:rPr>
                <w:sz w:val="20"/>
                <w:szCs w:val="20"/>
                <w:color w:val="auto"/>
              </w:rPr>
            </w:pPr>
            <w:r>
              <w:rPr>
                <w:rFonts w:ascii="Arial" w:cs="Arial" w:eastAsia="Arial" w:hAnsi="Arial"/>
                <w:sz w:val="18"/>
                <w:szCs w:val="18"/>
                <w:color w:val="auto"/>
              </w:rPr>
              <w:t>107</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3"/>
          </w:tcPr>
          <w:p>
            <w:pPr>
              <w:ind w:left="220"/>
              <w:spacing w:after="0"/>
              <w:rPr>
                <w:sz w:val="20"/>
                <w:szCs w:val="20"/>
                <w:color w:val="auto"/>
              </w:rPr>
            </w:pPr>
            <w:r>
              <w:rPr>
                <w:rFonts w:ascii="Arial" w:cs="Arial" w:eastAsia="Arial" w:hAnsi="Arial"/>
                <w:sz w:val="14"/>
                <w:szCs w:val="14"/>
                <w:b w:val="1"/>
                <w:bCs w:val="1"/>
                <w:color w:val="auto"/>
              </w:rPr>
              <w:t>Ex.</w:t>
            </w:r>
          </w:p>
        </w:tc>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42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60" w:type="dxa"/>
            <w:vAlign w:val="bottom"/>
          </w:tcPr>
          <w:p>
            <w:pPr>
              <w:spacing w:after="0"/>
              <w:rPr>
                <w:sz w:val="14"/>
                <w:szCs w:val="14"/>
                <w:color w:val="auto"/>
              </w:rPr>
            </w:pPr>
          </w:p>
        </w:tc>
      </w:tr>
      <w:tr>
        <w:trPr>
          <w:trHeight w:val="316"/>
        </w:trPr>
        <w:tc>
          <w:tcPr>
            <w:tcW w:w="900" w:type="dxa"/>
            <w:vAlign w:val="bottom"/>
            <w:gridSpan w:val="3"/>
          </w:tcPr>
          <w:p>
            <w:pPr>
              <w:spacing w:after="0"/>
              <w:rPr>
                <w:sz w:val="20"/>
                <w:szCs w:val="20"/>
                <w:color w:val="auto"/>
              </w:rPr>
            </w:pPr>
            <w:r>
              <w:rPr>
                <w:rFonts w:ascii="Arial" w:cs="Arial" w:eastAsia="Arial" w:hAnsi="Arial"/>
                <w:sz w:val="18"/>
                <w:szCs w:val="18"/>
                <w:color w:val="auto"/>
              </w:rPr>
              <w:t>10.22*</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5"/>
              </w:rPr>
              <w:t>Employment Agreement, effective as of May 4, 2009, between Harris Stratex Networks, Inc. and Thomas L. Cronan III (incorporated by</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1"/>
              </w:rPr>
              <w:t>reference to Exhibit 10.1 to the Report on Form 8-K filed with the Securities and Exchange Commission on May 5, 2009,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10.23*</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(incorporation by reference to</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3"/>
              </w:rPr>
              <w:t>Exhibit 10.15.2 to the Company’s Quarterly Report on Form 10-Q for the fiscal quarter ended March 30, 2007 filed with the Securities and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Exchange Commission on May 8, 2007,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10.24*</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8"/>
              </w:rPr>
              <w:t>Employment Agreement, dated as of May 14, 2002, between Stratex Networks, Inc. and Paul Kennard (incorporated by reference to Exhibit 10.1</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0"/>
              </w:rPr>
              <w:t>to the Stratex Networks, Inc. Quarterly Report on Form 10-Q for the fiscal quarter ended June 30, 2006 filed with the Securities and Exchange</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Commission on August 9, 2006, File No. 000-15895)</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10.24.1*</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9"/>
              </w:rPr>
              <w:t>Amendment A, effective as of April 1, 2006, to Employment Agreement, dated May 14, 2002, between Stratex Networks, Inc. and Paul Kennard</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2"/>
              </w:rPr>
              <w:t>(incorporated by reference to Exhibit 10.2 to the Stratex Networks, Inc. Quarterly Report on Form 10-Q for the fiscal quarter ended June 30,</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2006 filed with the Securities and Exchange Commission on August 9, 2006, File No. 000-15895)</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10.24.2*</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9"/>
              </w:rPr>
              <w:t>Amendment B, effective as of April 1, 2006, to Employment Agreement, dated May 14, 2002, between Stratex Networks, Inc. and Paul Kennard</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2"/>
              </w:rPr>
              <w:t>(incorporated by reference to Exhibit 10.3 to the Stratex Networks, Inc. Quarterly Report on Form 10-Q for the fiscal quarter ended June 30,</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2006 filed with the Securities and Exchange Commission on August 9, 2006, File No. 000-15895)</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10.25*</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2"/>
              </w:rPr>
              <w:t>Employment Agreement, dated as of May 14, 2002, between Stratex Networks, Inc. and Shaun McFall (incorporated by reference to Exhibit</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9"/>
              </w:rPr>
              <w:t>10.25 to the Company’s Annual Report on Form 10-K for the fiscal year ended July 3, 2009 filed with the Securities and Exchange Commission</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on September 4, 2009,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10.25.1*</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4"/>
              </w:rPr>
              <w:t>Amendment, effective April 1, 2006, to Employment Agreement, dated May 14, 2002, between Stratex Networks, Inc. and Shaun McFall</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9"/>
              </w:rPr>
              <w:t>(incorporated by reference to Exhibit 10.25.1 to the Company’s Annual Report on Form 10-K for the fiscal year ended July 3, 2009 filed with the</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Securities and Exchange Commission on September 4, 2009,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10.26*</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0"/>
              </w:rPr>
              <w:t>Employment Agreement, dated June 28, 2010, between Aviat Networks, Inc. and Charles D. Kissner (incorporated by reference to Exhibit 10.1</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to the Report on Form 8-K filed with the Securities and Exchange Commission on July 1, 2010,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10.26.1*</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9"/>
              </w:rPr>
              <w:t>Employment Agreement, dated August 1, 2010, between Aviat Networks, Inc. and Charles D. Kissner (incorporated by reference to Exhibit 10.2</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0"/>
              </w:rPr>
              <w:t>to the Company’s Quarterly Report on Form 10-Q for fiscal quarter ended October 1, 2010 filed with the Securities and Exchange Commission</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on November 10, 2010, File No. 001-33278)</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10.27*</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Employment Agreement, dated July 18, 2011, between Aviat Networks, Inc. and Charles D. Kissner</w:t>
            </w: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10.28*</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Employment Agreement, dated July 18, 2011, between Aviat Networks, Inc. and Michael Pangia</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10.29*</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8"/>
              </w:rPr>
              <w:t>Employment Agreement, dated December 30, 2010, between Aviat Networks, Inc. and John Madigan (incorporate by reference to Exhibit 10.1 to</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the Report on Form 8-K filed with the Securities and Exchange Commission on January 4, 2011, File No. 001-33278)</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10.30</w:t>
            </w:r>
          </w:p>
        </w:tc>
        <w:tc>
          <w:tcPr>
            <w:tcW w:w="480" w:type="dxa"/>
            <w:vAlign w:val="bottom"/>
          </w:tcPr>
          <w:p>
            <w:pPr>
              <w:spacing w:after="0"/>
              <w:rPr>
                <w:sz w:val="24"/>
                <w:szCs w:val="24"/>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4"/>
              </w:rPr>
              <w:t>Loan and Security Agreement between Aviat Networks, Inc., Aviat U.S., Inc., Aviat Networks (S) Pte Ltd. and Silicon Valley Bank, dated</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8"/>
              </w:rPr>
              <w:t>September 30, 2010 (incorporated by reference to Exhibit 10.1 to the Report on Form 8-K filed with the Securities and Exchange Commission on</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October 4, 2010, File No. 001-33278)</w:t>
            </w:r>
          </w:p>
        </w:tc>
      </w:tr>
      <w:tr>
        <w:trPr>
          <w:trHeight w:val="365"/>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60" w:type="dxa"/>
            <w:vAlign w:val="bottom"/>
          </w:tcPr>
          <w:p>
            <w:pPr>
              <w:ind w:left="4680"/>
              <w:spacing w:after="0"/>
              <w:rPr>
                <w:sz w:val="20"/>
                <w:szCs w:val="20"/>
                <w:color w:val="auto"/>
              </w:rPr>
            </w:pPr>
            <w:r>
              <w:rPr>
                <w:rFonts w:ascii="Arial" w:cs="Arial" w:eastAsia="Arial" w:hAnsi="Arial"/>
                <w:sz w:val="18"/>
                <w:szCs w:val="18"/>
                <w:color w:val="auto"/>
              </w:rPr>
              <w:t>108</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Ex.</w:t>
            </w:r>
          </w:p>
        </w:tc>
        <w:tc>
          <w:tcPr>
            <w:tcW w:w="5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68"/>
        </w:trPr>
        <w:tc>
          <w:tcPr>
            <w:tcW w:w="34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40" w:type="dxa"/>
            <w:vAlign w:val="bottom"/>
          </w:tcPr>
          <w:p>
            <w:pPr>
              <w:spacing w:after="0"/>
              <w:rPr>
                <w:sz w:val="14"/>
                <w:szCs w:val="14"/>
                <w:color w:val="auto"/>
              </w:rPr>
            </w:pPr>
          </w:p>
        </w:tc>
      </w:tr>
      <w:tr>
        <w:trPr>
          <w:trHeight w:val="316"/>
        </w:trPr>
        <w:tc>
          <w:tcPr>
            <w:tcW w:w="720" w:type="dxa"/>
            <w:vAlign w:val="bottom"/>
            <w:gridSpan w:val="3"/>
          </w:tcPr>
          <w:p>
            <w:pPr>
              <w:spacing w:after="0"/>
              <w:rPr>
                <w:sz w:val="20"/>
                <w:szCs w:val="20"/>
                <w:color w:val="auto"/>
              </w:rPr>
            </w:pPr>
            <w:r>
              <w:rPr>
                <w:rFonts w:ascii="Arial" w:cs="Arial" w:eastAsia="Arial" w:hAnsi="Arial"/>
                <w:sz w:val="18"/>
                <w:szCs w:val="18"/>
                <w:color w:val="auto"/>
              </w:rPr>
              <w:t>10.31</w:t>
            </w:r>
          </w:p>
        </w:tc>
        <w:tc>
          <w:tcPr>
            <w:tcW w:w="10500" w:type="dxa"/>
            <w:vAlign w:val="bottom"/>
            <w:gridSpan w:val="3"/>
          </w:tcPr>
          <w:p>
            <w:pPr>
              <w:ind w:left="320"/>
              <w:spacing w:after="0"/>
              <w:rPr>
                <w:sz w:val="20"/>
                <w:szCs w:val="20"/>
                <w:color w:val="auto"/>
              </w:rPr>
            </w:pPr>
            <w:r>
              <w:rPr>
                <w:rFonts w:ascii="Arial" w:cs="Arial" w:eastAsia="Arial" w:hAnsi="Arial"/>
                <w:sz w:val="18"/>
                <w:szCs w:val="18"/>
                <w:color w:val="auto"/>
                <w:w w:val="88"/>
              </w:rPr>
              <w:t>Agreement between Aviat Networks, Inc. and Ramius Group, dated September 14, 2010 (incorporated by reference to Exhibit 10.1 to the Report</w:t>
            </w:r>
          </w:p>
        </w:tc>
      </w:tr>
      <w:tr>
        <w:trPr>
          <w:trHeight w:val="222"/>
        </w:trPr>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500" w:type="dxa"/>
            <w:vAlign w:val="bottom"/>
            <w:gridSpan w:val="3"/>
          </w:tcPr>
          <w:p>
            <w:pPr>
              <w:ind w:left="320"/>
              <w:spacing w:after="0"/>
              <w:rPr>
                <w:sz w:val="20"/>
                <w:szCs w:val="20"/>
                <w:color w:val="auto"/>
              </w:rPr>
            </w:pPr>
            <w:r>
              <w:rPr>
                <w:rFonts w:ascii="Arial" w:cs="Arial" w:eastAsia="Arial" w:hAnsi="Arial"/>
                <w:sz w:val="18"/>
                <w:szCs w:val="18"/>
                <w:color w:val="auto"/>
              </w:rPr>
              <w:t>on Form 8-K filed with the Securities and Exchange Commission on September 16, 2010, File No. 001-33278)</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10500" w:type="dxa"/>
            <w:vAlign w:val="bottom"/>
            <w:gridSpan w:val="3"/>
          </w:tcPr>
          <w:p>
            <w:pPr>
              <w:ind w:left="320"/>
              <w:spacing w:after="0"/>
              <w:rPr>
                <w:sz w:val="20"/>
                <w:szCs w:val="20"/>
                <w:color w:val="auto"/>
              </w:rPr>
            </w:pPr>
            <w:r>
              <w:rPr>
                <w:rFonts w:ascii="Arial" w:cs="Arial" w:eastAsia="Arial" w:hAnsi="Arial"/>
                <w:sz w:val="18"/>
                <w:szCs w:val="18"/>
                <w:color w:val="auto"/>
              </w:rPr>
              <w:t>List of Subsidiaries of Aviat Networks, Inc.</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4"/>
                <w:szCs w:val="24"/>
                <w:color w:val="auto"/>
              </w:rPr>
            </w:pPr>
          </w:p>
        </w:tc>
        <w:tc>
          <w:tcPr>
            <w:tcW w:w="10500" w:type="dxa"/>
            <w:vAlign w:val="bottom"/>
            <w:gridSpan w:val="3"/>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31.1</w:t>
            </w:r>
          </w:p>
        </w:tc>
        <w:tc>
          <w:tcPr>
            <w:tcW w:w="380" w:type="dxa"/>
            <w:vAlign w:val="bottom"/>
          </w:tcPr>
          <w:p>
            <w:pPr>
              <w:spacing w:after="0"/>
              <w:rPr>
                <w:sz w:val="24"/>
                <w:szCs w:val="24"/>
                <w:color w:val="auto"/>
              </w:rPr>
            </w:pPr>
          </w:p>
        </w:tc>
        <w:tc>
          <w:tcPr>
            <w:tcW w:w="10500" w:type="dxa"/>
            <w:vAlign w:val="bottom"/>
            <w:gridSpan w:val="3"/>
          </w:tcPr>
          <w:p>
            <w:pPr>
              <w:ind w:left="3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31.2</w:t>
            </w:r>
          </w:p>
        </w:tc>
        <w:tc>
          <w:tcPr>
            <w:tcW w:w="380" w:type="dxa"/>
            <w:vAlign w:val="bottom"/>
          </w:tcPr>
          <w:p>
            <w:pPr>
              <w:spacing w:after="0"/>
              <w:rPr>
                <w:sz w:val="24"/>
                <w:szCs w:val="24"/>
                <w:color w:val="auto"/>
              </w:rPr>
            </w:pPr>
          </w:p>
        </w:tc>
        <w:tc>
          <w:tcPr>
            <w:tcW w:w="10500" w:type="dxa"/>
            <w:vAlign w:val="bottom"/>
            <w:gridSpan w:val="3"/>
          </w:tcPr>
          <w:p>
            <w:pPr>
              <w:ind w:left="3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32.1</w:t>
            </w:r>
          </w:p>
        </w:tc>
        <w:tc>
          <w:tcPr>
            <w:tcW w:w="380" w:type="dxa"/>
            <w:vAlign w:val="bottom"/>
          </w:tcPr>
          <w:p>
            <w:pPr>
              <w:spacing w:after="0"/>
              <w:rPr>
                <w:sz w:val="24"/>
                <w:szCs w:val="24"/>
                <w:color w:val="auto"/>
              </w:rPr>
            </w:pPr>
          </w:p>
        </w:tc>
        <w:tc>
          <w:tcPr>
            <w:tcW w:w="10500" w:type="dxa"/>
            <w:vAlign w:val="bottom"/>
            <w:gridSpan w:val="3"/>
          </w:tcPr>
          <w:p>
            <w:pPr>
              <w:ind w:left="32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24"/>
        </w:trPr>
        <w:tc>
          <w:tcPr>
            <w:tcW w:w="340" w:type="dxa"/>
            <w:vAlign w:val="bottom"/>
            <w:gridSpan w:val="2"/>
          </w:tcPr>
          <w:p>
            <w:pPr>
              <w:spacing w:after="0"/>
              <w:rPr>
                <w:sz w:val="20"/>
                <w:szCs w:val="20"/>
                <w:color w:val="auto"/>
              </w:rPr>
            </w:pPr>
            <w:r>
              <w:rPr>
                <w:rFonts w:ascii="Arial" w:cs="Arial" w:eastAsia="Arial" w:hAnsi="Arial"/>
                <w:sz w:val="18"/>
                <w:szCs w:val="18"/>
                <w:color w:val="auto"/>
                <w:w w:val="91"/>
              </w:rPr>
              <w:t>32.2</w:t>
            </w:r>
          </w:p>
        </w:tc>
        <w:tc>
          <w:tcPr>
            <w:tcW w:w="380" w:type="dxa"/>
            <w:vAlign w:val="bottom"/>
          </w:tcPr>
          <w:p>
            <w:pPr>
              <w:spacing w:after="0"/>
              <w:rPr>
                <w:sz w:val="24"/>
                <w:szCs w:val="24"/>
                <w:color w:val="auto"/>
              </w:rPr>
            </w:pPr>
          </w:p>
        </w:tc>
        <w:tc>
          <w:tcPr>
            <w:tcW w:w="10500" w:type="dxa"/>
            <w:vAlign w:val="bottom"/>
            <w:gridSpan w:val="3"/>
          </w:tcPr>
          <w:p>
            <w:pPr>
              <w:ind w:left="320"/>
              <w:spacing w:after="0"/>
              <w:rPr>
                <w:sz w:val="20"/>
                <w:szCs w:val="20"/>
                <w:color w:val="auto"/>
              </w:rPr>
            </w:pPr>
            <w:r>
              <w:rPr>
                <w:rFonts w:ascii="Arial" w:cs="Arial" w:eastAsia="Arial" w:hAnsi="Arial"/>
                <w:sz w:val="18"/>
                <w:szCs w:val="18"/>
                <w:color w:val="auto"/>
              </w:rPr>
              <w:t>Section 1350 Certification of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580" w:right="2000" w:hanging="5572"/>
        <w:spacing w:after="0" w:line="440" w:lineRule="auto"/>
        <w:tabs>
          <w:tab w:leader="none" w:pos="222"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 109</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AVIAT NETWORKS,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76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 Pangia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2011</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1660" w:type="dxa"/>
            <w:vAlign w:val="bottom"/>
            <w:tcBorders>
              <w:bottom w:val="single" w:sz="8" w:color="auto"/>
            </w:tcBorders>
            <w:gridSpan w:val="2"/>
          </w:tcPr>
          <w:p>
            <w:pPr>
              <w:ind w:left="140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Michael A. Pangia</w:t>
            </w:r>
          </w:p>
        </w:tc>
        <w:tc>
          <w:tcPr>
            <w:tcW w:w="464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President and Chief Executive Officer</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2980" w:type="dxa"/>
            <w:vAlign w:val="bottom"/>
            <w:gridSpan w:val="4"/>
          </w:tcPr>
          <w:p>
            <w:pPr>
              <w:jc w:val="center"/>
              <w:ind w:right="1460"/>
              <w:spacing w:after="0"/>
              <w:rPr>
                <w:sz w:val="20"/>
                <w:szCs w:val="20"/>
                <w:color w:val="auto"/>
              </w:rPr>
            </w:pPr>
            <w:r>
              <w:rPr>
                <w:rFonts w:ascii="Arial" w:cs="Arial" w:eastAsia="Arial" w:hAnsi="Arial"/>
                <w:sz w:val="18"/>
                <w:szCs w:val="18"/>
                <w:color w:val="auto"/>
                <w:w w:val="90"/>
              </w:rPr>
              <w:t>Michael A. Pangia</w:t>
            </w:r>
          </w:p>
        </w:tc>
        <w:tc>
          <w:tcPr>
            <w:tcW w:w="4640" w:type="dxa"/>
            <w:vAlign w:val="bottom"/>
            <w:gridSpan w:val="3"/>
          </w:tcPr>
          <w:p>
            <w:pPr>
              <w:jc w:val="center"/>
              <w:ind w:left="192"/>
              <w:spacing w:after="0" w:line="202" w:lineRule="exact"/>
              <w:rPr>
                <w:sz w:val="20"/>
                <w:szCs w:val="20"/>
                <w:color w:val="auto"/>
              </w:rPr>
            </w:pPr>
            <w:r>
              <w:rPr>
                <w:rFonts w:ascii="Arial" w:cs="Arial" w:eastAsia="Arial" w:hAnsi="Arial"/>
                <w:sz w:val="18"/>
                <w:szCs w:val="18"/>
                <w:color w:val="auto"/>
                <w:w w:val="91"/>
              </w:rPr>
              <w:t>(Principal Executive Officer)</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48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w w:val="83"/>
              </w:rPr>
              <w:t>/s/</w:t>
            </w:r>
          </w:p>
        </w:tc>
        <w:tc>
          <w:tcPr>
            <w:tcW w:w="2800" w:type="dxa"/>
            <w:vAlign w:val="bottom"/>
            <w:gridSpan w:val="3"/>
            <w:vMerge w:val="restart"/>
          </w:tcPr>
          <w:p>
            <w:pPr>
              <w:jc w:val="center"/>
              <w:ind w:right="1320"/>
              <w:spacing w:after="0"/>
              <w:rPr>
                <w:sz w:val="20"/>
                <w:szCs w:val="20"/>
                <w:color w:val="auto"/>
              </w:rPr>
            </w:pPr>
            <w:r>
              <w:rPr>
                <w:rFonts w:ascii="Arial" w:cs="Arial" w:eastAsia="Arial" w:hAnsi="Arial"/>
                <w:sz w:val="18"/>
                <w:szCs w:val="18"/>
                <w:color w:val="auto"/>
                <w:w w:val="87"/>
              </w:rPr>
              <w:t>John J. Madigan</w:t>
            </w:r>
          </w:p>
        </w:tc>
        <w:tc>
          <w:tcPr>
            <w:tcW w:w="464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Vice President, Corporate Controller and</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1"/>
        </w:trPr>
        <w:tc>
          <w:tcPr>
            <w:tcW w:w="1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2800" w:type="dxa"/>
            <w:vAlign w:val="bottom"/>
            <w:tcBorders>
              <w:bottom w:val="single" w:sz="8" w:color="auto"/>
            </w:tcBorders>
            <w:gridSpan w:val="3"/>
            <w:vMerge w:val="continue"/>
          </w:tcPr>
          <w:p>
            <w:pPr>
              <w:spacing w:after="0"/>
              <w:rPr>
                <w:sz w:val="18"/>
                <w:szCs w:val="18"/>
                <w:color w:val="auto"/>
              </w:rPr>
            </w:pPr>
          </w:p>
        </w:tc>
        <w:tc>
          <w:tcPr>
            <w:tcW w:w="4640" w:type="dxa"/>
            <w:vAlign w:val="bottom"/>
            <w:gridSpan w:val="3"/>
          </w:tcPr>
          <w:p>
            <w:pPr>
              <w:jc w:val="center"/>
              <w:ind w:left="192"/>
              <w:spacing w:after="0"/>
              <w:rPr>
                <w:sz w:val="20"/>
                <w:szCs w:val="20"/>
                <w:color w:val="auto"/>
              </w:rPr>
            </w:pPr>
            <w:r>
              <w:rPr>
                <w:rFonts w:ascii="Arial" w:cs="Arial" w:eastAsia="Arial" w:hAnsi="Arial"/>
                <w:sz w:val="18"/>
                <w:szCs w:val="18"/>
                <w:color w:val="auto"/>
                <w:w w:val="92"/>
              </w:rPr>
              <w:t>Interim Chief Financial Officer</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640"/>
              <w:spacing w:after="0"/>
              <w:rPr>
                <w:sz w:val="20"/>
                <w:szCs w:val="20"/>
                <w:color w:val="auto"/>
              </w:rPr>
            </w:pPr>
            <w:r>
              <w:rPr>
                <w:rFonts w:ascii="Arial" w:cs="Arial" w:eastAsia="Arial" w:hAnsi="Arial"/>
                <w:sz w:val="18"/>
                <w:szCs w:val="18"/>
                <w:color w:val="auto"/>
                <w:w w:val="87"/>
              </w:rPr>
              <w:t>John J. Madigan</w:t>
            </w:r>
          </w:p>
        </w:tc>
        <w:tc>
          <w:tcPr>
            <w:tcW w:w="4640" w:type="dxa"/>
            <w:vAlign w:val="bottom"/>
            <w:gridSpan w:val="3"/>
          </w:tcPr>
          <w:p>
            <w:pPr>
              <w:jc w:val="center"/>
              <w:ind w:left="192"/>
              <w:spacing w:after="0"/>
              <w:rPr>
                <w:sz w:val="20"/>
                <w:szCs w:val="20"/>
                <w:color w:val="auto"/>
              </w:rPr>
            </w:pPr>
            <w:r>
              <w:rPr>
                <w:rFonts w:ascii="Arial" w:cs="Arial" w:eastAsia="Arial" w:hAnsi="Arial"/>
                <w:sz w:val="18"/>
                <w:szCs w:val="18"/>
                <w:color w:val="auto"/>
                <w:w w:val="91"/>
              </w:rPr>
              <w:t>(Principal Financial and Accounting Officer)</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660" w:type="dxa"/>
            <w:vAlign w:val="bottom"/>
            <w:tcBorders>
              <w:bottom w:val="single" w:sz="8" w:color="auto"/>
            </w:tcBorders>
            <w:gridSpan w:val="2"/>
          </w:tcPr>
          <w:p>
            <w:pPr>
              <w:ind w:left="140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9"/>
              </w:rPr>
              <w:t>Charles D. Kissner</w:t>
            </w:r>
          </w:p>
        </w:tc>
        <w:tc>
          <w:tcPr>
            <w:tcW w:w="464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Chairman of the Board</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2980" w:type="dxa"/>
            <w:vAlign w:val="bottom"/>
            <w:gridSpan w:val="4"/>
          </w:tcPr>
          <w:p>
            <w:pPr>
              <w:jc w:val="center"/>
              <w:ind w:right="1460"/>
              <w:spacing w:after="0"/>
              <w:rPr>
                <w:sz w:val="20"/>
                <w:szCs w:val="20"/>
                <w:color w:val="auto"/>
              </w:rPr>
            </w:pPr>
            <w:r>
              <w:rPr>
                <w:rFonts w:ascii="Arial" w:cs="Arial" w:eastAsia="Arial" w:hAnsi="Arial"/>
                <w:sz w:val="18"/>
                <w:szCs w:val="18"/>
                <w:color w:val="auto"/>
                <w:w w:val="87"/>
              </w:rPr>
              <w:t>Charles D. Kissner</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4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8"/>
                <w:szCs w:val="18"/>
                <w:color w:val="auto"/>
                <w:w w:val="95"/>
              </w:rPr>
              <w:t>/s/  Eric C. Evans</w:t>
            </w:r>
          </w:p>
        </w:tc>
        <w:tc>
          <w:tcPr>
            <w:tcW w:w="46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Director</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640"/>
              <w:spacing w:after="0"/>
              <w:rPr>
                <w:sz w:val="20"/>
                <w:szCs w:val="20"/>
                <w:color w:val="auto"/>
              </w:rPr>
            </w:pPr>
            <w:r>
              <w:rPr>
                <w:rFonts w:ascii="Arial" w:cs="Arial" w:eastAsia="Arial" w:hAnsi="Arial"/>
                <w:sz w:val="18"/>
                <w:szCs w:val="18"/>
                <w:color w:val="auto"/>
                <w:w w:val="88"/>
              </w:rPr>
              <w:t>Eric C. Evans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66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3"/>
              </w:rPr>
              <w:t>William A. Hasler</w:t>
            </w:r>
          </w:p>
        </w:tc>
        <w:tc>
          <w:tcPr>
            <w:tcW w:w="46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Director</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2980" w:type="dxa"/>
            <w:vAlign w:val="bottom"/>
            <w:gridSpan w:val="4"/>
          </w:tcPr>
          <w:p>
            <w:pPr>
              <w:jc w:val="center"/>
              <w:ind w:right="1460"/>
              <w:spacing w:after="0"/>
              <w:rPr>
                <w:sz w:val="20"/>
                <w:szCs w:val="20"/>
                <w:color w:val="auto"/>
              </w:rPr>
            </w:pPr>
            <w:r>
              <w:rPr>
                <w:rFonts w:ascii="Arial" w:cs="Arial" w:eastAsia="Arial" w:hAnsi="Arial"/>
                <w:sz w:val="18"/>
                <w:szCs w:val="18"/>
                <w:color w:val="auto"/>
                <w:w w:val="93"/>
              </w:rPr>
              <w:t>William A. Hasler</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4"/>
              </w:rPr>
              <w:t>/s/</w:t>
            </w:r>
          </w:p>
        </w:tc>
        <w:tc>
          <w:tcPr>
            <w:tcW w:w="298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92"/>
              </w:rPr>
              <w:t>Clifford H. Higgerson</w:t>
            </w:r>
          </w:p>
        </w:tc>
        <w:tc>
          <w:tcPr>
            <w:tcW w:w="46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Director</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7"/>
        </w:trPr>
        <w:tc>
          <w:tcPr>
            <w:tcW w:w="4460" w:type="dxa"/>
            <w:vAlign w:val="bottom"/>
            <w:gridSpan w:val="5"/>
          </w:tcPr>
          <w:p>
            <w:pPr>
              <w:jc w:val="center"/>
              <w:spacing w:after="0"/>
              <w:rPr>
                <w:sz w:val="20"/>
                <w:szCs w:val="20"/>
                <w:color w:val="auto"/>
              </w:rPr>
            </w:pPr>
            <w:r>
              <w:rPr>
                <w:rFonts w:ascii="Arial" w:cs="Arial" w:eastAsia="Arial" w:hAnsi="Arial"/>
                <w:sz w:val="18"/>
                <w:szCs w:val="18"/>
                <w:color w:val="auto"/>
                <w:w w:val="93"/>
              </w:rPr>
              <w:t>Clifford H. Higgerson</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66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6"/>
              </w:rPr>
              <w:t>Raghavendra Rau</w:t>
            </w:r>
          </w:p>
        </w:tc>
        <w:tc>
          <w:tcPr>
            <w:tcW w:w="46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Director</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2980" w:type="dxa"/>
            <w:vAlign w:val="bottom"/>
            <w:gridSpan w:val="4"/>
          </w:tcPr>
          <w:p>
            <w:pPr>
              <w:jc w:val="center"/>
              <w:ind w:right="1480"/>
              <w:spacing w:after="0"/>
              <w:rPr>
                <w:sz w:val="20"/>
                <w:szCs w:val="20"/>
                <w:color w:val="auto"/>
              </w:rPr>
            </w:pPr>
            <w:r>
              <w:rPr>
                <w:rFonts w:ascii="Arial" w:cs="Arial" w:eastAsia="Arial" w:hAnsi="Arial"/>
                <w:sz w:val="18"/>
                <w:szCs w:val="18"/>
                <w:color w:val="auto"/>
                <w:w w:val="86"/>
              </w:rPr>
              <w:t>Raghavendra Rau</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66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w w:val="94"/>
              </w:rPr>
              <w:t>/s/</w:t>
            </w:r>
          </w:p>
        </w:tc>
        <w:tc>
          <w:tcPr>
            <w:tcW w:w="280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89"/>
              </w:rPr>
              <w:t>Dr. Mohsen Sohi</w:t>
            </w:r>
          </w:p>
        </w:tc>
        <w:tc>
          <w:tcPr>
            <w:tcW w:w="46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Director</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2980" w:type="dxa"/>
            <w:vAlign w:val="bottom"/>
            <w:gridSpan w:val="4"/>
          </w:tcPr>
          <w:p>
            <w:pPr>
              <w:jc w:val="center"/>
              <w:ind w:right="1460"/>
              <w:spacing w:after="0"/>
              <w:rPr>
                <w:sz w:val="20"/>
                <w:szCs w:val="20"/>
                <w:color w:val="auto"/>
              </w:rPr>
            </w:pPr>
            <w:r>
              <w:rPr>
                <w:rFonts w:ascii="Arial" w:cs="Arial" w:eastAsia="Arial" w:hAnsi="Arial"/>
                <w:sz w:val="18"/>
                <w:szCs w:val="18"/>
                <w:color w:val="auto"/>
                <w:w w:val="89"/>
              </w:rPr>
              <w:t>Dr. Mohsen Sohi</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280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86"/>
              </w:rPr>
              <w:t>James C. Stoffel</w:t>
            </w:r>
          </w:p>
        </w:tc>
        <w:tc>
          <w:tcPr>
            <w:tcW w:w="464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Lead Independent Director</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3"/>
          </w:tcPr>
          <w:p>
            <w:pPr>
              <w:jc w:val="center"/>
              <w:ind w:right="1640"/>
              <w:spacing w:after="0"/>
              <w:rPr>
                <w:sz w:val="20"/>
                <w:szCs w:val="20"/>
                <w:color w:val="auto"/>
              </w:rPr>
            </w:pPr>
            <w:r>
              <w:rPr>
                <w:rFonts w:ascii="Arial" w:cs="Arial" w:eastAsia="Arial" w:hAnsi="Arial"/>
                <w:sz w:val="18"/>
                <w:szCs w:val="18"/>
                <w:color w:val="auto"/>
                <w:w w:val="87"/>
              </w:rPr>
              <w:t>James C. Stoffel</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83"/>
              </w:rPr>
              <w:t>/s/</w:t>
            </w:r>
          </w:p>
        </w:tc>
        <w:tc>
          <w:tcPr>
            <w:tcW w:w="2980" w:type="dxa"/>
            <w:vAlign w:val="bottom"/>
            <w:tcBorders>
              <w:bottom w:val="single" w:sz="8" w:color="auto"/>
            </w:tcBorders>
            <w:gridSpan w:val="4"/>
          </w:tcPr>
          <w:p>
            <w:pPr>
              <w:jc w:val="center"/>
              <w:ind w:right="1120"/>
              <w:spacing w:after="0"/>
              <w:rPr>
                <w:sz w:val="20"/>
                <w:szCs w:val="20"/>
                <w:color w:val="auto"/>
              </w:rPr>
            </w:pPr>
            <w:r>
              <w:rPr>
                <w:rFonts w:ascii="Arial" w:cs="Arial" w:eastAsia="Arial" w:hAnsi="Arial"/>
                <w:sz w:val="18"/>
                <w:szCs w:val="18"/>
                <w:color w:val="auto"/>
                <w:w w:val="87"/>
              </w:rPr>
              <w:t>Edward F. Thompson</w:t>
            </w:r>
          </w:p>
        </w:tc>
        <w:tc>
          <w:tcPr>
            <w:tcW w:w="4640" w:type="dxa"/>
            <w:vAlign w:val="bottom"/>
            <w:gridSpan w:val="3"/>
          </w:tcPr>
          <w:p>
            <w:pPr>
              <w:jc w:val="center"/>
              <w:ind w:left="212"/>
              <w:spacing w:after="0"/>
              <w:rPr>
                <w:sz w:val="20"/>
                <w:szCs w:val="20"/>
                <w:color w:val="auto"/>
              </w:rPr>
            </w:pPr>
            <w:r>
              <w:rPr>
                <w:rFonts w:ascii="Arial" w:cs="Arial" w:eastAsia="Arial" w:hAnsi="Arial"/>
                <w:sz w:val="18"/>
                <w:szCs w:val="18"/>
                <w:color w:val="auto"/>
                <w:w w:val="91"/>
              </w:rPr>
              <w:t>Director</w:t>
            </w:r>
          </w:p>
        </w:tc>
        <w:tc>
          <w:tcPr>
            <w:tcW w:w="2000" w:type="dxa"/>
            <w:vAlign w:val="bottom"/>
            <w:gridSpan w:val="3"/>
          </w:tcPr>
          <w:p>
            <w:pPr>
              <w:jc w:val="center"/>
              <w:ind w:left="512"/>
              <w:spacing w:after="0"/>
              <w:rPr>
                <w:sz w:val="20"/>
                <w:szCs w:val="20"/>
                <w:color w:val="auto"/>
              </w:rPr>
            </w:pPr>
            <w:r>
              <w:rPr>
                <w:rFonts w:ascii="Arial" w:cs="Arial" w:eastAsia="Arial" w:hAnsi="Arial"/>
                <w:sz w:val="18"/>
                <w:szCs w:val="18"/>
                <w:color w:val="auto"/>
                <w:w w:val="85"/>
              </w:rPr>
              <w:t>September 12, 2011</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2980" w:type="dxa"/>
            <w:vAlign w:val="bottom"/>
            <w:gridSpan w:val="4"/>
          </w:tcPr>
          <w:p>
            <w:pPr>
              <w:jc w:val="center"/>
              <w:ind w:right="1460"/>
              <w:spacing w:after="0"/>
              <w:rPr>
                <w:sz w:val="20"/>
                <w:szCs w:val="20"/>
                <w:color w:val="auto"/>
              </w:rPr>
            </w:pPr>
            <w:r>
              <w:rPr>
                <w:rFonts w:ascii="Arial" w:cs="Arial" w:eastAsia="Arial" w:hAnsi="Arial"/>
                <w:sz w:val="18"/>
                <w:szCs w:val="18"/>
                <w:color w:val="auto"/>
                <w:w w:val="88"/>
              </w:rPr>
              <w:t>Edward F. Thompson</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jc w:val="right"/>
              <w:ind w:right="852"/>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1, 2011, July 2, 2010 and July 3,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8"/>
              </w:rPr>
              <w:t>Balance at</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Additions</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Charged to</w:t>
            </w: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Beginning</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Charged to</w:t>
            </w:r>
          </w:p>
        </w:tc>
        <w:tc>
          <w:tcPr>
            <w:tcW w:w="660" w:type="dxa"/>
            <w:vAlign w:val="bottom"/>
          </w:tcPr>
          <w:p>
            <w:pPr>
              <w:spacing w:after="0"/>
              <w:rPr>
                <w:sz w:val="12"/>
                <w:szCs w:val="12"/>
                <w:color w:val="auto"/>
              </w:rPr>
            </w:pPr>
          </w:p>
        </w:tc>
        <w:tc>
          <w:tcPr>
            <w:tcW w:w="15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Other</w:t>
            </w:r>
          </w:p>
        </w:tc>
        <w:tc>
          <w:tcPr>
            <w:tcW w:w="15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(Additions)</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75"/>
              </w:rPr>
              <w:t>of</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Costs and</w:t>
            </w:r>
          </w:p>
        </w:tc>
        <w:tc>
          <w:tcPr>
            <w:tcW w:w="660" w:type="dxa"/>
            <w:vAlign w:val="bottom"/>
          </w:tcPr>
          <w:p>
            <w:pPr>
              <w:spacing w:after="0"/>
              <w:rPr>
                <w:sz w:val="12"/>
                <w:szCs w:val="12"/>
                <w:color w:val="auto"/>
              </w:rPr>
            </w:pPr>
          </w:p>
        </w:tc>
        <w:tc>
          <w:tcPr>
            <w:tcW w:w="15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4"/>
              </w:rPr>
              <w:t>Accounts</w:t>
            </w:r>
          </w:p>
        </w:tc>
        <w:tc>
          <w:tcPr>
            <w:tcW w:w="15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Deductions</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Period</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Expenses</w:t>
            </w:r>
          </w:p>
        </w:tc>
        <w:tc>
          <w:tcPr>
            <w:tcW w:w="660" w:type="dxa"/>
            <w:vAlign w:val="bottom"/>
          </w:tcPr>
          <w:p>
            <w:pPr>
              <w:spacing w:after="0"/>
              <w:rPr>
                <w:sz w:val="14"/>
                <w:szCs w:val="14"/>
                <w:color w:val="auto"/>
              </w:rPr>
            </w:pPr>
          </w:p>
        </w:tc>
        <w:tc>
          <w:tcPr>
            <w:tcW w:w="15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4"/>
              </w:rPr>
              <w:t>Describe</w:t>
            </w:r>
          </w:p>
        </w:tc>
        <w:tc>
          <w:tcPr>
            <w:tcW w:w="15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Describe</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of Period</w:t>
            </w:r>
          </w:p>
        </w:tc>
        <w:tc>
          <w:tcPr>
            <w:tcW w:w="0" w:type="dxa"/>
            <w:vAlign w:val="bottom"/>
          </w:tcPr>
          <w:p>
            <w:pPr>
              <w:spacing w:after="0"/>
              <w:rPr>
                <w:sz w:val="1"/>
                <w:szCs w:val="1"/>
                <w:color w:val="auto"/>
              </w:rPr>
            </w:pPr>
          </w:p>
        </w:tc>
      </w:tr>
      <w:tr>
        <w:trPr>
          <w:trHeight w:val="129"/>
        </w:trPr>
        <w:tc>
          <w:tcPr>
            <w:tcW w:w="510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1"/>
              </w:rPr>
              <w:t>($)</w:t>
            </w:r>
          </w:p>
        </w:tc>
        <w:tc>
          <w:tcPr>
            <w:tcW w:w="68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84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88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(In millions)</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collection losses:</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Year ended July 1, 2011</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13.3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2.0(A)</w:t>
            </w: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2, 2010</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16.3(B)</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Year ended July 3, 2009</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12.6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(4.5)(C)</w:t>
            </w:r>
          </w:p>
        </w:tc>
        <w:tc>
          <w:tcPr>
            <w:tcW w:w="5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valuation allowance(D):</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Year ended July 1, 2011</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183.4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660" w:type="dxa"/>
            <w:vAlign w:val="bottom"/>
          </w:tcPr>
          <w:p>
            <w:pPr>
              <w:spacing w:after="0"/>
              <w:rPr>
                <w:sz w:val="18"/>
                <w:szCs w:val="18"/>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w:t>
            </w:r>
          </w:p>
        </w:tc>
        <w:tc>
          <w:tcPr>
            <w:tcW w:w="15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2, 2010</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168.9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6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w:t>
            </w:r>
          </w:p>
        </w:tc>
        <w:tc>
          <w:tcPr>
            <w:tcW w:w="15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Year ended July 3, 2009</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116.9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50.8</w:t>
            </w:r>
          </w:p>
        </w:tc>
        <w:tc>
          <w:tcPr>
            <w:tcW w:w="66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1.2(E)</w:t>
            </w:r>
          </w:p>
        </w:tc>
        <w:tc>
          <w:tcPr>
            <w:tcW w:w="15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Note A</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Consists of changes to allowance for collection losses of $0.4 million for foreign currency translation losses, $1.7 million in additions from the sale of NetBoss assets and $4.1 million for uncollectible accounts charged off, net of recoveries on accounts previously charged off.</w:t>
      </w:r>
    </w:p>
    <w:p>
      <w:pPr>
        <w:spacing w:after="0" w:line="31" w:lineRule="exact"/>
        <w:rPr>
          <w:sz w:val="20"/>
          <w:szCs w:val="20"/>
          <w:color w:val="auto"/>
        </w:rPr>
      </w:pPr>
    </w:p>
    <w:p>
      <w:pPr>
        <w:sectPr>
          <w:pgSz w:w="11900" w:h="16838" w:orient="portrait"/>
          <w:cols w:equalWidth="0" w:num="2">
            <w:col w:w="520" w:space="640"/>
            <w:col w:w="102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Note B</w:t>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Consists of changes to allowance for collection losses of $16.3 million for uncollectible accounts charged off, net of recoveries on accounts previously charged off.</w:t>
      </w:r>
    </w:p>
    <w:p>
      <w:pPr>
        <w:spacing w:after="0" w:line="78" w:lineRule="exact"/>
        <w:rPr>
          <w:sz w:val="20"/>
          <w:szCs w:val="20"/>
          <w:color w:val="auto"/>
        </w:rPr>
      </w:pPr>
    </w:p>
    <w:p>
      <w:pPr>
        <w:sectPr>
          <w:pgSz w:w="11900" w:h="16838" w:orient="portrait"/>
          <w:cols w:equalWidth="0" w:num="2">
            <w:col w:w="520" w:space="640"/>
            <w:col w:w="102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Note C</w:t>
      </w:r>
    </w:p>
    <w:p>
      <w:pPr>
        <w:spacing w:after="0" w:line="20" w:lineRule="exact"/>
        <w:rPr>
          <w:sz w:val="20"/>
          <w:szCs w:val="20"/>
          <w:color w:val="auto"/>
        </w:rPr>
      </w:pPr>
      <w:r>
        <w:rPr>
          <w:sz w:val="20"/>
          <w:szCs w:val="20"/>
          <w:color w:val="auto"/>
        </w:rPr>
        <w:br w:type="column"/>
      </w:r>
    </w:p>
    <w:p>
      <w:pPr>
        <w:ind w:right="220"/>
        <w:spacing w:after="0" w:line="332" w:lineRule="auto"/>
        <w:rPr>
          <w:sz w:val="20"/>
          <w:szCs w:val="20"/>
          <w:color w:val="auto"/>
        </w:rPr>
      </w:pPr>
      <w:r>
        <w:rPr>
          <w:rFonts w:ascii="Arial" w:cs="Arial" w:eastAsia="Arial" w:hAnsi="Arial"/>
          <w:sz w:val="16"/>
          <w:szCs w:val="16"/>
          <w:color w:val="auto"/>
        </w:rPr>
        <w:t>Consists of changes to allowance for collection losses of $0.1 million for foreign currency translation losses, $6.4 million in additions from the acquisition of Telsima and $1.8 million for uncollectible accounts charged off, net of recoveries on accounts previously charged off.</w:t>
      </w:r>
    </w:p>
    <w:p>
      <w:pPr>
        <w:spacing w:after="0" w:line="31" w:lineRule="exact"/>
        <w:rPr>
          <w:sz w:val="20"/>
          <w:szCs w:val="20"/>
          <w:color w:val="auto"/>
        </w:rPr>
      </w:pPr>
    </w:p>
    <w:p>
      <w:pPr>
        <w:sectPr>
          <w:pgSz w:w="11900" w:h="16838" w:orient="portrait"/>
          <w:cols w:equalWidth="0" w:num="2">
            <w:col w:w="520" w:space="640"/>
            <w:col w:w="102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Note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Additions to deferred tax valuation allowance are recorded as expense.</w:t>
      </w:r>
    </w:p>
    <w:p>
      <w:pPr>
        <w:spacing w:after="0" w:line="151" w:lineRule="exact"/>
        <w:rPr>
          <w:sz w:val="20"/>
          <w:szCs w:val="20"/>
          <w:color w:val="auto"/>
        </w:rPr>
      </w:pPr>
    </w:p>
    <w:p>
      <w:pPr>
        <w:sectPr>
          <w:pgSz w:w="11900" w:h="16838" w:orient="portrait"/>
          <w:cols w:equalWidth="0" w:num="2">
            <w:col w:w="520" w:space="640"/>
            <w:col w:w="102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Note E</w:t>
      </w:r>
    </w:p>
    <w:p>
      <w:pPr>
        <w:spacing w:after="0" w:line="20" w:lineRule="exact"/>
        <w:rPr>
          <w:sz w:val="20"/>
          <w:szCs w:val="20"/>
          <w:color w:val="auto"/>
        </w:rPr>
      </w:pPr>
      <w:r>
        <w:rPr>
          <w:sz w:val="20"/>
          <w:szCs w:val="20"/>
          <w:color w:val="auto"/>
        </w:rPr>
        <w:br w:type="column"/>
      </w:r>
    </w:p>
    <w:p>
      <w:pPr>
        <w:ind w:right="640"/>
        <w:spacing w:after="0" w:line="268" w:lineRule="auto"/>
        <w:rPr>
          <w:sz w:val="20"/>
          <w:szCs w:val="20"/>
          <w:color w:val="auto"/>
        </w:rPr>
      </w:pPr>
      <w:r>
        <w:rPr>
          <w:rFonts w:ascii="Arial" w:cs="Arial" w:eastAsia="Arial" w:hAnsi="Arial"/>
          <w:sz w:val="18"/>
          <w:szCs w:val="18"/>
          <w:color w:val="auto"/>
        </w:rPr>
        <w:t>Deferred tax asset recorded as an adjustment to goodwill and identified intangible assets under purchase accounting and reclass of Harris Corporation Intercompany deferred tax assets.</w:t>
      </w:r>
    </w:p>
    <w:p>
      <w:pPr>
        <w:spacing w:after="0" w:line="118" w:lineRule="exact"/>
        <w:rPr>
          <w:sz w:val="20"/>
          <w:szCs w:val="20"/>
          <w:color w:val="auto"/>
        </w:rPr>
      </w:pPr>
    </w:p>
    <w:p>
      <w:pPr>
        <w:sectPr>
          <w:pgSz w:w="11900" w:h="16838" w:orient="portrait"/>
          <w:cols w:equalWidth="0" w:num="2">
            <w:col w:w="500" w:space="660"/>
            <w:col w:w="102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45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940" w:type="dxa"/>
            <w:vAlign w:val="bottom"/>
            <w:gridSpan w:val="3"/>
          </w:tcPr>
          <w:p>
            <w:pPr>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tc>
      </w:tr>
      <w:tr>
        <w:trPr>
          <w:trHeight w:val="340"/>
        </w:trPr>
        <w:tc>
          <w:tcPr>
            <w:tcW w:w="4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Ex.</w:t>
            </w:r>
          </w:p>
        </w:tc>
        <w:tc>
          <w:tcPr>
            <w:tcW w:w="5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68"/>
        </w:trPr>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r>
      <w:tr>
        <w:trPr>
          <w:trHeight w:val="316"/>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Amended and Restated Formation, Contribution and Merger Agreement, dated as of December 18, 2006, among Harris Corporation, Stratex</w:t>
            </w:r>
          </w:p>
        </w:tc>
      </w:tr>
      <w:tr>
        <w:trPr>
          <w:trHeight w:val="216"/>
        </w:trPr>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Networks, Inc., Harris Stratex Networks, Inc. and Stratex Merger Corp. (incorporated by reference to Appendix A to the proxy</w:t>
            </w:r>
          </w:p>
        </w:tc>
      </w:tr>
      <w:tr>
        <w:trPr>
          <w:trHeight w:val="216"/>
        </w:trPr>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statement/prospectus forming a part of the Registration Statement on Form S-4 of Harris Stratex Networks, Inc. filed with the Securities and</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Exchange Commission on January 3, 2007, File No. 333-137980)</w:t>
            </w:r>
          </w:p>
        </w:tc>
      </w:tr>
      <w:tr>
        <w:trPr>
          <w:trHeight w:val="318"/>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Letter Agreement, dated as of January 26, 2007, among Harris Corporation, Stratex Networks, Inc., Harris Stratex Networks, Inc. and Stratex</w:t>
            </w:r>
          </w:p>
        </w:tc>
      </w:tr>
      <w:tr>
        <w:trPr>
          <w:trHeight w:val="216"/>
        </w:trPr>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4"/>
              </w:rPr>
              <w:t>Merger Corp. (incorporated by reference to Exhibit 2.1.1 to the Report on Form 8-K filed with the Securities and Exchange Commission on</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February 1, 2007, File No. 001-33278)</w:t>
            </w:r>
          </w:p>
        </w:tc>
      </w:tr>
      <w:tr>
        <w:trPr>
          <w:trHeight w:val="318"/>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Agreement and Plan of Merger by and among Harris Stratex Networks Operating Corporation, Eagle Networks Merger Corporation, Telsima</w:t>
            </w:r>
          </w:p>
        </w:tc>
      </w:tr>
      <w:tr>
        <w:trPr>
          <w:trHeight w:val="216"/>
        </w:trPr>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Corporation and the Holder Representative dated as of February 27, 2009 (incorporated by reference to Exhibit 2.1 to the Report on Form 8-K filed</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with the Securities and Exchange Commission on March 6, 2009, File No. 001-33278)</w:t>
            </w:r>
          </w:p>
        </w:tc>
      </w:tr>
      <w:tr>
        <w:trPr>
          <w:trHeight w:val="318"/>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Asset Purchase Agreement by and among Aviat U.S., Inc. and EION Networks, Inc., dated as of September 2, 2011 (incorporated by reference to</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7"/>
              </w:rPr>
              <w:t>Exhibit 2.1 to the Report on Form 8-K filed with the Securities and Exchange Commission on September 9, 2011, File No. 001-33278)</w:t>
            </w:r>
          </w:p>
        </w:tc>
      </w:tr>
      <w:tr>
        <w:trPr>
          <w:trHeight w:val="318"/>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Certificate of Incorporation of Harris Stratex Networks, Inc. as filed with the Secretary of State of the State of Delaware on</w:t>
            </w:r>
          </w:p>
        </w:tc>
      </w:tr>
      <w:tr>
        <w:trPr>
          <w:trHeight w:val="216"/>
        </w:trPr>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November 19, 2009 (incorporated by reference to Exhibit 3.1 to the Report on Form 8-K filed with the Securities and Exchange Commission on</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November 20, 2009, File No. 001-33278)</w:t>
            </w:r>
          </w:p>
        </w:tc>
      </w:tr>
      <w:tr>
        <w:trPr>
          <w:trHeight w:val="318"/>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Bylaws of Harris Stratex Networks, Inc. (incorporated by reference to Exhibit 3.2 to the Report on Form 8-K filed with the</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Securities and Exchange Commission on November 20, 2009, File No. 001-33278)</w:t>
            </w:r>
          </w:p>
        </w:tc>
      </w:tr>
      <w:tr>
        <w:trPr>
          <w:trHeight w:val="318"/>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Certificate of Ownership and Merger Merging Aviat Networks, Inc. into Harris Stratex Networks, Inc., effective January 27, 2010, as filed with the</w:t>
            </w:r>
          </w:p>
        </w:tc>
      </w:tr>
      <w:tr>
        <w:trPr>
          <w:trHeight w:val="216"/>
        </w:trPr>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Secretary of State of the State of Delaware on January 27, 2010 (incorporated by reference to Exhibit 3.1 to the Report on Form 8-K filed with the</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Securities and Exchange Commission on January 28, 2010, File No. 001-33278)</w:t>
            </w:r>
          </w:p>
        </w:tc>
      </w:tr>
      <w:tr>
        <w:trPr>
          <w:trHeight w:val="324"/>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Intentionally omitted.</w:t>
            </w:r>
          </w:p>
        </w:tc>
      </w:tr>
      <w:tr>
        <w:trPr>
          <w:trHeight w:val="318"/>
        </w:trPr>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4.1.1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Specimen common stock certificate, adopted as of January 29, 2010 (incorporated by reference to Exhibit 4.1.1 to the Company’s Annual Report</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on Form 10-K for fiscal year end July 2, 2010 filed with the Securities and Exchange Commission on September 9, 2010, File No. 001-33278)</w:t>
            </w:r>
          </w:p>
        </w:tc>
      </w:tr>
      <w:tr>
        <w:trPr>
          <w:trHeight w:val="324"/>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Intentionally omitted.</w:t>
            </w:r>
          </w:p>
        </w:tc>
      </w:tr>
      <w:tr>
        <w:trPr>
          <w:trHeight w:val="324"/>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Intentionally omitted.</w:t>
            </w:r>
          </w:p>
        </w:tc>
      </w:tr>
      <w:tr>
        <w:trPr>
          <w:trHeight w:val="324"/>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Intentionally omitted.</w:t>
            </w:r>
          </w:p>
        </w:tc>
      </w:tr>
      <w:tr>
        <w:trPr>
          <w:trHeight w:val="318"/>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4"/>
              </w:rPr>
              <w:t>Non-Competition Agreement among Harris Stratex Networks, Inc., Harris Corporation and Stratex Networks, Inc. dated January 26, 2007</w:t>
            </w:r>
          </w:p>
        </w:tc>
      </w:tr>
      <w:tr>
        <w:trPr>
          <w:trHeight w:val="216"/>
        </w:trPr>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(incorporated by reference to Exhibit 10.2 to the Report on Form 8-K filed with the Securities and Exchange Commission on February 1, 2007,</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File No. 001-33278)</w:t>
            </w:r>
          </w:p>
        </w:tc>
      </w:tr>
      <w:tr>
        <w:trPr>
          <w:trHeight w:val="318"/>
        </w:trPr>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10.3</w:t>
            </w:r>
          </w:p>
        </w:tc>
        <w:tc>
          <w:tcPr>
            <w:tcW w:w="60" w:type="dxa"/>
            <w:vAlign w:val="bottom"/>
          </w:tcPr>
          <w:p>
            <w:pPr>
              <w:spacing w:after="0"/>
              <w:rPr>
                <w:sz w:val="24"/>
                <w:szCs w:val="24"/>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Intellectual Property Agreement between Harris Stratex Networks, Inc. and Harris Corporation dated January 26, 2007 (incorporated by reference</w:t>
            </w:r>
          </w:p>
        </w:tc>
      </w:tr>
      <w:tr>
        <w:trPr>
          <w:trHeight w:val="222"/>
        </w:trPr>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to Exhibit 10.4 to the Report on Form 8-K filed with the Securities and Exchange Commission on February 1, 2007, File No. 001-33278)</w:t>
            </w:r>
          </w:p>
        </w:tc>
      </w:tr>
      <w:tr>
        <w:trPr>
          <w:trHeight w:val="365"/>
        </w:trPr>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Arial" w:cs="Arial" w:eastAsia="Arial" w:hAnsi="Arial"/>
                <w:sz w:val="18"/>
                <w:szCs w:val="18"/>
                <w:color w:val="auto"/>
                <w:w w:val="93"/>
              </w:rPr>
              <w:t>112</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3"/>
          </w:tcPr>
          <w:p>
            <w:pPr>
              <w:ind w:left="220"/>
              <w:spacing w:after="0"/>
              <w:rPr>
                <w:sz w:val="20"/>
                <w:szCs w:val="20"/>
                <w:color w:val="auto"/>
              </w:rPr>
            </w:pPr>
            <w:r>
              <w:rPr>
                <w:rFonts w:ascii="Arial" w:cs="Arial" w:eastAsia="Arial" w:hAnsi="Arial"/>
                <w:sz w:val="14"/>
                <w:szCs w:val="14"/>
                <w:b w:val="1"/>
                <w:bCs w:val="1"/>
                <w:color w:val="auto"/>
              </w:rPr>
              <w:t>Ex.</w:t>
            </w:r>
          </w:p>
        </w:tc>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68"/>
        </w:trPr>
        <w:tc>
          <w:tcPr>
            <w:tcW w:w="42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316"/>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4"/>
              </w:rPr>
              <w:t>Trademark and Trade Name License Agreement between Harris Stratex Networks, Inc. and Harris Corporation dated January 26, 2007</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89"/>
              </w:rPr>
              <w:t>(incorporated by reference to Exhibit 10.5 to the Report on Form 8-K filed with the Securities and Exchange Commission on February 1, 2007,</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File No. 001-33278)</w:t>
            </w:r>
          </w:p>
        </w:tc>
      </w:tr>
      <w:tr>
        <w:trPr>
          <w:trHeight w:val="324"/>
        </w:trPr>
        <w:tc>
          <w:tcPr>
            <w:tcW w:w="420" w:type="dxa"/>
            <w:vAlign w:val="bottom"/>
            <w:gridSpan w:val="2"/>
          </w:tcPr>
          <w:p>
            <w:pPr>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88"/>
              </w:rPr>
              <w:t>Transition Services Agreement between Harris Stratex Networks, Inc. and Harris Corporation dated January 26, 2007 (incorporated by reference</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4"/>
              </w:rPr>
              <w:t>to Exhibit 10.7 to the Report on Form 8-K filed with the Securities and Exchange Commission on February 1, 2007,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10.6.1</w:t>
            </w: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4"/>
              </w:rPr>
              <w:t>Amendment to Transition Services Agreement between Harris Stratex Networks, Inc. and Harris Corporation dated December 12, 2008</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0"/>
              </w:rPr>
              <w:t>(incorporated by reference to Exhibit 10.1 to the Company’s Quarterly Report on Form 10-Q for the fiscal quarter ended January 2, 2009 filed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with the Securities and Exchange Commission on February 10, 2009, File No. 001-33278)</w:t>
            </w:r>
          </w:p>
        </w:tc>
      </w:tr>
      <w:tr>
        <w:trPr>
          <w:trHeight w:val="324"/>
        </w:trPr>
        <w:tc>
          <w:tcPr>
            <w:tcW w:w="420" w:type="dxa"/>
            <w:vAlign w:val="bottom"/>
            <w:gridSpan w:val="2"/>
          </w:tcPr>
          <w:p>
            <w:pPr>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88"/>
              </w:rPr>
              <w:t>NetBoss Service Agreement between Harris Stratex Networks, Inc. and Harris Corporation dated January 26, 2007 (incorporated by reference to</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6"/>
              </w:rPr>
              <w:t>Exhibit 10.9 to the Report on Form 8-K filed with the Securities and Exchange Commission on February 1, 2007, File No. 001-33278)</w:t>
            </w:r>
          </w:p>
        </w:tc>
      </w:tr>
      <w:tr>
        <w:trPr>
          <w:trHeight w:val="324"/>
        </w:trPr>
        <w:tc>
          <w:tcPr>
            <w:tcW w:w="420" w:type="dxa"/>
            <w:vAlign w:val="bottom"/>
            <w:gridSpan w:val="2"/>
          </w:tcPr>
          <w:p>
            <w:pPr>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10.10</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1"/>
              </w:rPr>
              <w:t>Tax Sharing Agreement between Harris Stratex Networks, Inc. and Harris Corporation dated January 26, 2007 (incorporated by reference to</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5"/>
              </w:rPr>
              <w:t>Exhibit 10.11 to the Report on Form 8-K filed with the Securities and Exchange Commission on February 1, 2007, File No. 001-33278)</w:t>
            </w:r>
          </w:p>
        </w:tc>
      </w:tr>
      <w:tr>
        <w:trPr>
          <w:trHeight w:val="324"/>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10.11</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10.12*</w:t>
            </w: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89"/>
              </w:rPr>
              <w:t>Employment Agreement, effective as of April 8, 2008, between Harris Stratex Networks, Inc. and Harald J. Braun (incorporated by reference to</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89"/>
              </w:rPr>
              <w:t>Exhibit 10.15.1 to the Company’s Quarterly Report on Form 10-Q for the quarter ended March 28, 2008 filed with the Securities and Exchange</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Commission on May 6, 2008,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10.13*</w:t>
            </w: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0"/>
              </w:rPr>
              <w:t>Restated Employment Agreement, dated as of May 14, 2002, by and between Stratex Networks, Inc. and Charles D. Kissner (incorporated by</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0"/>
              </w:rPr>
              <w:t>reference to Exhibit 10.7 to the Annual Report on Form 10-K of Stratex Networks, Inc. for the Fiscal Year Ended March 31, 2003 filed with the</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Securities and Exchange Commission on May 19, 2003, File No. 000-15895)</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10.13.1*</w:t>
            </w: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89"/>
              </w:rPr>
              <w:t>Third Amendment to Employment Agreement, dated as of December 15, 2006, by and between Stratex Networks, Inc. and Charles D. Kissner</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4"/>
              </w:rPr>
              <w:t>(incorporated by reference to Exhibit 10.29 to Amendment No. 2 to the Registration Statement on Form S-4 filed with the Securities and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Exchange Commission on December 19, 2006, File No. 333-137980)</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10.14*</w:t>
            </w: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88"/>
              </w:rPr>
              <w:t>Standard Form of Executive Employment Agreement between Harris Stratex Networks, Inc. and certain executives (incorporated by reference to</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5"/>
              </w:rPr>
              <w:t>Exhibit 10.16 to the Report on Form 8-K filed with the Securities and Exchange Commission on February 1, 2007, File No. 001-33278)</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10.15</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1"/>
              </w:rPr>
              <w:t>Form of Indemnification Agreement between Harris Stratex Networks, Inc. and its directors and certain officers (incorporated by reference to</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Exhibit 10.16 to the Registration Statement on Form S-1 of Stratex Networks, Inc., File No. 33-13431)</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10.16</w:t>
            </w:r>
          </w:p>
        </w:tc>
        <w:tc>
          <w:tcPr>
            <w:tcW w:w="480" w:type="dxa"/>
            <w:vAlign w:val="bottom"/>
          </w:tcPr>
          <w:p>
            <w:pPr>
              <w:spacing w:after="0"/>
              <w:rPr>
                <w:sz w:val="24"/>
                <w:szCs w:val="24"/>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94"/>
              </w:rPr>
              <w:t>Sublicense Agreement, effective as of January 26, 2007, between Harris Stratex Networks, Inc. and Harris Stratex Networks Operating</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w w:val="89"/>
              </w:rPr>
              <w:t>Corporation (incorporated by reference to Exhibit 10.22 to the Company’s Annual Report on Form 10-K for the fiscal year ended June 29, 2007</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60" w:type="dxa"/>
            <w:vAlign w:val="bottom"/>
            <w:gridSpan w:val="3"/>
          </w:tcPr>
          <w:p>
            <w:pPr>
              <w:ind w:left="280"/>
              <w:spacing w:after="0"/>
              <w:rPr>
                <w:sz w:val="20"/>
                <w:szCs w:val="20"/>
                <w:color w:val="auto"/>
              </w:rPr>
            </w:pPr>
            <w:r>
              <w:rPr>
                <w:rFonts w:ascii="Arial" w:cs="Arial" w:eastAsia="Arial" w:hAnsi="Arial"/>
                <w:sz w:val="18"/>
                <w:szCs w:val="18"/>
                <w:color w:val="auto"/>
              </w:rPr>
              <w:t>filed with the Securities and Exchange Commission on August 27, 2007, File No. 001-33278)</w:t>
            </w:r>
          </w:p>
        </w:tc>
      </w:tr>
      <w:tr>
        <w:trPr>
          <w:trHeight w:val="365"/>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60" w:type="dxa"/>
            <w:vAlign w:val="bottom"/>
          </w:tcPr>
          <w:p>
            <w:pPr>
              <w:ind w:left="4680"/>
              <w:spacing w:after="0"/>
              <w:rPr>
                <w:sz w:val="20"/>
                <w:szCs w:val="20"/>
                <w:color w:val="auto"/>
              </w:rPr>
            </w:pPr>
            <w:r>
              <w:rPr>
                <w:rFonts w:ascii="Arial" w:cs="Arial" w:eastAsia="Arial" w:hAnsi="Arial"/>
                <w:sz w:val="18"/>
                <w:szCs w:val="18"/>
                <w:color w:val="auto"/>
              </w:rPr>
              <w:t>113</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3"/>
          </w:tcPr>
          <w:p>
            <w:pPr>
              <w:ind w:left="220"/>
              <w:spacing w:after="0"/>
              <w:rPr>
                <w:sz w:val="20"/>
                <w:szCs w:val="20"/>
                <w:color w:val="auto"/>
              </w:rPr>
            </w:pPr>
            <w:r>
              <w:rPr>
                <w:rFonts w:ascii="Arial" w:cs="Arial" w:eastAsia="Arial" w:hAnsi="Arial"/>
                <w:sz w:val="14"/>
                <w:szCs w:val="14"/>
                <w:b w:val="1"/>
                <w:bCs w:val="1"/>
                <w:color w:val="auto"/>
              </w:rPr>
              <w:t>Ex.</w:t>
            </w:r>
          </w:p>
        </w:tc>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8"/>
        </w:trPr>
        <w:tc>
          <w:tcPr>
            <w:tcW w:w="42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20" w:type="dxa"/>
            <w:vAlign w:val="bottom"/>
          </w:tcPr>
          <w:p>
            <w:pPr>
              <w:spacing w:after="0"/>
              <w:rPr>
                <w:sz w:val="14"/>
                <w:szCs w:val="14"/>
                <w:color w:val="auto"/>
              </w:rPr>
            </w:pPr>
          </w:p>
        </w:tc>
      </w:tr>
      <w:tr>
        <w:trPr>
          <w:trHeight w:val="316"/>
        </w:trPr>
        <w:tc>
          <w:tcPr>
            <w:tcW w:w="900" w:type="dxa"/>
            <w:vAlign w:val="bottom"/>
            <w:gridSpan w:val="3"/>
          </w:tcPr>
          <w:p>
            <w:pPr>
              <w:spacing w:after="0"/>
              <w:rPr>
                <w:sz w:val="20"/>
                <w:szCs w:val="20"/>
                <w:color w:val="auto"/>
              </w:rPr>
            </w:pPr>
            <w:r>
              <w:rPr>
                <w:rFonts w:ascii="Arial" w:cs="Arial" w:eastAsia="Arial" w:hAnsi="Arial"/>
                <w:sz w:val="18"/>
                <w:szCs w:val="18"/>
                <w:color w:val="auto"/>
              </w:rPr>
              <w:t>10.17*</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9"/>
              </w:rPr>
              <w:t>Harris Stratex Networks, Inc. Annual Incentive Plan (incorporated by reference to Exhibit 10.17 to the Company’s Annual Report on Form 10-K</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3"/>
              </w:rPr>
              <w:t>for the fiscal year ended June 27, 2008 filed with the Securities and Exchange Commission on September 25, 2008,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10.18*</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Harris Stratex Networks, Inc. 2007 Stock Equity Plan (incorporated by reference to Exhibit 4.9 to the Registration Statement on Form S-8 filed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with the Securities and Exchange Commission on February 5, 2007, File No. 333-140442)</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10.18.1</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Harris Stratex Networks, Inc. 2007 Stock Equity Plan (As Amended and Restated Effective November 19, 2009) (incorporated by reference to</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2"/>
              </w:rPr>
              <w:t>Appendix B to the Registrant’s Schedule 14A filed with the Securities and Exchange Commission on October 7, 2009, File No. 001-33278)</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10.19</w:t>
            </w:r>
          </w:p>
        </w:tc>
        <w:tc>
          <w:tcPr>
            <w:tcW w:w="480" w:type="dxa"/>
            <w:vAlign w:val="bottom"/>
          </w:tcPr>
          <w:p>
            <w:pPr>
              <w:spacing w:after="0"/>
              <w:rPr>
                <w:sz w:val="24"/>
                <w:szCs w:val="24"/>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9"/>
              </w:rPr>
              <w:t>Credit Agreement between Harris Stratex Networks, Inc., Harris Stratex Networks Operating Corporation, Harris Stratex Networks(S) Pte. Ltd.,</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3"/>
              </w:rPr>
              <w:t>Bank of America, N.A., Silicon Valley Bank, Banc of America Securities Asia Limited and Banc of America Securities LLC, dated June 30,</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2008 (incorporated by reference to Exhibit 10.19 to the Company’s Annual Report on Form 10-K for the fiscal year ended June 27, 2008 filed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with the Securities and Exchange Commission on September 25, 2008,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10.19.1</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2"/>
              </w:rPr>
              <w:t>Amendment No. 1 to Credit Agreement between Aviat Networks, Inc., Aviat U.S., Inc., Aviat Networks(S) Pte. Ltd., Bank of America, N.A.,</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Bank of America, N.A. Hong Kong Branch, and Silicon Valley Bank, dated August 23, 2010 (incorporate by reference to Exhibit 10.19.1 to the</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5"/>
              </w:rPr>
              <w:t>Company’s Annual Report on Form 10-K for the fiscal year ended July 2, 2010 filed with the Securities and Exchange Commission on</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September 9, 2010, File No. 001-33278)</w:t>
            </w:r>
          </w:p>
        </w:tc>
      </w:tr>
      <w:tr>
        <w:trPr>
          <w:trHeight w:val="318"/>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10.20</w:t>
            </w:r>
          </w:p>
        </w:tc>
        <w:tc>
          <w:tcPr>
            <w:tcW w:w="480" w:type="dxa"/>
            <w:vAlign w:val="bottom"/>
          </w:tcPr>
          <w:p>
            <w:pPr>
              <w:spacing w:after="0"/>
              <w:rPr>
                <w:sz w:val="24"/>
                <w:szCs w:val="24"/>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4"/>
              </w:rPr>
              <w:t>Amended and Restated Loan and Security Agreement between Stratex Networks, Inc. and Silicon Valley Bank, dated January 21, 2004</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3"/>
              </w:rPr>
              <w:t>(incorporated by reference to Exhibit 10.1 to the Report on Form 8-K of Stratex Networks, Inc. on January 22, 2004, File No. 000-15895)</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10.20.1</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Amendment No. 5 to Amended and Restated Loan and Security Agreement between Harris Stratex Networks Operating Corporation, a wholly</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8"/>
              </w:rPr>
              <w:t>owned subsidiary of Harris Stratex Networks, Inc. and the successor to Stratex Networks, Inc. and Silicon Valley Bank, dated February 23, 2007</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8"/>
              </w:rPr>
              <w:t>(incorporated herein by reference to Exhibit 10.28.5 to the Company’s Annual Report on Form 10-K for the fiscal year ended June 29, 2007 filed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with the Securities and Exchange Commission on August 27, 2007, File No. 001-33278)</w:t>
            </w:r>
          </w:p>
        </w:tc>
      </w:tr>
      <w:tr>
        <w:trPr>
          <w:trHeight w:val="324"/>
        </w:trPr>
        <w:tc>
          <w:tcPr>
            <w:tcW w:w="420" w:type="dxa"/>
            <w:vAlign w:val="bottom"/>
            <w:gridSpan w:val="2"/>
          </w:tcPr>
          <w:p>
            <w:pPr>
              <w:spacing w:after="0"/>
              <w:rPr>
                <w:sz w:val="20"/>
                <w:szCs w:val="20"/>
                <w:color w:val="auto"/>
              </w:rPr>
            </w:pPr>
            <w:r>
              <w:rPr>
                <w:rFonts w:ascii="Arial" w:cs="Arial" w:eastAsia="Arial" w:hAnsi="Arial"/>
                <w:sz w:val="18"/>
                <w:szCs w:val="18"/>
                <w:color w:val="auto"/>
                <w:w w:val="88"/>
              </w:rPr>
              <w:t>10.21</w:t>
            </w:r>
          </w:p>
        </w:tc>
        <w:tc>
          <w:tcPr>
            <w:tcW w:w="480" w:type="dxa"/>
            <w:vAlign w:val="bottom"/>
          </w:tcPr>
          <w:p>
            <w:pPr>
              <w:spacing w:after="0"/>
              <w:rPr>
                <w:sz w:val="24"/>
                <w:szCs w:val="24"/>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Intentionally omitted.</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10.22*</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4"/>
              </w:rPr>
              <w:t>Employment Agreement, effective as of May 4, 2009, between Harris Stratex Networks, Inc. and Thomas L. Cronan III (incorporated by</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reference to Exhibit 10.1 to the Report on Form 8-K filed with the Securities and Exchange Commission on May 5, 2009,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10.23*</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(incorporation by reference to</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3"/>
              </w:rPr>
              <w:t>Exhibit 10.15.2 to the Company’s Quarterly Report on Form 10-Q for the fiscal quarter ended March 30, 2007 filed with the Securities and</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Exchange Commission on May 8, 2007, File No. 001-33278)</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10.24*</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8"/>
              </w:rPr>
              <w:t>Employment Agreement, dated as of May 14, 2002, between Stratex Networks, Inc. and Paul Kennard (incorporated by reference to Exhibit 10.1</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0"/>
              </w:rPr>
              <w:t>to the Stratex Networks, Inc. Quarterly Report on Form 10-Q for the fiscal quarter ended June 30, 2006 filed with the Securities and Exchange</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Commission on August 9, 2006, File No. 000-15895)</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10.24.1*</w:t>
            </w: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89"/>
              </w:rPr>
              <w:t>Amendment A, effective as of April 1, 2006, to Employment Agreement, dated May 14, 2002, between Stratex Networks, Inc. and Paul Kennard</w:t>
            </w: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w w:val="91"/>
              </w:rPr>
              <w:t>(incorporated by reference to Exhibit 10.2 to the Stratex Networks, Inc. Quarterly Report on Form 10-Q for the fiscal quarter ended June 30,</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80" w:type="dxa"/>
            <w:vAlign w:val="bottom"/>
            <w:gridSpan w:val="3"/>
          </w:tcPr>
          <w:p>
            <w:pPr>
              <w:ind w:left="280"/>
              <w:spacing w:after="0"/>
              <w:rPr>
                <w:sz w:val="20"/>
                <w:szCs w:val="20"/>
                <w:color w:val="auto"/>
              </w:rPr>
            </w:pPr>
            <w:r>
              <w:rPr>
                <w:rFonts w:ascii="Arial" w:cs="Arial" w:eastAsia="Arial" w:hAnsi="Arial"/>
                <w:sz w:val="18"/>
                <w:szCs w:val="18"/>
                <w:color w:val="auto"/>
              </w:rPr>
              <w:t>2006 filed with the Securities and Exchange Commission on August 9, 2006, File No. 000-15895)</w:t>
            </w:r>
          </w:p>
        </w:tc>
      </w:tr>
      <w:tr>
        <w:trPr>
          <w:trHeight w:val="365"/>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60" w:type="dxa"/>
            <w:vAlign w:val="bottom"/>
          </w:tcPr>
          <w:p>
            <w:pPr>
              <w:ind w:left="4680"/>
              <w:spacing w:after="0"/>
              <w:rPr>
                <w:sz w:val="20"/>
                <w:szCs w:val="20"/>
                <w:color w:val="auto"/>
              </w:rPr>
            </w:pPr>
            <w:r>
              <w:rPr>
                <w:rFonts w:ascii="Arial" w:cs="Arial" w:eastAsia="Arial" w:hAnsi="Arial"/>
                <w:sz w:val="18"/>
                <w:szCs w:val="18"/>
                <w:color w:val="auto"/>
              </w:rPr>
              <w:t>114</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w:t>
            </w:r>
          </w:p>
        </w:tc>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8"/>
        </w:trPr>
        <w:tc>
          <w:tcPr>
            <w:tcW w:w="20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60" w:type="dxa"/>
            <w:vAlign w:val="bottom"/>
          </w:tcPr>
          <w:p>
            <w:pPr>
              <w:spacing w:after="0"/>
              <w:rPr>
                <w:sz w:val="14"/>
                <w:szCs w:val="14"/>
                <w:color w:val="auto"/>
              </w:rPr>
            </w:pPr>
          </w:p>
        </w:tc>
      </w:tr>
      <w:tr>
        <w:trPr>
          <w:trHeight w:val="316"/>
        </w:trPr>
        <w:tc>
          <w:tcPr>
            <w:tcW w:w="900" w:type="dxa"/>
            <w:vAlign w:val="bottom"/>
            <w:gridSpan w:val="4"/>
          </w:tcPr>
          <w:p>
            <w:pPr>
              <w:spacing w:after="0"/>
              <w:rPr>
                <w:sz w:val="20"/>
                <w:szCs w:val="20"/>
                <w:color w:val="auto"/>
              </w:rPr>
            </w:pPr>
            <w:r>
              <w:rPr>
                <w:rFonts w:ascii="Arial" w:cs="Arial" w:eastAsia="Arial" w:hAnsi="Arial"/>
                <w:sz w:val="18"/>
                <w:szCs w:val="18"/>
                <w:color w:val="auto"/>
              </w:rPr>
              <w:t>10.24.2*</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9"/>
              </w:rPr>
              <w:t>Amendment B, effective as of April 1, 2006, to Employment Agreement, dated May 14, 2002, between Stratex Networks, Inc. and Paul Kennard</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2"/>
              </w:rPr>
              <w:t>(incorporated by reference to Exhibit 10.3 to the Stratex Networks, Inc. Quarterly Report on Form 10-Q for the fiscal quarter ended June 30,</w:t>
            </w:r>
          </w:p>
        </w:tc>
      </w:tr>
      <w:tr>
        <w:trPr>
          <w:trHeight w:val="222"/>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2006 filed with the Securities and Exchange Commission on August 9, 2006, File No. 000-15895)</w:t>
            </w:r>
          </w:p>
        </w:tc>
      </w:tr>
      <w:tr>
        <w:trPr>
          <w:trHeight w:val="318"/>
        </w:trPr>
        <w:tc>
          <w:tcPr>
            <w:tcW w:w="200" w:type="dxa"/>
            <w:vAlign w:val="bottom"/>
          </w:tcPr>
          <w:p>
            <w:pPr>
              <w:spacing w:after="0"/>
              <w:rPr>
                <w:sz w:val="20"/>
                <w:szCs w:val="20"/>
                <w:color w:val="auto"/>
              </w:rPr>
            </w:pPr>
            <w:r>
              <w:rPr>
                <w:rFonts w:ascii="Arial" w:cs="Arial" w:eastAsia="Arial" w:hAnsi="Arial"/>
                <w:sz w:val="18"/>
                <w:szCs w:val="18"/>
                <w:color w:val="auto"/>
                <w:w w:val="89"/>
              </w:rPr>
              <w:t>10</w:t>
            </w:r>
          </w:p>
        </w:tc>
        <w:tc>
          <w:tcPr>
            <w:tcW w:w="700" w:type="dxa"/>
            <w:vAlign w:val="bottom"/>
            <w:gridSpan w:val="3"/>
          </w:tcPr>
          <w:p>
            <w:pPr>
              <w:ind w:left="20"/>
              <w:spacing w:after="0"/>
              <w:rPr>
                <w:sz w:val="20"/>
                <w:szCs w:val="20"/>
                <w:color w:val="auto"/>
              </w:rPr>
            </w:pPr>
            <w:r>
              <w:rPr>
                <w:rFonts w:ascii="Arial" w:cs="Arial" w:eastAsia="Arial" w:hAnsi="Arial"/>
                <w:sz w:val="18"/>
                <w:szCs w:val="18"/>
                <w:color w:val="auto"/>
              </w:rPr>
              <w:t>.25*</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2"/>
              </w:rPr>
              <w:t>Employment Agreement, dated as of May 14, 2002, between Stratex Networks, Inc. and Shaun McFall (incorporated by reference to Exhibit</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9"/>
              </w:rPr>
              <w:t>10.25 to the Company’s Annual Report on Form 10-K for the fiscal year ended July 3, 2009 filed with the Securities and Exchange Commission</w:t>
            </w:r>
          </w:p>
        </w:tc>
      </w:tr>
      <w:tr>
        <w:trPr>
          <w:trHeight w:val="222"/>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on September 4, 2009, File No. 001-33278)</w:t>
            </w:r>
          </w:p>
        </w:tc>
      </w:tr>
      <w:tr>
        <w:trPr>
          <w:trHeight w:val="318"/>
        </w:trPr>
        <w:tc>
          <w:tcPr>
            <w:tcW w:w="900" w:type="dxa"/>
            <w:vAlign w:val="bottom"/>
            <w:gridSpan w:val="4"/>
          </w:tcPr>
          <w:p>
            <w:pPr>
              <w:spacing w:after="0"/>
              <w:rPr>
                <w:sz w:val="20"/>
                <w:szCs w:val="20"/>
                <w:color w:val="auto"/>
              </w:rPr>
            </w:pPr>
            <w:r>
              <w:rPr>
                <w:rFonts w:ascii="Arial" w:cs="Arial" w:eastAsia="Arial" w:hAnsi="Arial"/>
                <w:sz w:val="18"/>
                <w:szCs w:val="18"/>
                <w:color w:val="auto"/>
              </w:rPr>
              <w:t>10.25.1*</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4"/>
              </w:rPr>
              <w:t>Amendment, effective April 1, 2006, to Employment Agreement, dated May 14, 2002, between Stratex Networks, Inc. and Shaun McFall</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9"/>
              </w:rPr>
              <w:t>(incorporated by reference to Exhibit 10.25.1 to the Company’s Annual Report on Form 10-K for the fiscal year ended July 3, 2009 filed with the</w:t>
            </w:r>
          </w:p>
        </w:tc>
      </w:tr>
      <w:tr>
        <w:trPr>
          <w:trHeight w:val="222"/>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Securities and Exchange Commission on September 4, 2009, File No. 001-33278)</w:t>
            </w:r>
          </w:p>
        </w:tc>
      </w:tr>
      <w:tr>
        <w:trPr>
          <w:trHeight w:val="318"/>
        </w:trPr>
        <w:tc>
          <w:tcPr>
            <w:tcW w:w="900" w:type="dxa"/>
            <w:vAlign w:val="bottom"/>
            <w:gridSpan w:val="4"/>
          </w:tcPr>
          <w:p>
            <w:pPr>
              <w:spacing w:after="0"/>
              <w:rPr>
                <w:sz w:val="20"/>
                <w:szCs w:val="20"/>
                <w:color w:val="auto"/>
              </w:rPr>
            </w:pPr>
            <w:r>
              <w:rPr>
                <w:rFonts w:ascii="Arial" w:cs="Arial" w:eastAsia="Arial" w:hAnsi="Arial"/>
                <w:sz w:val="18"/>
                <w:szCs w:val="18"/>
                <w:color w:val="auto"/>
              </w:rPr>
              <w:t>10.26*</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0"/>
              </w:rPr>
              <w:t>Employment Agreement, dated June 28, 2010, between Aviat Networks, Inc. and Charles D. Kissner (incorporated by reference to Exhibit 10.1</w:t>
            </w:r>
          </w:p>
        </w:tc>
      </w:tr>
      <w:tr>
        <w:trPr>
          <w:trHeight w:val="222"/>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to the Report on Form 8-K filed with the Securities and Exchange Commission on July 1, 2010, File No. 001-33278)</w:t>
            </w:r>
          </w:p>
        </w:tc>
      </w:tr>
      <w:tr>
        <w:trPr>
          <w:trHeight w:val="318"/>
        </w:trPr>
        <w:tc>
          <w:tcPr>
            <w:tcW w:w="900" w:type="dxa"/>
            <w:vAlign w:val="bottom"/>
            <w:gridSpan w:val="4"/>
          </w:tcPr>
          <w:p>
            <w:pPr>
              <w:spacing w:after="0"/>
              <w:rPr>
                <w:sz w:val="20"/>
                <w:szCs w:val="20"/>
                <w:color w:val="auto"/>
              </w:rPr>
            </w:pPr>
            <w:r>
              <w:rPr>
                <w:rFonts w:ascii="Arial" w:cs="Arial" w:eastAsia="Arial" w:hAnsi="Arial"/>
                <w:sz w:val="18"/>
                <w:szCs w:val="18"/>
                <w:color w:val="auto"/>
              </w:rPr>
              <w:t>10.26.1*</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9"/>
              </w:rPr>
              <w:t>Employment Agreement, dated August 1, 2010, between Aviat Networks, Inc. and Charles D. Kissner (incorporated by reference to Exhibit 10.2</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0"/>
              </w:rPr>
              <w:t>to the Company’s Quarterly Report on Form 10-Q for fiscal quarter ended October 1, 2010 filed with the Securities and Exchange Commission</w:t>
            </w:r>
          </w:p>
        </w:tc>
      </w:tr>
      <w:tr>
        <w:trPr>
          <w:trHeight w:val="222"/>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on November 10, 2010, File No. 001-33278)</w:t>
            </w:r>
          </w:p>
        </w:tc>
      </w:tr>
      <w:tr>
        <w:trPr>
          <w:trHeight w:val="324"/>
        </w:trPr>
        <w:tc>
          <w:tcPr>
            <w:tcW w:w="900" w:type="dxa"/>
            <w:vAlign w:val="bottom"/>
            <w:gridSpan w:val="4"/>
          </w:tcPr>
          <w:p>
            <w:pPr>
              <w:spacing w:after="0"/>
              <w:rPr>
                <w:sz w:val="20"/>
                <w:szCs w:val="20"/>
                <w:color w:val="auto"/>
              </w:rPr>
            </w:pPr>
            <w:r>
              <w:rPr>
                <w:rFonts w:ascii="Arial" w:cs="Arial" w:eastAsia="Arial" w:hAnsi="Arial"/>
                <w:sz w:val="18"/>
                <w:szCs w:val="18"/>
                <w:color w:val="auto"/>
              </w:rPr>
              <w:t>10.27*</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Employment Agreement, dated July 18, 2011, between Aviat Networks, Inc. and Charles D. Kissner</w:t>
            </w:r>
          </w:p>
        </w:tc>
      </w:tr>
      <w:tr>
        <w:trPr>
          <w:trHeight w:val="324"/>
        </w:trPr>
        <w:tc>
          <w:tcPr>
            <w:tcW w:w="900" w:type="dxa"/>
            <w:vAlign w:val="bottom"/>
            <w:gridSpan w:val="4"/>
          </w:tcPr>
          <w:p>
            <w:pPr>
              <w:spacing w:after="0"/>
              <w:rPr>
                <w:sz w:val="20"/>
                <w:szCs w:val="20"/>
                <w:color w:val="auto"/>
              </w:rPr>
            </w:pPr>
            <w:r>
              <w:rPr>
                <w:rFonts w:ascii="Arial" w:cs="Arial" w:eastAsia="Arial" w:hAnsi="Arial"/>
                <w:sz w:val="18"/>
                <w:szCs w:val="18"/>
                <w:color w:val="auto"/>
              </w:rPr>
              <w:t>10.28*</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Employment Agreement, dated July 18, 2011, between Aviat Networks, Inc. and Michael Pangia</w:t>
            </w:r>
          </w:p>
        </w:tc>
      </w:tr>
      <w:tr>
        <w:trPr>
          <w:trHeight w:val="318"/>
        </w:trPr>
        <w:tc>
          <w:tcPr>
            <w:tcW w:w="900" w:type="dxa"/>
            <w:vAlign w:val="bottom"/>
            <w:gridSpan w:val="4"/>
          </w:tcPr>
          <w:p>
            <w:pPr>
              <w:spacing w:after="0"/>
              <w:rPr>
                <w:sz w:val="20"/>
                <w:szCs w:val="20"/>
                <w:color w:val="auto"/>
              </w:rPr>
            </w:pPr>
            <w:r>
              <w:rPr>
                <w:rFonts w:ascii="Arial" w:cs="Arial" w:eastAsia="Arial" w:hAnsi="Arial"/>
                <w:sz w:val="18"/>
                <w:szCs w:val="18"/>
                <w:color w:val="auto"/>
              </w:rPr>
              <w:t>10.29*</w:t>
            </w: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8"/>
              </w:rPr>
              <w:t>Employment Agreement, dated December 30, 2010, between Aviat Networks, Inc. and John Madigan (incorporate by reference to Exhibit 10.1 to</w:t>
            </w:r>
          </w:p>
        </w:tc>
      </w:tr>
      <w:tr>
        <w:trPr>
          <w:trHeight w:val="222"/>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the Report on Form 8-K filed with the Securities and Exchange Commission on January 4, 2011, File No. 001-33278)</w:t>
            </w:r>
          </w:p>
        </w:tc>
      </w:tr>
      <w:tr>
        <w:trPr>
          <w:trHeight w:val="318"/>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10.30</w:t>
            </w:r>
          </w:p>
        </w:tc>
        <w:tc>
          <w:tcPr>
            <w:tcW w:w="480" w:type="dxa"/>
            <w:vAlign w:val="bottom"/>
          </w:tcPr>
          <w:p>
            <w:pPr>
              <w:spacing w:after="0"/>
              <w:rPr>
                <w:sz w:val="24"/>
                <w:szCs w:val="24"/>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94"/>
              </w:rPr>
              <w:t>Loan and Security Agreement between Aviat Networks, Inc., Aviat U.S., Inc., Aviat Networks (S) Pte Ltd. and Silicon Valley Bank, dated</w:t>
            </w:r>
          </w:p>
        </w:tc>
      </w:tr>
      <w:tr>
        <w:trPr>
          <w:trHeight w:val="216"/>
        </w:trPr>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8"/>
              </w:rPr>
              <w:t>September 30, 2010 (incorporated by reference to Exhibit 10.1 to the Report on Form 8-K filed with the Securities and Exchange Commission on</w:t>
            </w:r>
          </w:p>
        </w:tc>
      </w:tr>
      <w:tr>
        <w:trPr>
          <w:trHeight w:val="222"/>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October 4, 2010, File No. 001-33278)</w:t>
            </w:r>
          </w:p>
        </w:tc>
      </w:tr>
      <w:tr>
        <w:trPr>
          <w:trHeight w:val="318"/>
        </w:trPr>
        <w:tc>
          <w:tcPr>
            <w:tcW w:w="420" w:type="dxa"/>
            <w:vAlign w:val="bottom"/>
            <w:gridSpan w:val="3"/>
          </w:tcPr>
          <w:p>
            <w:pPr>
              <w:spacing w:after="0"/>
              <w:rPr>
                <w:sz w:val="20"/>
                <w:szCs w:val="20"/>
                <w:color w:val="auto"/>
              </w:rPr>
            </w:pPr>
            <w:r>
              <w:rPr>
                <w:rFonts w:ascii="Arial" w:cs="Arial" w:eastAsia="Arial" w:hAnsi="Arial"/>
                <w:sz w:val="18"/>
                <w:szCs w:val="18"/>
                <w:color w:val="auto"/>
                <w:w w:val="88"/>
              </w:rPr>
              <w:t>10.31</w:t>
            </w:r>
          </w:p>
        </w:tc>
        <w:tc>
          <w:tcPr>
            <w:tcW w:w="480" w:type="dxa"/>
            <w:vAlign w:val="bottom"/>
          </w:tcPr>
          <w:p>
            <w:pPr>
              <w:spacing w:after="0"/>
              <w:rPr>
                <w:sz w:val="24"/>
                <w:szCs w:val="24"/>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w w:val="88"/>
              </w:rPr>
              <w:t>Agreement between Aviat Networks, Inc. and Ramius Group, dated September 14, 2010 (incorporated by reference to Exhibit 10.1 to the Report</w:t>
            </w:r>
          </w:p>
        </w:tc>
      </w:tr>
      <w:tr>
        <w:trPr>
          <w:trHeight w:val="222"/>
        </w:trPr>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on Form 8-K filed with the Securities and Exchange Commission on September 16, 2010, File No. 001-33278)</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List of Subsidiaries of Aviat Networks, Inc.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w:t>
            </w:r>
          </w:p>
        </w:tc>
        <w:tc>
          <w:tcPr>
            <w:tcW w:w="480" w:type="dxa"/>
            <w:vAlign w:val="bottom"/>
          </w:tcPr>
          <w:p>
            <w:pPr>
              <w:spacing w:after="0"/>
              <w:rPr>
                <w:sz w:val="24"/>
                <w:szCs w:val="24"/>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w:t>
            </w:r>
          </w:p>
        </w:tc>
        <w:tc>
          <w:tcPr>
            <w:tcW w:w="480" w:type="dxa"/>
            <w:vAlign w:val="bottom"/>
          </w:tcPr>
          <w:p>
            <w:pPr>
              <w:spacing w:after="0"/>
              <w:rPr>
                <w:sz w:val="24"/>
                <w:szCs w:val="24"/>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w:t>
            </w:r>
          </w:p>
        </w:tc>
        <w:tc>
          <w:tcPr>
            <w:tcW w:w="480" w:type="dxa"/>
            <w:vAlign w:val="bottom"/>
          </w:tcPr>
          <w:p>
            <w:pPr>
              <w:spacing w:after="0"/>
              <w:rPr>
                <w:sz w:val="24"/>
                <w:szCs w:val="24"/>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w w:val="89"/>
              </w:rPr>
              <w:t>32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w:t>
            </w:r>
          </w:p>
        </w:tc>
        <w:tc>
          <w:tcPr>
            <w:tcW w:w="480" w:type="dxa"/>
            <w:vAlign w:val="bottom"/>
          </w:tcPr>
          <w:p>
            <w:pPr>
              <w:spacing w:after="0"/>
              <w:rPr>
                <w:sz w:val="24"/>
                <w:szCs w:val="24"/>
                <w:color w:val="auto"/>
              </w:rPr>
            </w:pPr>
          </w:p>
        </w:tc>
        <w:tc>
          <w:tcPr>
            <w:tcW w:w="10520" w:type="dxa"/>
            <w:vAlign w:val="bottom"/>
            <w:gridSpan w:val="3"/>
          </w:tcPr>
          <w:p>
            <w:pPr>
              <w:ind w:left="280"/>
              <w:spacing w:after="0"/>
              <w:rPr>
                <w:sz w:val="20"/>
                <w:szCs w:val="20"/>
                <w:color w:val="auto"/>
              </w:rPr>
            </w:pPr>
            <w:r>
              <w:rPr>
                <w:rFonts w:ascii="Arial" w:cs="Arial" w:eastAsia="Arial" w:hAnsi="Arial"/>
                <w:sz w:val="18"/>
                <w:szCs w:val="18"/>
                <w:color w:val="auto"/>
              </w:rPr>
              <w:t>Section 1350 Certification of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580" w:right="2200" w:hanging="5572"/>
        <w:spacing w:after="0" w:line="440" w:lineRule="auto"/>
        <w:tabs>
          <w:tab w:leader="none" w:pos="2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 115</w:t>
      </w:r>
    </w:p>
    <w:p>
      <w:pPr>
        <w:sectPr>
          <w:pgSz w:w="11900" w:h="16838" w:orient="portrait"/>
          <w:cols w:equalWidth="0" w:num="1">
            <w:col w:w="11420"/>
          </w:cols>
          <w:pgMar w:left="240" w:top="459"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986155" cy="5657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861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27778 Stirrup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Altos Hills, CA 94022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Chuck:</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sets forth the terms of your continued employment with Aviat Networks, Inc.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as well as our understanding with respect to any termination of that employment relationship. This Agreement amends and restates the Employment Agreement, dated August 1, 2010, between the Company and you, effective on July 18, 2011 and is conditioned upon your timely delivery of the General Release of Claims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Release Agreement</w:t>
      </w:r>
      <w:r>
        <w:rPr>
          <w:rFonts w:ascii="Arial" w:cs="Arial" w:eastAsia="Arial" w:hAnsi="Arial"/>
          <w:sz w:val="16"/>
          <w:szCs w:val="16"/>
          <w:color w:val="auto"/>
        </w:rPr>
        <w:t>”) which becomes valid and irrevocable according to the terms set forth in the Release Agreement.</w:t>
      </w:r>
    </w:p>
    <w:p>
      <w:pPr>
        <w:spacing w:after="0" w:line="113" w:lineRule="exact"/>
        <w:rPr>
          <w:sz w:val="20"/>
          <w:szCs w:val="20"/>
          <w:color w:val="auto"/>
        </w:rPr>
      </w:pPr>
    </w:p>
    <w:p>
      <w:pPr>
        <w:ind w:firstLine="464"/>
        <w:spacing w:after="0" w:line="285"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As of July 18, 2011 your employment as the Chief Executive Officer shall terminate and, commencing on July 19, 2011, and during the term of this Agreement, you will continue to be employed by the Company on a part-time basis as its Chairman of the Board, reporting to the Board of Directors. This position will be based at our corporate headquarters in Santa Clara, California. You will also continue to serve as a director of the Company, and your positions of Chairman of the Board and director will be subject to the normal re-nomination process of the Governance and Nominating Committee of the Board of Directors of the Company, and, in the case of your position as a director, election by the Company’s shareholders. You agree to continue providing services to the Company on the terms and conditions set forth in this Agreement, and you agree not to engage in any business, other employment or other activities which would conflict with your obligations to the Company or create an actual or the appearance of a conflict of interest with the Company’s interests or your employment relationship with the Company. During the term of this Agreement, your primary responsibilities will be to support investor relations, support the Company’s strategic review process and mentor the Chief Executive Officer of the Company, subject to the oversight and supervision of the Board of Directors of the Company. These duties will be in addition to the usual and customary obligations you will have as a director and Chairman of the Board of Directors of the Company. From and after the end of the term of this Agreement, you will have no further duties as an employee of the Company, and your sole service relationship to the Company will be that of a director and the Chairman of the Board of Directors of the Company, which positions will be subject to the normal re-nomination process of the Governance and Nominating Committee of the Board of Directors of the Company and, in the case of your position as a director, election by the Company’s shareholders.</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be effective from July 18, 2011 until July 18, 2012, during which time your employment with the Company will be part-time and at will, which means that your employment may be terminated by you or the Company at any time, with or without cause or notice, subject to the provisions of Paragraphs 4 and 5 below.</w:t>
      </w:r>
    </w:p>
    <w:p>
      <w:pPr>
        <w:spacing w:after="0" w:line="140" w:lineRule="exact"/>
        <w:rPr>
          <w:rFonts w:ascii="Arial" w:cs="Arial" w:eastAsia="Arial" w:hAnsi="Arial"/>
          <w:sz w:val="18"/>
          <w:szCs w:val="18"/>
          <w:color w:val="auto"/>
        </w:rPr>
      </w:pPr>
    </w:p>
    <w:p>
      <w:pPr>
        <w:ind w:right="160" w:firstLine="464"/>
        <w:spacing w:after="0" w:line="256"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term of this Agreement, you will be compensated by the Company for your services as described below. From and after the end of the term of this Agreement, you will be eligible to receive such cash and equity compensation as is usual and customary for similarly situated non-employee directors of the Company (including, as applicable, supplemental compensation for your services as Chairman of the Board of Directors of the Company), so long as you are serving as a director of the Company.</w:t>
      </w:r>
    </w:p>
    <w:p>
      <w:pPr>
        <w:spacing w:after="0" w:line="143" w:lineRule="exact"/>
        <w:rPr>
          <w:rFonts w:ascii="Arial" w:cs="Arial" w:eastAsia="Arial" w:hAnsi="Arial"/>
          <w:sz w:val="18"/>
          <w:szCs w:val="18"/>
          <w:color w:val="auto"/>
        </w:rPr>
      </w:pPr>
    </w:p>
    <w:p>
      <w:pPr>
        <w:ind w:right="20" w:firstLine="921"/>
        <w:spacing w:after="0" w:line="306" w:lineRule="auto"/>
        <w:tabs>
          <w:tab w:leader="none" w:pos="115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You will be paid a base salary at an annual rate of $350,000 (payable in substantially equal installments of $29,166 per month), less applicable withholding, in accordance with the Company’s normal payroll procedures and applicable law. Your base salary will not be reduced except as part of a salary reduction program that similarly affects all members of the executive staff reporting to the Chief Executive Officer of the Company.</w:t>
      </w:r>
    </w:p>
    <w:p>
      <w:pPr>
        <w:spacing w:after="0" w:line="107" w:lineRule="exact"/>
        <w:rPr>
          <w:sz w:val="20"/>
          <w:szCs w:val="20"/>
          <w:color w:val="auto"/>
        </w:rPr>
      </w:pPr>
    </w:p>
    <w:p>
      <w:pPr>
        <w:ind w:right="40" w:firstLine="464"/>
        <w:spacing w:after="0" w:line="256"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Non-Employee Director Equity Awards</w:t>
      </w:r>
      <w:r>
        <w:rPr>
          <w:rFonts w:ascii="Arial" w:cs="Arial" w:eastAsia="Arial" w:hAnsi="Arial"/>
          <w:sz w:val="18"/>
          <w:szCs w:val="18"/>
          <w:color w:val="auto"/>
        </w:rPr>
        <w:t>: Subject to Board approval each year, you will be eligible to participate in the equity award plan for non-employee directors on the same basis and to the same extent as non-employee directors of the Company; provided, however, that you will be eligible to receive a pro rata award under the terms of such equity award plan in respect of the period from the effective date of this Agreement to the date on which annual awards will be made in the ordinary course to all non-employee directors.</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Long-Term Incentive Program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289" w:lineRule="auto"/>
        <w:tabs>
          <w:tab w:leader="none" w:pos="1693" w:val="left"/>
        </w:tabs>
        <w:numPr>
          <w:ilvl w:val="2"/>
          <w:numId w:val="39"/>
        </w:numPr>
        <w:rPr>
          <w:rFonts w:ascii="Arial" w:cs="Arial" w:eastAsia="Arial" w:hAnsi="Arial"/>
          <w:sz w:val="16"/>
          <w:szCs w:val="16"/>
          <w:color w:val="auto"/>
        </w:rPr>
      </w:pPr>
      <w:r>
        <w:rPr>
          <w:rFonts w:ascii="Arial" w:cs="Arial" w:eastAsia="Arial" w:hAnsi="Arial"/>
          <w:sz w:val="16"/>
          <w:szCs w:val="16"/>
          <w:i w:val="1"/>
          <w:iCs w:val="1"/>
          <w:color w:val="auto"/>
        </w:rPr>
        <w:t>Existing time-based awards</w:t>
      </w:r>
      <w:r>
        <w:rPr>
          <w:rFonts w:ascii="Arial" w:cs="Arial" w:eastAsia="Arial" w:hAnsi="Arial"/>
          <w:sz w:val="16"/>
          <w:szCs w:val="16"/>
          <w:color w:val="auto"/>
        </w:rPr>
        <w:t>: Notwithstanding the terms of the Company’s Long-Term Incentive Plan (the “</w:t>
      </w:r>
      <w:r>
        <w:rPr>
          <w:rFonts w:ascii="Arial" w:cs="Arial" w:eastAsia="Arial" w:hAnsi="Arial"/>
          <w:sz w:val="16"/>
          <w:szCs w:val="16"/>
          <w:u w:val="single" w:color="auto"/>
          <w:color w:val="auto"/>
        </w:rPr>
        <w:t>LTIP</w:t>
      </w:r>
      <w:r>
        <w:rPr>
          <w:rFonts w:ascii="Arial" w:cs="Arial" w:eastAsia="Arial" w:hAnsi="Arial"/>
          <w:sz w:val="16"/>
          <w:szCs w:val="16"/>
          <w:color w:val="auto"/>
        </w:rPr>
        <w:t>”) or any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the contrary, awards of options and restricted stock that have been granted to you under the terms of the LTIP that are currently outstanding and that vest based on your continued service to the Company (the “</w:t>
      </w:r>
      <w:r>
        <w:rPr>
          <w:rFonts w:ascii="Arial" w:cs="Arial" w:eastAsia="Arial" w:hAnsi="Arial"/>
          <w:sz w:val="16"/>
          <w:szCs w:val="16"/>
          <w:u w:val="single" w:color="auto"/>
          <w:color w:val="auto"/>
        </w:rPr>
        <w:t>Time-based Vesting Awards</w:t>
      </w:r>
      <w:r>
        <w:rPr>
          <w:rFonts w:ascii="Arial" w:cs="Arial" w:eastAsia="Arial" w:hAnsi="Arial"/>
          <w:sz w:val="16"/>
          <w:szCs w:val="16"/>
          <w:color w:val="auto"/>
        </w:rPr>
        <w:t xml:space="preserve">”) shall continue to vest based upon their respective original vesting schedules during the term of your employment hereunder and during your subsequent service as a non-employee director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unvested portions of your Time-based Vesting award granted on February 10, 2011 (the “</w:t>
      </w:r>
      <w:r>
        <w:rPr>
          <w:rFonts w:ascii="Arial" w:cs="Arial" w:eastAsia="Arial" w:hAnsi="Arial"/>
          <w:sz w:val="16"/>
          <w:szCs w:val="16"/>
          <w:u w:val="single" w:color="auto"/>
          <w:color w:val="auto"/>
        </w:rPr>
        <w:t>February Awards</w:t>
      </w:r>
      <w:r>
        <w:rPr>
          <w:rFonts w:ascii="Arial" w:cs="Arial" w:eastAsia="Arial" w:hAnsi="Arial"/>
          <w:sz w:val="16"/>
          <w:szCs w:val="16"/>
          <w:color w:val="auto"/>
        </w:rPr>
        <w:t xml:space="preserve">”) shall no longer vest on their original vesting dates but shall instead vest on the modified vesting dates as set forth below;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event of a Change of Control (as defined below) occurs during the term of this Agreement and in connection with such Change of Control your compensation under this Agreement ceases, such outstanding Time-based Vesting Awards shall immediately become fully exercisable or shall cease to be subject to a substantial risk of forfeiture, as the case may be.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20"/>
                <w:szCs w:val="20"/>
                <w:color w:val="auto"/>
              </w:rPr>
            </w:pPr>
            <w:r>
              <w:rPr>
                <w:rFonts w:ascii="Arial" w:cs="Arial" w:eastAsia="Arial" w:hAnsi="Arial"/>
                <w:sz w:val="18"/>
                <w:szCs w:val="18"/>
                <w:b w:val="1"/>
                <w:bCs w:val="1"/>
                <w:color w:val="auto"/>
              </w:rPr>
              <w:t>February Award Tranches</w:t>
            </w:r>
          </w:p>
        </w:tc>
        <w:tc>
          <w:tcPr>
            <w:tcW w:w="3980" w:type="dxa"/>
            <w:vAlign w:val="bottom"/>
          </w:tcPr>
          <w:p>
            <w:pPr>
              <w:ind w:left="840"/>
              <w:spacing w:after="0"/>
              <w:rPr>
                <w:sz w:val="20"/>
                <w:szCs w:val="20"/>
                <w:color w:val="auto"/>
              </w:rPr>
            </w:pPr>
            <w:r>
              <w:rPr>
                <w:rFonts w:ascii="Arial" w:cs="Arial" w:eastAsia="Arial" w:hAnsi="Arial"/>
                <w:sz w:val="18"/>
                <w:szCs w:val="18"/>
                <w:b w:val="1"/>
                <w:bCs w:val="1"/>
                <w:color w:val="auto"/>
              </w:rPr>
              <w:t>Original Vesting Date</w:t>
            </w:r>
          </w:p>
        </w:tc>
        <w:tc>
          <w:tcPr>
            <w:tcW w:w="3200" w:type="dxa"/>
            <w:vAlign w:val="bottom"/>
          </w:tcPr>
          <w:p>
            <w:pPr>
              <w:ind w:left="1520"/>
              <w:spacing w:after="0"/>
              <w:rPr>
                <w:sz w:val="20"/>
                <w:szCs w:val="20"/>
                <w:color w:val="auto"/>
              </w:rPr>
            </w:pPr>
            <w:r>
              <w:rPr>
                <w:rFonts w:ascii="Arial" w:cs="Arial" w:eastAsia="Arial" w:hAnsi="Arial"/>
                <w:sz w:val="18"/>
                <w:szCs w:val="18"/>
                <w:b w:val="1"/>
                <w:bCs w:val="1"/>
                <w:color w:val="auto"/>
                <w:w w:val="88"/>
              </w:rPr>
              <w:t>Modified Vesting Date</w:t>
            </w:r>
          </w:p>
        </w:tc>
      </w:tr>
      <w:tr>
        <w:trPr>
          <w:trHeight w:val="318"/>
        </w:trPr>
        <w:tc>
          <w:tcPr>
            <w:tcW w:w="4240" w:type="dxa"/>
            <w:vAlign w:val="bottom"/>
          </w:tcPr>
          <w:p>
            <w:pPr>
              <w:spacing w:after="0"/>
              <w:rPr>
                <w:sz w:val="20"/>
                <w:szCs w:val="20"/>
                <w:color w:val="auto"/>
              </w:rPr>
            </w:pPr>
            <w:r>
              <w:rPr>
                <w:rFonts w:ascii="Arial" w:cs="Arial" w:eastAsia="Arial" w:hAnsi="Arial"/>
                <w:sz w:val="18"/>
                <w:szCs w:val="18"/>
                <w:color w:val="auto"/>
              </w:rPr>
              <w:t>An option for 25,250 shares and 9,400 shares of</w:t>
            </w:r>
          </w:p>
        </w:tc>
        <w:tc>
          <w:tcPr>
            <w:tcW w:w="3980" w:type="dxa"/>
            <w:vAlign w:val="bottom"/>
          </w:tcPr>
          <w:p>
            <w:pPr>
              <w:ind w:left="840"/>
              <w:spacing w:after="0"/>
              <w:rPr>
                <w:sz w:val="20"/>
                <w:szCs w:val="20"/>
                <w:color w:val="auto"/>
              </w:rPr>
            </w:pPr>
            <w:r>
              <w:rPr>
                <w:rFonts w:ascii="Arial" w:cs="Arial" w:eastAsia="Arial" w:hAnsi="Arial"/>
                <w:sz w:val="18"/>
                <w:szCs w:val="18"/>
                <w:color w:val="auto"/>
              </w:rPr>
              <w:t>February 10, 2012</w:t>
            </w:r>
          </w:p>
        </w:tc>
        <w:tc>
          <w:tcPr>
            <w:tcW w:w="3200" w:type="dxa"/>
            <w:vAlign w:val="bottom"/>
          </w:tcPr>
          <w:p>
            <w:pPr>
              <w:ind w:left="1520"/>
              <w:spacing w:after="0"/>
              <w:rPr>
                <w:sz w:val="20"/>
                <w:szCs w:val="20"/>
                <w:color w:val="auto"/>
              </w:rPr>
            </w:pPr>
            <w:r>
              <w:rPr>
                <w:rFonts w:ascii="Arial" w:cs="Arial" w:eastAsia="Arial" w:hAnsi="Arial"/>
                <w:sz w:val="18"/>
                <w:szCs w:val="18"/>
                <w:color w:val="auto"/>
              </w:rPr>
              <w:t>November 11, 2011</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restricted stock</w:t>
            </w:r>
          </w:p>
        </w:tc>
        <w:tc>
          <w:tcPr>
            <w:tcW w:w="39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18"/>
        </w:trPr>
        <w:tc>
          <w:tcPr>
            <w:tcW w:w="4240" w:type="dxa"/>
            <w:vAlign w:val="bottom"/>
          </w:tcPr>
          <w:p>
            <w:pPr>
              <w:spacing w:after="0"/>
              <w:rPr>
                <w:sz w:val="20"/>
                <w:szCs w:val="20"/>
                <w:color w:val="auto"/>
              </w:rPr>
            </w:pPr>
            <w:r>
              <w:rPr>
                <w:rFonts w:ascii="Arial" w:cs="Arial" w:eastAsia="Arial" w:hAnsi="Arial"/>
                <w:sz w:val="18"/>
                <w:szCs w:val="18"/>
                <w:color w:val="auto"/>
              </w:rPr>
              <w:t>An option for 12,625 shares and 9,400 shares of</w:t>
            </w:r>
          </w:p>
        </w:tc>
        <w:tc>
          <w:tcPr>
            <w:tcW w:w="3980" w:type="dxa"/>
            <w:vAlign w:val="bottom"/>
          </w:tcPr>
          <w:p>
            <w:pPr>
              <w:ind w:left="840"/>
              <w:spacing w:after="0"/>
              <w:rPr>
                <w:sz w:val="20"/>
                <w:szCs w:val="20"/>
                <w:color w:val="auto"/>
              </w:rPr>
            </w:pPr>
            <w:r>
              <w:rPr>
                <w:rFonts w:ascii="Arial" w:cs="Arial" w:eastAsia="Arial" w:hAnsi="Arial"/>
                <w:sz w:val="18"/>
                <w:szCs w:val="18"/>
                <w:color w:val="auto"/>
              </w:rPr>
              <w:t>February 10, 2013</w:t>
            </w:r>
          </w:p>
        </w:tc>
        <w:tc>
          <w:tcPr>
            <w:tcW w:w="3200" w:type="dxa"/>
            <w:vAlign w:val="bottom"/>
          </w:tcPr>
          <w:p>
            <w:pPr>
              <w:ind w:left="1520"/>
              <w:spacing w:after="0"/>
              <w:rPr>
                <w:sz w:val="20"/>
                <w:szCs w:val="20"/>
                <w:color w:val="auto"/>
              </w:rPr>
            </w:pPr>
            <w:r>
              <w:rPr>
                <w:rFonts w:ascii="Arial" w:cs="Arial" w:eastAsia="Arial" w:hAnsi="Arial"/>
                <w:sz w:val="18"/>
                <w:szCs w:val="18"/>
                <w:color w:val="auto"/>
              </w:rPr>
              <w:t>November 11, 2012</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restricted stock</w:t>
            </w:r>
          </w:p>
        </w:tc>
        <w:tc>
          <w:tcPr>
            <w:tcW w:w="39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18"/>
        </w:trPr>
        <w:tc>
          <w:tcPr>
            <w:tcW w:w="4240" w:type="dxa"/>
            <w:vAlign w:val="bottom"/>
          </w:tcPr>
          <w:p>
            <w:pPr>
              <w:spacing w:after="0"/>
              <w:rPr>
                <w:sz w:val="20"/>
                <w:szCs w:val="20"/>
                <w:color w:val="auto"/>
              </w:rPr>
            </w:pPr>
            <w:r>
              <w:rPr>
                <w:rFonts w:ascii="Arial" w:cs="Arial" w:eastAsia="Arial" w:hAnsi="Arial"/>
                <w:sz w:val="18"/>
                <w:szCs w:val="18"/>
                <w:color w:val="auto"/>
              </w:rPr>
              <w:t>An option for 12,625 shares and 9,400 shares of</w:t>
            </w:r>
          </w:p>
        </w:tc>
        <w:tc>
          <w:tcPr>
            <w:tcW w:w="3980" w:type="dxa"/>
            <w:vAlign w:val="bottom"/>
          </w:tcPr>
          <w:p>
            <w:pPr>
              <w:ind w:left="840"/>
              <w:spacing w:after="0"/>
              <w:rPr>
                <w:sz w:val="20"/>
                <w:szCs w:val="20"/>
                <w:color w:val="auto"/>
              </w:rPr>
            </w:pPr>
            <w:r>
              <w:rPr>
                <w:rFonts w:ascii="Arial" w:cs="Arial" w:eastAsia="Arial" w:hAnsi="Arial"/>
                <w:sz w:val="18"/>
                <w:szCs w:val="18"/>
                <w:color w:val="auto"/>
              </w:rPr>
              <w:t>February 10, 2014</w:t>
            </w:r>
          </w:p>
        </w:tc>
        <w:tc>
          <w:tcPr>
            <w:tcW w:w="3200" w:type="dxa"/>
            <w:vAlign w:val="bottom"/>
          </w:tcPr>
          <w:p>
            <w:pPr>
              <w:ind w:left="1520"/>
              <w:spacing w:after="0"/>
              <w:rPr>
                <w:sz w:val="20"/>
                <w:szCs w:val="20"/>
                <w:color w:val="auto"/>
              </w:rPr>
            </w:pPr>
            <w:r>
              <w:rPr>
                <w:rFonts w:ascii="Arial" w:cs="Arial" w:eastAsia="Arial" w:hAnsi="Arial"/>
                <w:sz w:val="18"/>
                <w:szCs w:val="18"/>
                <w:color w:val="auto"/>
              </w:rPr>
              <w:t>November 11, 2013</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restricted stock</w:t>
            </w:r>
          </w:p>
        </w:tc>
        <w:tc>
          <w:tcPr>
            <w:tcW w:w="3980" w:type="dxa"/>
            <w:vAlign w:val="bottom"/>
          </w:tcPr>
          <w:p>
            <w:pPr>
              <w:spacing w:after="0"/>
              <w:rPr>
                <w:sz w:val="19"/>
                <w:szCs w:val="19"/>
                <w:color w:val="auto"/>
              </w:rPr>
            </w:pPr>
          </w:p>
        </w:tc>
        <w:tc>
          <w:tcPr>
            <w:tcW w:w="3200" w:type="dxa"/>
            <w:vAlign w:val="bottom"/>
          </w:tcPr>
          <w:p>
            <w:pPr>
              <w:spacing w:after="0"/>
              <w:rPr>
                <w:sz w:val="19"/>
                <w:szCs w:val="19"/>
                <w:color w:val="auto"/>
              </w:rPr>
            </w:pPr>
          </w:p>
        </w:tc>
      </w:tr>
    </w:tbl>
    <w:p>
      <w:pPr>
        <w:spacing w:after="0" w:line="156" w:lineRule="exact"/>
        <w:rPr>
          <w:sz w:val="20"/>
          <w:szCs w:val="20"/>
          <w:color w:val="auto"/>
        </w:rPr>
      </w:pPr>
    </w:p>
    <w:p>
      <w:pPr>
        <w:ind w:right="180" w:firstLine="1492"/>
        <w:spacing w:after="0" w:line="294" w:lineRule="auto"/>
        <w:tabs>
          <w:tab w:leader="none" w:pos="1742" w:val="left"/>
        </w:tabs>
        <w:numPr>
          <w:ilvl w:val="2"/>
          <w:numId w:val="40"/>
        </w:numPr>
        <w:rPr>
          <w:rFonts w:ascii="Arial" w:cs="Arial" w:eastAsia="Arial" w:hAnsi="Arial"/>
          <w:sz w:val="16"/>
          <w:szCs w:val="16"/>
          <w:color w:val="auto"/>
        </w:rPr>
      </w:pPr>
      <w:r>
        <w:rPr>
          <w:rFonts w:ascii="Arial" w:cs="Arial" w:eastAsia="Arial" w:hAnsi="Arial"/>
          <w:sz w:val="16"/>
          <w:szCs w:val="16"/>
          <w:i w:val="1"/>
          <w:iCs w:val="1"/>
          <w:color w:val="auto"/>
        </w:rPr>
        <w:t>Existing performance-based awards</w:t>
      </w:r>
      <w:r>
        <w:rPr>
          <w:rFonts w:ascii="Arial" w:cs="Arial" w:eastAsia="Arial" w:hAnsi="Arial"/>
          <w:sz w:val="16"/>
          <w:szCs w:val="16"/>
          <w:color w:val="auto"/>
        </w:rPr>
        <w:t>: Notwithstanding the terms of the LTIP or any award agreement to the contrary,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awards that have been granted to you under the terms of the LTIP that are currently outstanding and that vest based on satisfaction of performance criteria (the “</w:t>
      </w:r>
      <w:r>
        <w:rPr>
          <w:rFonts w:ascii="Arial" w:cs="Arial" w:eastAsia="Arial" w:hAnsi="Arial"/>
          <w:sz w:val="16"/>
          <w:szCs w:val="16"/>
          <w:u w:val="single" w:color="auto"/>
          <w:color w:val="auto"/>
        </w:rPr>
        <w:t>Performance-based Vesting Awards</w:t>
      </w:r>
      <w:r>
        <w:rPr>
          <w:rFonts w:ascii="Arial" w:cs="Arial" w:eastAsia="Arial" w:hAnsi="Arial"/>
          <w:sz w:val="16"/>
          <w:szCs w:val="16"/>
          <w:color w:val="auto"/>
        </w:rPr>
        <w:t xml:space="preserve">”), the vesting of such Performance-based Vesting Awards will be prorated based on your service as a full-time or part-time employee of the Company from June 28, 2010 to the date of termination of the term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Performance-based Vesting Awards will vest under any circumstances unless the minimum applicable performance threshold has been satisfied.</w:t>
      </w:r>
    </w:p>
    <w:p>
      <w:pPr>
        <w:spacing w:after="0" w:line="115" w:lineRule="exact"/>
        <w:rPr>
          <w:rFonts w:ascii="Arial" w:cs="Arial" w:eastAsia="Arial" w:hAnsi="Arial"/>
          <w:sz w:val="16"/>
          <w:szCs w:val="16"/>
          <w:color w:val="auto"/>
        </w:rPr>
      </w:pPr>
    </w:p>
    <w:p>
      <w:pPr>
        <w:ind w:right="360" w:firstLine="921"/>
        <w:spacing w:after="0" w:line="306" w:lineRule="auto"/>
        <w:tabs>
          <w:tab w:leader="none" w:pos="1161"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You will have the right, on the same basis as other employees of the Company, to participate in and to receive benefits under any Company group medical, dental, life, disability or other group insurance plans, as well as under the Company’s business expense reimbursement, educational assistance, holiday, and other benefit plans and policies. You will also be eligible to participate in the Company’s 401(k) plan.</w:t>
      </w:r>
    </w:p>
    <w:p>
      <w:pPr>
        <w:spacing w:after="0" w:line="106" w:lineRule="exact"/>
        <w:rPr>
          <w:rFonts w:ascii="Arial" w:cs="Arial" w:eastAsia="Arial" w:hAnsi="Arial"/>
          <w:sz w:val="16"/>
          <w:szCs w:val="16"/>
          <w:color w:val="auto"/>
        </w:rPr>
      </w:pPr>
    </w:p>
    <w:p>
      <w:pPr>
        <w:ind w:right="300" w:firstLine="921"/>
        <w:spacing w:after="0" w:line="332" w:lineRule="auto"/>
        <w:tabs>
          <w:tab w:leader="none" w:pos="1152"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During the term of this Agreement, you will accrue paid vacation at the rate of five (5) weeks per year. All accrued unused vacation existing prior to the commencement of the term of this Agreement will carry forward in accordance with the terms of the Company vacation policy.</w:t>
      </w:r>
    </w:p>
    <w:p>
      <w:pPr>
        <w:spacing w:after="0" w:line="85" w:lineRule="exact"/>
        <w:rPr>
          <w:rFonts w:ascii="Arial" w:cs="Arial" w:eastAsia="Arial" w:hAnsi="Arial"/>
          <w:sz w:val="16"/>
          <w:szCs w:val="16"/>
          <w:color w:val="auto"/>
        </w:rPr>
      </w:pPr>
    </w:p>
    <w:p>
      <w:pPr>
        <w:ind w:right="40" w:firstLine="921"/>
        <w:spacing w:after="0" w:line="256" w:lineRule="auto"/>
        <w:tabs>
          <w:tab w:leader="none" w:pos="113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Earned Compensation</w:t>
      </w:r>
      <w:r>
        <w:rPr>
          <w:rFonts w:ascii="Arial" w:cs="Arial" w:eastAsia="Arial" w:hAnsi="Arial"/>
          <w:sz w:val="18"/>
          <w:szCs w:val="18"/>
          <w:color w:val="auto"/>
        </w:rPr>
        <w:t>: For purposes of those Paragraphs of this Agreement pertaining to termination of the employment relationship, whether involuntary or voluntary, unless otherwise expressly provided herein, no part of (i) the Annual Incentive Plan for the year in which the termination occurs, (ii) no part of any performance shares for any multi-year period or periods in which the termination occurs and (iii) no part of any equity awards that are not vested as of the termination date will be deemed earned as of the date of termination.</w:t>
      </w:r>
    </w:p>
    <w:p>
      <w:pPr>
        <w:spacing w:after="0" w:line="143" w:lineRule="exact"/>
        <w:rPr>
          <w:rFonts w:ascii="Arial" w:cs="Arial" w:eastAsia="Arial" w:hAnsi="Arial"/>
          <w:sz w:val="18"/>
          <w:szCs w:val="18"/>
          <w:color w:val="auto"/>
        </w:rPr>
      </w:pPr>
    </w:p>
    <w:p>
      <w:pPr>
        <w:ind w:right="60" w:firstLine="464"/>
        <w:spacing w:after="0" w:line="268" w:lineRule="auto"/>
        <w:tabs>
          <w:tab w:leader="none" w:pos="63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Voluntary Termination or Death</w:t>
      </w:r>
      <w:r>
        <w:rPr>
          <w:rFonts w:ascii="Arial" w:cs="Arial" w:eastAsia="Arial" w:hAnsi="Arial"/>
          <w:sz w:val="18"/>
          <w:szCs w:val="18"/>
          <w:color w:val="auto"/>
        </w:rPr>
        <w:t>. In the event that you voluntarily resign from your employment with the Company or in the event that your employment terminates as a result of your death, you will be entitled to no compensation or benefits from the Company other than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those earned under Paragraph 3 through the date of termination. You agree that if you voluntarily terminate your employment with the Company for any reason, you will provide the Company with at least 10 business days’ written notice of your resignation. The Company shall have the option, in its sole discretion, to make your resignation effective at any time prior to the end of such notice period, provided the Company pays you an amount equal to the base salary and benefits you would have earned through the end of the notice period.</w:t>
      </w:r>
    </w:p>
    <w:p>
      <w:pPr>
        <w:spacing w:after="0" w:line="143" w:lineRule="exact"/>
        <w:rPr>
          <w:sz w:val="20"/>
          <w:szCs w:val="20"/>
          <w:color w:val="auto"/>
        </w:rPr>
      </w:pPr>
    </w:p>
    <w:p>
      <w:pPr>
        <w:ind w:left="640" w:hanging="176"/>
        <w:spacing w:after="0"/>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Your employment may be terminated under the circumstances set forth below.</w:t>
      </w:r>
    </w:p>
    <w:p>
      <w:pPr>
        <w:spacing w:after="0" w:line="171" w:lineRule="exact"/>
        <w:rPr>
          <w:rFonts w:ascii="Arial" w:cs="Arial" w:eastAsia="Arial" w:hAnsi="Arial"/>
          <w:sz w:val="18"/>
          <w:szCs w:val="18"/>
          <w:color w:val="auto"/>
        </w:rPr>
      </w:pPr>
    </w:p>
    <w:p>
      <w:pPr>
        <w:ind w:right="40" w:firstLine="921"/>
        <w:spacing w:after="0" w:line="290" w:lineRule="auto"/>
        <w:tabs>
          <w:tab w:leader="none" w:pos="1152"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Termination by Disability</w:t>
      </w:r>
      <w:r>
        <w:rPr>
          <w:rFonts w:ascii="Arial" w:cs="Arial" w:eastAsia="Arial" w:hAnsi="Arial"/>
          <w:sz w:val="16"/>
          <w:szCs w:val="16"/>
          <w:color w:val="auto"/>
        </w:rPr>
        <w:t xml:space="preserve">: If, by reason of any physical or mental incapacity, you have been or will be prevented from performing your then-current duties under this Agreement with reasonable accommodation, then, to the extent permitted by law, the Company may terminate your employment without any advance notice. Upon such termination, if you sign a general release of known and unknown claims in a form satisfactory to the Company which becomes valid and irrevocable within 60 days of your termination, and you fully comply with your obligations under Paragraphs 7, 8, and 10, the Company will provide you with the severance payments and benefits described in Paragraph 5(c). Nothing in this paragraph shall affect your rights under any applicable Company disability plan;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your severance payments will be offset by any disability income payments received by you so that the total monthly severance and disability income payments during your severance period shall not exceed your then-current base salary.</w:t>
      </w:r>
    </w:p>
    <w:p>
      <w:pPr>
        <w:spacing w:after="0" w:line="118" w:lineRule="exact"/>
        <w:rPr>
          <w:rFonts w:ascii="Arial" w:cs="Arial" w:eastAsia="Arial" w:hAnsi="Arial"/>
          <w:sz w:val="16"/>
          <w:szCs w:val="16"/>
          <w:color w:val="auto"/>
        </w:rPr>
      </w:pPr>
    </w:p>
    <w:p>
      <w:pPr>
        <w:ind w:firstLine="921"/>
        <w:spacing w:after="0" w:line="283" w:lineRule="auto"/>
        <w:tabs>
          <w:tab w:leader="none" w:pos="1161"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The Company may terminate your employment at any time for cause (as described below) without providing any notice (except to the extent expressly provided below). If your employment is terminated by the Company for cause, you shall be entitled to no compensation or benefits from the Company other than those earned under Paragraph 3 through the date of your termination. For purposes of this Agreement, a termination for “cause” occurs if you are terminated for any of the following reasons: (i) theft, dishonesty, misconduct or falsification of any employment or Company records;</w:t>
      </w:r>
    </w:p>
    <w:p>
      <w:pPr>
        <w:spacing w:after="0" w:line="2" w:lineRule="exact"/>
        <w:rPr>
          <w:rFonts w:ascii="Arial" w:cs="Arial" w:eastAsia="Arial" w:hAnsi="Arial"/>
          <w:sz w:val="16"/>
          <w:szCs w:val="16"/>
          <w:color w:val="auto"/>
        </w:rPr>
      </w:pPr>
    </w:p>
    <w:p>
      <w:pPr>
        <w:ind w:right="40" w:firstLine="8"/>
        <w:spacing w:after="0" w:line="290" w:lineRule="auto"/>
        <w:tabs>
          <w:tab w:leader="none" w:pos="25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improper disclosure of the Company’s confidential or proprietary information; (iii) any action by you which has a material detrimental effect on the Company’s reputation or business; (iv) your refusal or inability to perform any assigned duties (other than as a result of a disability), after written notice from the Company to you of, and a 30-day opportunity to cure, such refusal or inability; (v) your material breach of this Agreement or of the employee proprietary information/confidentiality/assignment of inventions agreement not otherwise described in this paragraph, after written notice from the Company to you of, and a 30-day opportunity to cure, such breach; (vi) your conviction (including any plea of guilty or no contest) for any criminal act that impairs your ability to perform your duties under this Agreement; or (vii) your failure to deliver, or revocation of, the release described in the first paragraph of this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220" w:firstLine="921"/>
        <w:spacing w:after="0" w:line="255" w:lineRule="auto"/>
        <w:tabs>
          <w:tab w:leader="none" w:pos="1152"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your employment without cause at any time with or without advance notice. If your employment is terminated by the Company without cause, and you sign a general release of known and unknown claims in a form satisfactory to the Company within the applicable review period which thereupon is (or, if any revocation period is required by law, following expiration of such period becomes) valid and irrevocable within 60 days of your termination, and you fully comply with your obligations under Paragraphs 7, 8, and 10, you will receive the following severance benefits:</w:t>
      </w:r>
    </w:p>
    <w:p>
      <w:pPr>
        <w:spacing w:after="0" w:line="61" w:lineRule="exact"/>
        <w:rPr>
          <w:rFonts w:ascii="Arial" w:cs="Arial" w:eastAsia="Arial" w:hAnsi="Arial"/>
          <w:sz w:val="18"/>
          <w:szCs w:val="18"/>
          <w:color w:val="auto"/>
        </w:rPr>
      </w:pPr>
    </w:p>
    <w:p>
      <w:pPr>
        <w:ind w:right="20" w:firstLine="1492"/>
        <w:spacing w:after="0" w:line="298" w:lineRule="auto"/>
        <w:tabs>
          <w:tab w:leader="none" w:pos="1693" w:val="left"/>
        </w:tabs>
        <w:numPr>
          <w:ilvl w:val="3"/>
          <w:numId w:val="45"/>
        </w:numPr>
        <w:rPr>
          <w:rFonts w:ascii="Arial" w:cs="Arial" w:eastAsia="Arial" w:hAnsi="Arial"/>
          <w:sz w:val="16"/>
          <w:szCs w:val="16"/>
          <w:color w:val="auto"/>
        </w:rPr>
      </w:pPr>
      <w:r>
        <w:rPr>
          <w:rFonts w:ascii="Arial" w:cs="Arial" w:eastAsia="Arial" w:hAnsi="Arial"/>
          <w:sz w:val="16"/>
          <w:szCs w:val="16"/>
          <w:color w:val="auto"/>
        </w:rPr>
        <w:t>payments at your final base salary rate for the remaining term of this Agreement; such payments will be subject to applicable withholding and made in accordance with the Company’s normal payroll practices; provided, however, that any such payments that would have been paid in accordance with the Company’s normal payroll practices before your release becomes valid and irrevocable will accumulate and be paid only if and when both (x) your release becomes valid and irrevocable and (y) such validity and irrevocability in no event occurs more than 60 days after your termination;</w:t>
      </w:r>
    </w:p>
    <w:p>
      <w:pPr>
        <w:spacing w:after="0" w:line="112" w:lineRule="exact"/>
        <w:rPr>
          <w:rFonts w:ascii="Arial" w:cs="Arial" w:eastAsia="Arial" w:hAnsi="Arial"/>
          <w:sz w:val="16"/>
          <w:szCs w:val="16"/>
          <w:color w:val="auto"/>
        </w:rPr>
      </w:pPr>
    </w:p>
    <w:p>
      <w:pPr>
        <w:ind w:right="100" w:firstLine="1492"/>
        <w:spacing w:after="0" w:line="254" w:lineRule="auto"/>
        <w:tabs>
          <w:tab w:leader="none" w:pos="1742" w:val="left"/>
        </w:tabs>
        <w:numPr>
          <w:ilvl w:val="3"/>
          <w:numId w:val="45"/>
        </w:numPr>
        <w:rPr>
          <w:rFonts w:ascii="Arial" w:cs="Arial" w:eastAsia="Arial" w:hAnsi="Arial"/>
          <w:sz w:val="18"/>
          <w:szCs w:val="18"/>
          <w:color w:val="auto"/>
        </w:rPr>
      </w:pPr>
      <w:r>
        <w:rPr>
          <w:rFonts w:ascii="Arial" w:cs="Arial" w:eastAsia="Arial" w:hAnsi="Arial"/>
          <w:sz w:val="18"/>
          <w:szCs w:val="18"/>
          <w:color w:val="auto"/>
        </w:rPr>
        <w:t xml:space="preserve">monthly, taxable payments to you with which you may purchase health insurance under COBRA, to the extent available, or not at all, in an amount not to exceed the monthly cost to provide you with health insurance coverage immediately prior to your termination of employment with the Company, until the earlier of (x) the end of the term of this Agreement; or (y) the date you first became eligible to participate in another employer’s group health insurance plan; or (z) the date on which you are no longer eligible for COBRA coverage;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payment shall be subject to and paid only if and to the extent permitted by the Patient Protection and Affordable Care Act of 2010, as amended by the Health Care and Education Reconciliation Act of 2010, and other applicable law; and</w:t>
      </w:r>
    </w:p>
    <w:p>
      <w:pPr>
        <w:spacing w:after="0" w:line="144" w:lineRule="exact"/>
        <w:rPr>
          <w:rFonts w:ascii="Arial" w:cs="Arial" w:eastAsia="Arial" w:hAnsi="Arial"/>
          <w:sz w:val="18"/>
          <w:szCs w:val="18"/>
          <w:color w:val="auto"/>
        </w:rPr>
      </w:pPr>
    </w:p>
    <w:p>
      <w:pPr>
        <w:ind w:firstLine="1492"/>
        <w:spacing w:after="0" w:line="294" w:lineRule="auto"/>
        <w:tabs>
          <w:tab w:leader="none" w:pos="1791" w:val="left"/>
        </w:tabs>
        <w:numPr>
          <w:ilvl w:val="3"/>
          <w:numId w:val="45"/>
        </w:numPr>
        <w:rPr>
          <w:rFonts w:ascii="Arial" w:cs="Arial" w:eastAsia="Arial" w:hAnsi="Arial"/>
          <w:sz w:val="16"/>
          <w:szCs w:val="16"/>
          <w:color w:val="auto"/>
        </w:rPr>
      </w:pPr>
      <w:r>
        <w:rPr>
          <w:rFonts w:ascii="Arial" w:cs="Arial" w:eastAsia="Arial" w:hAnsi="Arial"/>
          <w:sz w:val="16"/>
          <w:szCs w:val="16"/>
          <w:color w:val="auto"/>
        </w:rPr>
        <w:t>with respect to any stock options or other equity-related awards granted to you by the Company, you will cease vesting upon your termination date or, if later, your cessation of services as a director of the Company; however, you will be entitled to purchase any vested shares of stock that are subject to those options until the earlier of (x) twelve (12) months following your termination date or cessation of services as a director of the Company, or (y) the date on which the applicable option(s) expire(s); except as set forth in this subparagraph, your Company stock options and other equity-related awards will continue to be subject to and governed by the Plan and the applicable agreements between you and the Company.</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For purposes of this Agreement, a “Change of Control” of the Company shall mean the occurrence of any of the following:</w:t>
      </w:r>
    </w:p>
    <w:p>
      <w:pPr>
        <w:spacing w:after="0" w:line="171" w:lineRule="exact"/>
        <w:rPr>
          <w:rFonts w:ascii="Arial" w:cs="Arial" w:eastAsia="Arial" w:hAnsi="Arial"/>
          <w:sz w:val="18"/>
          <w:szCs w:val="18"/>
          <w:color w:val="auto"/>
        </w:rPr>
      </w:pPr>
    </w:p>
    <w:p>
      <w:pPr>
        <w:jc w:val="both"/>
        <w:ind w:right="160" w:firstLine="1492"/>
        <w:spacing w:after="0" w:line="305" w:lineRule="auto"/>
        <w:tabs>
          <w:tab w:leader="none" w:pos="1693" w:val="left"/>
        </w:tabs>
        <w:numPr>
          <w:ilvl w:val="3"/>
          <w:numId w:val="46"/>
        </w:numPr>
        <w:rPr>
          <w:rFonts w:ascii="Arial" w:cs="Arial" w:eastAsia="Arial" w:hAnsi="Arial"/>
          <w:sz w:val="15"/>
          <w:szCs w:val="15"/>
          <w:color w:val="auto"/>
        </w:rPr>
      </w:pPr>
      <w:r>
        <w:rPr>
          <w:rFonts w:ascii="Arial" w:cs="Arial" w:eastAsia="Arial" w:hAnsi="Arial"/>
          <w:sz w:val="15"/>
          <w:szCs w:val="15"/>
          <w:color w:val="auto"/>
        </w:rPr>
        <w:t>any merger, consolidation, share exchange or Acquisition, unless, immediately following such merger, consolidation, share exchange or Acquisition, at least 50% of the total voting power (in respect of the election of directors, or similar officials in the case of an entity other than a corporation) of</w:t>
      </w:r>
    </w:p>
    <w:p>
      <w:pPr>
        <w:ind w:right="20" w:firstLine="8"/>
        <w:spacing w:after="0" w:line="253" w:lineRule="auto"/>
        <w:tabs>
          <w:tab w:leader="none" w:pos="2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entity resulting from such merger, consolidation or share exchange, or the entity which has acquired all or substantially all of the assets of the Company (in the case of an asset sale that satisfies the criteria of an Acquisition) (in either case, the “</w:t>
      </w:r>
      <w:r>
        <w:rPr>
          <w:rFonts w:ascii="Arial" w:cs="Arial" w:eastAsia="Arial" w:hAnsi="Arial"/>
          <w:sz w:val="18"/>
          <w:szCs w:val="18"/>
          <w:u w:val="single" w:color="auto"/>
          <w:color w:val="auto"/>
        </w:rPr>
        <w:t>Surviving Entity</w:t>
      </w:r>
      <w:r>
        <w:rPr>
          <w:rFonts w:ascii="Arial" w:cs="Arial" w:eastAsia="Arial" w:hAnsi="Arial"/>
          <w:sz w:val="18"/>
          <w:szCs w:val="18"/>
          <w:color w:val="auto"/>
        </w:rPr>
        <w:t>”), or (B) if applicable, the ultimate parent entity that directly or indirectly has beneficial ownership (within the meaning of Rule 13d-3 promulgated under the Exchange Act) of 50% or more of the total voting power (in respect of the election of directors, or similar officials in the case of an entity other than a corporation) of the Surviving Entity is represented by Company securities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that were outstanding immediately prior to such merger, consolidation, share exchange or Acquisition (or, if applicable, is represented by shares into which such Company securities were converted pursuant to such merger, consolidation, share exchange or Acquisition), or</w:t>
      </w:r>
    </w:p>
    <w:p>
      <w:pPr>
        <w:spacing w:after="0" w:line="132" w:lineRule="exact"/>
        <w:rPr>
          <w:sz w:val="20"/>
          <w:szCs w:val="20"/>
          <w:color w:val="auto"/>
        </w:rPr>
      </w:pPr>
    </w:p>
    <w:p>
      <w:pPr>
        <w:ind w:firstLine="1492"/>
        <w:spacing w:after="0" w:line="254" w:lineRule="auto"/>
        <w:tabs>
          <w:tab w:leader="none" w:pos="17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or group of persons (within the meaning of Section 13(d)(3) of the Securities Exchange Act of 1934, as amended and in effect from time to time) directly or indirectly acquires beneficial ownership (determined pursuant to Securities and Exchange Commission Rule 13d-3 promulgated under the said Exchange Act) other than through a merger, consolidation, share exchange, or Acquisition, of securities possessing more than 30% of the total combined voting power of the Company’s outstanding securities other than (A) an employee benefit plan of the Company or any of its Affiliates, (B) a trustee or other fiduciary holding securities under an employee benefit plan of the Company or any of its Affiliates, or (C) an underwriter temporarily holding securities pursuant to an offering of such securities, or</w:t>
      </w:r>
    </w:p>
    <w:p>
      <w:pPr>
        <w:spacing w:after="0" w:line="144" w:lineRule="exact"/>
        <w:rPr>
          <w:rFonts w:ascii="Arial" w:cs="Arial" w:eastAsia="Arial" w:hAnsi="Arial"/>
          <w:sz w:val="18"/>
          <w:szCs w:val="18"/>
          <w:color w:val="auto"/>
        </w:rPr>
      </w:pPr>
    </w:p>
    <w:p>
      <w:pPr>
        <w:ind w:firstLine="1492"/>
        <w:spacing w:after="0" w:line="255" w:lineRule="auto"/>
        <w:tabs>
          <w:tab w:leader="none" w:pos="17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 a period of 36 consecutive months or less, there is a change in the composition of the Board such that a majority of the Board members (rounded up to the next whole number, if a fraction) ceases, by reason of one or more proxy contests for the election of Board members, to be composed of individuals each of whom meet one of the following criteria: (A) have been a Board member continuously since the date of this Agreement or the beginning of such 36 month period or (B) have been elected or nominated during such 36 month period by at least a majority of the Board members that satisfied the criteria of this subsection (iii) when they were elected or nominated, or</w:t>
      </w:r>
    </w:p>
    <w:p>
      <w:pPr>
        <w:spacing w:after="0" w:line="142" w:lineRule="exact"/>
        <w:rPr>
          <w:rFonts w:ascii="Arial" w:cs="Arial" w:eastAsia="Arial" w:hAnsi="Arial"/>
          <w:sz w:val="18"/>
          <w:szCs w:val="18"/>
          <w:color w:val="auto"/>
        </w:rPr>
      </w:pPr>
    </w:p>
    <w:p>
      <w:pPr>
        <w:ind w:left="1780" w:hanging="288"/>
        <w:spacing w:after="0"/>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majority of the Board determines that a Change of Control has occurred,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purposes of this Agreement, the term “Affiliate” means any corporation, partnership, limited liability company, business trust, or other entity controlling, controlled by or under common control with the Company, and “Acquisition” means a merger or consolidation of the Company into another person (</w:t>
      </w:r>
      <w:r>
        <w:rPr>
          <w:rFonts w:ascii="Arial" w:cs="Arial" w:eastAsia="Arial" w:hAnsi="Arial"/>
          <w:sz w:val="18"/>
          <w:szCs w:val="18"/>
          <w:i w:val="1"/>
          <w:iCs w:val="1"/>
          <w:color w:val="auto"/>
        </w:rPr>
        <w:t>i.e.,</w:t>
      </w:r>
      <w:r>
        <w:rPr>
          <w:rFonts w:ascii="Arial" w:cs="Arial" w:eastAsia="Arial" w:hAnsi="Arial"/>
          <w:sz w:val="18"/>
          <w:szCs w:val="18"/>
          <w:color w:val="auto"/>
        </w:rPr>
        <w:t xml:space="preserve"> which merger or consolidation the Company does not survive) or the sale, transfer, or other disposition of all or substantially all of the Company’s assets to one or more persons in a single transaction or series of related transactions.</w:t>
      </w:r>
    </w:p>
    <w:p>
      <w:pPr>
        <w:spacing w:after="0" w:line="143" w:lineRule="exact"/>
        <w:rPr>
          <w:sz w:val="20"/>
          <w:szCs w:val="20"/>
          <w:color w:val="auto"/>
        </w:rPr>
      </w:pPr>
    </w:p>
    <w:p>
      <w:pPr>
        <w:ind w:firstLine="464"/>
        <w:spacing w:after="0" w:line="268"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Confidential and Proprietary Information</w:t>
      </w:r>
      <w:r>
        <w:rPr>
          <w:rFonts w:ascii="Arial" w:cs="Arial" w:eastAsia="Arial" w:hAnsi="Arial"/>
          <w:sz w:val="18"/>
          <w:szCs w:val="18"/>
          <w:color w:val="auto"/>
        </w:rPr>
        <w:t>: As a condition of your employment, you agree to sign and abide by the Company’s standard form of employee proprietary information/confidentiality/assignment of inventions agreement.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Obligations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40" w:firstLine="921"/>
        <w:spacing w:after="0" w:line="306" w:lineRule="auto"/>
        <w:tabs>
          <w:tab w:leader="none" w:pos="1152" w:val="left"/>
        </w:tabs>
        <w:numPr>
          <w:ilvl w:val="1"/>
          <w:numId w:val="49"/>
        </w:numPr>
        <w:rPr>
          <w:rFonts w:ascii="Arial" w:cs="Arial" w:eastAsia="Arial" w:hAnsi="Arial"/>
          <w:sz w:val="16"/>
          <w:szCs w:val="16"/>
          <w:color w:val="auto"/>
        </w:rPr>
      </w:pPr>
      <w:r>
        <w:rPr>
          <w:rFonts w:ascii="Arial" w:cs="Arial" w:eastAsia="Arial" w:hAnsi="Arial"/>
          <w:sz w:val="16"/>
          <w:szCs w:val="16"/>
          <w:color w:val="auto"/>
        </w:rPr>
        <w:t>You agree that all property, including, without limitation, all equipment, proprietary information, documents, books, records, reports, notes, contracts, lists and computer files and data, and copies thereof, created on any medium and furnished to, obtained by, or prepared by you in the course of or incident to your employment, belongs to the Company and shall be returned to the Company promptly upon any termination of your employment.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firstLine="921"/>
        <w:spacing w:after="0" w:line="332" w:lineRule="auto"/>
        <w:tabs>
          <w:tab w:leader="none" w:pos="1162" w:val="left"/>
        </w:tabs>
        <w:numPr>
          <w:ilvl w:val="1"/>
          <w:numId w:val="50"/>
        </w:numPr>
        <w:rPr>
          <w:rFonts w:ascii="Arial" w:cs="Arial" w:eastAsia="Arial" w:hAnsi="Arial"/>
          <w:sz w:val="16"/>
          <w:szCs w:val="16"/>
          <w:color w:val="auto"/>
        </w:rPr>
      </w:pPr>
      <w:r>
        <w:rPr>
          <w:rFonts w:ascii="Arial" w:cs="Arial" w:eastAsia="Arial" w:hAnsi="Arial"/>
          <w:sz w:val="16"/>
          <w:szCs w:val="16"/>
          <w:color w:val="auto"/>
        </w:rPr>
        <w:t>Upon your termination for any reason, and as a condition of your receipt of any severance benefits hereunder, you will promptly resign in writing from all offices and, if so requested by the Board of the Directors of the Company, directorships then held with the Company or any affiliate of the Company.</w:t>
      </w:r>
    </w:p>
    <w:p>
      <w:pPr>
        <w:spacing w:after="0" w:line="85" w:lineRule="exact"/>
        <w:rPr>
          <w:rFonts w:ascii="Arial" w:cs="Arial" w:eastAsia="Arial" w:hAnsi="Arial"/>
          <w:sz w:val="16"/>
          <w:szCs w:val="16"/>
          <w:color w:val="auto"/>
        </w:rPr>
      </w:pPr>
    </w:p>
    <w:p>
      <w:pPr>
        <w:ind w:right="380" w:firstLine="921"/>
        <w:spacing w:after="0" w:line="259" w:lineRule="auto"/>
        <w:tabs>
          <w:tab w:leader="none" w:pos="11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Following the termination of your employment with the Company for any reason, you shall fully cooperate with the Company in all matters relating to the winding up of pending work on behalf of the Company and the orderly transfer of work to other employees of the Company. You shall also cooperate in the defense of any action brought by any third party against the Company.</w:t>
      </w:r>
    </w:p>
    <w:p>
      <w:pPr>
        <w:spacing w:after="0" w:line="140" w:lineRule="exact"/>
        <w:rPr>
          <w:rFonts w:ascii="Arial" w:cs="Arial" w:eastAsia="Arial" w:hAnsi="Arial"/>
          <w:sz w:val="18"/>
          <w:szCs w:val="18"/>
          <w:color w:val="auto"/>
        </w:rPr>
      </w:pPr>
    </w:p>
    <w:p>
      <w:pPr>
        <w:ind w:right="200" w:firstLine="921"/>
        <w:spacing w:after="0" w:line="332" w:lineRule="auto"/>
        <w:tabs>
          <w:tab w:leader="none" w:pos="1162" w:val="left"/>
        </w:tabs>
        <w:numPr>
          <w:ilvl w:val="1"/>
          <w:numId w:val="50"/>
        </w:numPr>
        <w:rPr>
          <w:rFonts w:ascii="Arial" w:cs="Arial" w:eastAsia="Arial" w:hAnsi="Arial"/>
          <w:sz w:val="16"/>
          <w:szCs w:val="16"/>
          <w:color w:val="auto"/>
        </w:rPr>
      </w:pPr>
      <w:r>
        <w:rPr>
          <w:rFonts w:ascii="Arial" w:cs="Arial" w:eastAsia="Arial" w:hAnsi="Arial"/>
          <w:sz w:val="16"/>
          <w:szCs w:val="16"/>
          <w:color w:val="auto"/>
        </w:rPr>
        <w:t>Following termination of your employment with the Company, if you are eligible to receive a severance benefit, you will be required to timely sign and not revoke a general release of claims in a form satisfactory to the Company in order to receive such severance benefit.</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Limitation of Payments and Benefits</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To the extent that any of the payments and benefits provided for in this Agreement or otherwise payable to you (the “</w:t>
      </w:r>
      <w:r>
        <w:rPr>
          <w:rFonts w:ascii="Arial" w:cs="Arial" w:eastAsia="Arial" w:hAnsi="Arial"/>
          <w:sz w:val="18"/>
          <w:szCs w:val="18"/>
          <w:u w:val="single" w:color="auto"/>
          <w:color w:val="auto"/>
        </w:rPr>
        <w:t>Payments</w:t>
      </w:r>
      <w:r>
        <w:rPr>
          <w:rFonts w:ascii="Arial" w:cs="Arial" w:eastAsia="Arial" w:hAnsi="Arial"/>
          <w:sz w:val="18"/>
          <w:szCs w:val="18"/>
          <w:color w:val="auto"/>
        </w:rPr>
        <w:t>”) constitute “parachute payments” within the meaning of Section 280G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the amount of such Payments shall be either:</w:t>
      </w:r>
    </w:p>
    <w:p>
      <w:pPr>
        <w:spacing w:after="0" w:line="140" w:lineRule="exact"/>
        <w:rPr>
          <w:sz w:val="20"/>
          <w:szCs w:val="20"/>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full amount of the Payments, or</w:t>
      </w:r>
    </w:p>
    <w:p>
      <w:pPr>
        <w:spacing w:after="0" w:line="171"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reduced amount that would result in no portion of the Payments being subject to the excise tax imposed pursuant to Section 4999 of the Code (the “Excise Tax”),</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whichever of the foregoing amounts, taking into account the applicable federal, state and local income taxes and the Excise Tax, results in the receipt by you, on an after-tax basis, of the greatest amount of benefit. In the event that any Excise Tax is imposed on the Payments, you will be fully responsible for the payment of any and all Excise Tax, and the Company will not be obligated to pay all or any portion of any Excise Tax.</w:t>
      </w:r>
    </w:p>
    <w:p>
      <w:pPr>
        <w:spacing w:after="0" w:line="107" w:lineRule="exact"/>
        <w:rPr>
          <w:sz w:val="20"/>
          <w:szCs w:val="20"/>
          <w:color w:val="auto"/>
        </w:rPr>
      </w:pPr>
    </w:p>
    <w:p>
      <w:pPr>
        <w:ind w:right="40" w:firstLine="464"/>
        <w:spacing w:after="0" w:line="288" w:lineRule="auto"/>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Other Activities</w:t>
      </w:r>
      <w:r>
        <w:rPr>
          <w:rFonts w:ascii="Arial" w:cs="Arial" w:eastAsia="Arial" w:hAnsi="Arial"/>
          <w:sz w:val="16"/>
          <w:szCs w:val="16"/>
          <w:color w:val="auto"/>
        </w:rPr>
        <w:t>. In order to protect the Company’s valuable proprietary information, you agree that during your employment you will not, as a compensated or uncompensated officer, director, consultant, advisor, partner, joint venturer, investor, independent contractor, employee or otherwise, provide any labor, services, advice or assistance to any entity or its successor involved in the design, manufacture, distribution (directly or indirectly), or integration of any digital microwave products and used in terrestrial microwave point-to-point telecommunications networks anywhere in the world. You acknowledge and agree that the restrictions contained in the preceding sentence are reasonable and necessary. You also agree that for a period of twelve (12) months after your employment terminates, you will not solicit any employee of the Company directly or indirectly to leave employment with the Company for any purpose, including but not limited to for purposes of providing labor, services, advice or assistance to any entity or individual. In the event of your breach of this Paragraph, the Company shall not be obligated to provide you with any further severance payments or benefits subsequent to such breach, in addition to other remedies available under applicable laws.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240" w:firstLine="464"/>
        <w:spacing w:after="0" w:line="291" w:lineRule="auto"/>
        <w:tabs>
          <w:tab w:leader="none" w:pos="71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agree that any suit, action, or proceeding arising out of or relating to this Agreement, the parties’ employment relationship, or the termination of that relationship for any reason, shall be brought in the appropriate state or federal court appropriate for disputes arising in Santa Clara, California, and you agree to submit to the personal jurisdiction of such court. The parties irrevocably waive, to the fullest extent permitted by law, any objection they may have to the laying of venue for any such suit, action or proceeding brought in such court. If any one or more provisions of this Paragraph 11 shall for any reason be held invalid or unenforceable, it is the specific intent of the parties that such provisions shall be modified to the minimum extent necessary to make it or its application valid and enforceable.</w:t>
      </w:r>
    </w:p>
    <w:p>
      <w:pPr>
        <w:spacing w:after="0" w:line="120" w:lineRule="exact"/>
        <w:rPr>
          <w:rFonts w:ascii="Arial" w:cs="Arial" w:eastAsia="Arial" w:hAnsi="Arial"/>
          <w:sz w:val="16"/>
          <w:szCs w:val="16"/>
          <w:color w:val="auto"/>
        </w:rPr>
      </w:pPr>
    </w:p>
    <w:p>
      <w:pPr>
        <w:ind w:right="40" w:firstLine="464"/>
        <w:spacing w:after="0" w:line="25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Internal Revenue Code</w:t>
      </w:r>
      <w:r>
        <w:rPr>
          <w:rFonts w:ascii="Arial" w:cs="Arial" w:eastAsia="Arial" w:hAnsi="Arial"/>
          <w:sz w:val="18"/>
          <w:szCs w:val="18"/>
          <w:color w:val="auto"/>
        </w:rPr>
        <w:t>. This Agreement is intended to comply with, or otherwise be exempt from, Section 409A of the Code and the rules and regulations promulgated thereunder (collectively,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the Company has not made and is making no representation to you relating to the tax treatment of any payment pursuant to this Agreement under Section 409A and the corresponding provisions of any applicable State income tax laws.</w:t>
      </w:r>
    </w:p>
    <w:p>
      <w:pPr>
        <w:spacing w:after="0" w:line="143"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Notwithstanding anything to the contrary in this Agreement, any payments or benefits due hereunder upon a termination of employment which are a “deferral of compensation” within the meaning of Section 409A shall only be payable or provided to you upon a “separation from service” as defined for purposes of Section 409A. In addition, if you are a “specified employee” as determined pursuant to Section 409A as of the date of your separation from service, as so defined, and if any payments or entitlements provided for in this Agreement constitute a “deferral of compensation” within the meaning of Section 409A and cannot be paid or provided in the manner provided herein without subjecting you to additional tax, interest or penalties under Section 409A, then any such payment or entitlement which is otherwise payable during the first six months following your separation from service shall be paid or provided to you in a lump sum on the earlier of (i) the first business day of the seventh calendar month immediately following the month in which your separation from service occurs or</w:t>
      </w:r>
    </w:p>
    <w:p>
      <w:pPr>
        <w:ind w:right="120" w:firstLine="8"/>
        <w:spacing w:after="0" w:line="255" w:lineRule="auto"/>
        <w:tabs>
          <w:tab w:leader="none" w:pos="2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of your death. To the extent required to satisfy the provisions of the foregoing sentence with respect to any benefit to be provided in-kind, the Company shall bill you, and you shall promptly pay, the value for tax purposes of any such benefit and the Company shall therefore promptly refund the amount so paid by you as soon as allowed by the foregoing sentence.</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purposes of Section 409A, the right to a series of installment payments under this Agreement shall be treated as a right to a series of separate payments. With respect to any reimbursement of your expenses, or any provision of in-kind benefits to you, as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Section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105(b) of the Code; (2) the reimbursement of an eligible expense shall be made no later than the end of the year after the year in which such expense was incurred; and (3) the right to reimbursement or in-kind benefits shall not be subject to liquidation or exchange for another benefit.</w:t>
      </w:r>
    </w:p>
    <w:p>
      <w:pPr>
        <w:spacing w:after="0" w:line="85" w:lineRule="exact"/>
        <w:rPr>
          <w:sz w:val="20"/>
          <w:szCs w:val="20"/>
          <w:color w:val="auto"/>
        </w:rPr>
      </w:pPr>
    </w:p>
    <w:p>
      <w:pPr>
        <w:ind w:right="280" w:firstLine="464"/>
        <w:spacing w:after="0" w:line="332"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deemed invalid, illegal or unenforceable, such provision shall be modified so as to make it valid, legal and enforceable, and the validity, legality and enforceability of the remaining provisions of this Agreement shall not in any way be affected.</w:t>
      </w:r>
    </w:p>
    <w:p>
      <w:pPr>
        <w:spacing w:after="0" w:line="85" w:lineRule="exact"/>
        <w:rPr>
          <w:rFonts w:ascii="Arial" w:cs="Arial" w:eastAsia="Arial" w:hAnsi="Arial"/>
          <w:sz w:val="16"/>
          <w:szCs w:val="16"/>
          <w:color w:val="auto"/>
        </w:rPr>
      </w:pPr>
    </w:p>
    <w:p>
      <w:pPr>
        <w:ind w:right="20" w:firstLine="464"/>
        <w:spacing w:after="0" w:line="294" w:lineRule="auto"/>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Confirmation of Rights which Are not Dependent Upon Signing a Release</w:t>
      </w:r>
      <w:r>
        <w:rPr>
          <w:rFonts w:ascii="Arial" w:cs="Arial" w:eastAsia="Arial" w:hAnsi="Arial"/>
          <w:sz w:val="16"/>
          <w:szCs w:val="16"/>
          <w:color w:val="auto"/>
        </w:rPr>
        <w:t>. Whether or not you sign a release as provided in Section 5 and Section 8(d) of this Agreement, (a) you will be paid all wages due, including any unused accrued vacation, as of your last day of work, (b) your health care coverage as a primary insured under the Company’s health plan will continue through the end of the month in which your last day of work falls, (c) thereafter, you will be eligible for continuation of health insurance at your own expense if you timely elect coverage under the Consolidated Omnibus Budget Reconciliation Act (“</w:t>
      </w:r>
      <w:r>
        <w:rPr>
          <w:rFonts w:ascii="Arial" w:cs="Arial" w:eastAsia="Arial" w:hAnsi="Arial"/>
          <w:sz w:val="16"/>
          <w:szCs w:val="16"/>
          <w:u w:val="single" w:color="auto"/>
          <w:color w:val="auto"/>
        </w:rPr>
        <w:t>COBRA</w:t>
      </w:r>
      <w:r>
        <w:rPr>
          <w:rFonts w:ascii="Arial" w:cs="Arial" w:eastAsia="Arial" w:hAnsi="Arial"/>
          <w:sz w:val="16"/>
          <w:szCs w:val="16"/>
          <w:color w:val="auto"/>
        </w:rPr>
        <w:t>”), and (d) you will receive information regarding your right to continue health insurance under COBRA.</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Applicable Withholding.</w:t>
      </w:r>
      <w:r>
        <w:rPr>
          <w:rFonts w:ascii="Arial" w:cs="Arial" w:eastAsia="Arial" w:hAnsi="Arial"/>
          <w:sz w:val="16"/>
          <w:szCs w:val="16"/>
          <w:color w:val="auto"/>
        </w:rPr>
        <w:t xml:space="preserve"> All salary, bonus, severance and other payments identified in this Agreement are subject to applicable withholding by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64" w:lineRule="exact"/>
        <w:rPr>
          <w:rFonts w:ascii="Arial" w:cs="Arial" w:eastAsia="Arial" w:hAnsi="Arial"/>
          <w:sz w:val="16"/>
          <w:szCs w:val="16"/>
          <w:color w:val="auto"/>
        </w:rPr>
      </w:pPr>
    </w:p>
    <w:p>
      <w:pPr>
        <w:ind w:right="320" w:firstLine="464"/>
        <w:spacing w:after="0" w:line="268"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In view of the personal nature of the services to be performed under this Agreement by you, you cannot assign or transfer any of your obligations under this Agreement.</w:t>
      </w:r>
    </w:p>
    <w:p>
      <w:pPr>
        <w:spacing w:after="0" w:line="131" w:lineRule="exact"/>
        <w:rPr>
          <w:rFonts w:ascii="Arial" w:cs="Arial" w:eastAsia="Arial" w:hAnsi="Arial"/>
          <w:sz w:val="18"/>
          <w:szCs w:val="18"/>
          <w:color w:val="auto"/>
        </w:rPr>
      </w:pPr>
    </w:p>
    <w:p>
      <w:pPr>
        <w:ind w:firstLine="464"/>
        <w:spacing w:after="0" w:line="255"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agreements referred to above constitute the entire agreement between you and the Company regarding the terms and conditions of your employment, and they supersede all prior negotiations, representations or agreements between you and the Company regarding your employment, whether written or oral. This Agreement sets forth our entire agreement regarding the Company’s obligation to provide you with severance benefits upon any termination of your employment, and you shall not be entitled to receive any other severance benefits from the Company pursuant to any Company severance plan, policy or practice.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and construed in accordance with the law of the State of California.</w:t>
      </w:r>
    </w:p>
    <w:p>
      <w:pPr>
        <w:spacing w:after="0" w:line="171" w:lineRule="exact"/>
        <w:rPr>
          <w:rFonts w:ascii="Arial" w:cs="Arial" w:eastAsia="Arial" w:hAnsi="Arial"/>
          <w:sz w:val="18"/>
          <w:szCs w:val="18"/>
          <w:color w:val="auto"/>
        </w:rPr>
      </w:pPr>
    </w:p>
    <w:p>
      <w:pPr>
        <w:ind w:right="40" w:firstLine="464"/>
        <w:spacing w:after="0" w:line="268"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This Agreement may only be modified or amended by a supplemental written agreement signed by you and an authorized representative of the Board.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Charles D. Kissner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Please sign and date this letter on the spaces provided below to acknowledge your acceptance of the terms of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Meena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Meena Elliott</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General Counsel, Secretary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agree to and accept continued employment with Aviat Networks, Inc. on the terms and conditions set forth in this Agreement.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Date: July 18, 2011</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Charles D. Kissner</w:t>
            </w:r>
          </w:p>
        </w:tc>
      </w:tr>
      <w:tr>
        <w:trPr>
          <w:trHeight w:val="222"/>
        </w:trPr>
        <w:tc>
          <w:tcPr>
            <w:tcW w:w="390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7"/>
              </w:rPr>
              <w:t>Charles D. Kissner</w:t>
            </w:r>
          </w:p>
        </w:tc>
      </w:tr>
      <w:tr>
        <w:trPr>
          <w:trHeight w:val="365"/>
        </w:trPr>
        <w:tc>
          <w:tcPr>
            <w:tcW w:w="3900" w:type="dxa"/>
            <w:vAlign w:val="bottom"/>
          </w:tcPr>
          <w:p>
            <w:pPr>
              <w:spacing w:after="0"/>
              <w:rPr>
                <w:sz w:val="24"/>
                <w:szCs w:val="24"/>
                <w:color w:val="auto"/>
              </w:rPr>
            </w:pPr>
          </w:p>
        </w:tc>
        <w:tc>
          <w:tcPr>
            <w:tcW w:w="3760" w:type="dxa"/>
            <w:vAlign w:val="bottom"/>
          </w:tcPr>
          <w:p>
            <w:pPr>
              <w:jc w:val="right"/>
              <w:ind w:right="177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0219"/>
          </w:cols>
          <w:pgMar w:left="240" w:top="280" w:right="1440"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General Release of Claims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9019"/>
          </w:cols>
          <w:pgMar w:left="1440" w:top="280" w:right="1440" w:bottom="1440" w:gutter="0" w:footer="0" w:header="0"/>
        </w:sectPr>
      </w:pPr>
    </w:p>
    <w:bookmarkStart w:id="126" w:name="page127"/>
    <w:bookmarkEnd w:id="12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RELEASE OF CLAIMS</w:t>
      </w:r>
    </w:p>
    <w:p>
      <w:pPr>
        <w:spacing w:after="0" w:line="171" w:lineRule="exact"/>
        <w:rPr>
          <w:sz w:val="20"/>
          <w:szCs w:val="20"/>
          <w:color w:val="auto"/>
        </w:rPr>
      </w:pPr>
    </w:p>
    <w:p>
      <w:pPr>
        <w:ind w:right="60" w:firstLine="464"/>
        <w:spacing w:after="0" w:line="301"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 Terms.</w:t>
      </w:r>
      <w:r>
        <w:rPr>
          <w:rFonts w:ascii="Arial" w:cs="Arial" w:eastAsia="Arial" w:hAnsi="Arial"/>
          <w:sz w:val="16"/>
          <w:szCs w:val="16"/>
          <w:b w:val="1"/>
          <w:bCs w:val="1"/>
          <w:color w:val="auto"/>
        </w:rPr>
        <w:t xml:space="preserve"> </w:t>
      </w:r>
      <w:r>
        <w:rPr>
          <w:rFonts w:ascii="Arial" w:cs="Arial" w:eastAsia="Arial" w:hAnsi="Arial"/>
          <w:sz w:val="16"/>
          <w:szCs w:val="16"/>
          <w:color w:val="auto"/>
        </w:rPr>
        <w:t>This General Release of Claims (“</w:t>
      </w:r>
      <w:r>
        <w:rPr>
          <w:rFonts w:ascii="Arial" w:cs="Arial" w:eastAsia="Arial" w:hAnsi="Arial"/>
          <w:sz w:val="16"/>
          <w:szCs w:val="16"/>
          <w:u w:val="single" w:color="auto"/>
          <w:color w:val="auto"/>
        </w:rPr>
        <w:t>Release Agreement</w:t>
      </w:r>
      <w:r>
        <w:rPr>
          <w:rFonts w:ascii="Arial" w:cs="Arial" w:eastAsia="Arial" w:hAnsi="Arial"/>
          <w:sz w:val="16"/>
          <w:szCs w:val="16"/>
          <w:color w:val="auto"/>
        </w:rPr>
        <w:t>”) is made by Charles D. Kissner (“</w:t>
      </w:r>
      <w:r>
        <w:rPr>
          <w:rFonts w:ascii="Arial" w:cs="Arial" w:eastAsia="Arial" w:hAnsi="Arial"/>
          <w:sz w:val="16"/>
          <w:szCs w:val="16"/>
          <w:u w:val="single" w:color="auto"/>
          <w:color w:val="auto"/>
        </w:rPr>
        <w:t>Employee</w:t>
      </w:r>
      <w:r>
        <w:rPr>
          <w:rFonts w:ascii="Arial" w:cs="Arial" w:eastAsia="Arial" w:hAnsi="Arial"/>
          <w:sz w:val="16"/>
          <w:szCs w:val="16"/>
          <w:color w:val="auto"/>
        </w:rPr>
        <w:t>”)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executed by and between Employee and Aviat Networks, Inc. dated July 18, 2011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Unless expressly defined herein, all defined terms shall have the meaning assigned to them in the Employment Agreement, which Employee acknowledges and agrees, would not be entered by Aviat Networks, Inc. (the “</w:t>
      </w:r>
      <w:r>
        <w:rPr>
          <w:rFonts w:ascii="Arial" w:cs="Arial" w:eastAsia="Arial" w:hAnsi="Arial"/>
          <w:sz w:val="16"/>
          <w:szCs w:val="16"/>
          <w:u w:val="single" w:color="auto"/>
          <w:color w:val="auto"/>
        </w:rPr>
        <w:t>Company</w:t>
      </w:r>
      <w:r>
        <w:rPr>
          <w:rFonts w:ascii="Arial" w:cs="Arial" w:eastAsia="Arial" w:hAnsi="Arial"/>
          <w:sz w:val="16"/>
          <w:szCs w:val="16"/>
          <w:color w:val="auto"/>
        </w:rPr>
        <w:t>”) absent the execution of this Release Agreement by Employee.</w:t>
      </w:r>
    </w:p>
    <w:p>
      <w:pPr>
        <w:spacing w:after="0" w:line="103" w:lineRule="exact"/>
        <w:rPr>
          <w:rFonts w:ascii="Arial" w:cs="Arial" w:eastAsia="Arial" w:hAnsi="Arial"/>
          <w:sz w:val="16"/>
          <w:szCs w:val="16"/>
          <w:color w:val="auto"/>
        </w:rPr>
      </w:pPr>
    </w:p>
    <w:p>
      <w:pPr>
        <w:ind w:left="640" w:hanging="176"/>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acknowledges and agrees that the offer to employ him during the term of the Employment Agreement (the</w:t>
      </w:r>
    </w:p>
    <w:p>
      <w:pPr>
        <w:spacing w:after="0" w:line="4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Period</w:t>
      </w:r>
      <w:r>
        <w:rPr>
          <w:rFonts w:ascii="Arial" w:cs="Arial" w:eastAsia="Arial" w:hAnsi="Arial"/>
          <w:sz w:val="18"/>
          <w:szCs w:val="18"/>
          <w:color w:val="auto"/>
        </w:rPr>
        <w:t>”) under the terms and conditions set forth in the Employment Agreement is good and valuable consideration for this Release Agreement to which Employee is not otherwise entitled.</w:t>
      </w:r>
    </w:p>
    <w:p>
      <w:pPr>
        <w:spacing w:after="0" w:line="132" w:lineRule="exact"/>
        <w:rPr>
          <w:sz w:val="20"/>
          <w:szCs w:val="20"/>
          <w:color w:val="auto"/>
        </w:rPr>
      </w:pPr>
    </w:p>
    <w:p>
      <w:pPr>
        <w:ind w:right="40" w:firstLine="464"/>
        <w:spacing w:after="0" w:line="291"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b w:val="1"/>
          <w:bCs w:val="1"/>
          <w:u w:val="single" w:color="auto"/>
          <w:color w:val="auto"/>
        </w:rPr>
        <w:t>Nothing Owed; No Injuries</w:t>
      </w:r>
      <w:r>
        <w:rPr>
          <w:rFonts w:ascii="Arial" w:cs="Arial" w:eastAsia="Arial" w:hAnsi="Arial"/>
          <w:sz w:val="16"/>
          <w:szCs w:val="16"/>
          <w:color w:val="auto"/>
        </w:rPr>
        <w:t>. Employee acknowledges receipt of all compensation, accrued and unused vacation, expense reimbursements,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any kind, and of benefits to which Employee may have been entitled up to the time of the commencement of the Transition Period as a result of his employment by the Company and that no additional compensation of any nature is due to Employee as of the commencement of the Transition Period other than as set forth in the Employment Agreement. Employee affirms that as of the execution of this Release Agreement he has no known workplace injuries or occupational diseases which would be compensable under the California Workers’ Compensation system, and that Employee has been provided and/or has not been denied or retaliated against for requesting or taking any leave under the Family and Medical Leave Act or the California Family Rights Act or for any other reason.</w:t>
      </w:r>
    </w:p>
    <w:p>
      <w:pPr>
        <w:spacing w:after="0" w:line="113" w:lineRule="exact"/>
        <w:rPr>
          <w:rFonts w:ascii="Arial" w:cs="Arial" w:eastAsia="Arial" w:hAnsi="Arial"/>
          <w:sz w:val="16"/>
          <w:szCs w:val="16"/>
          <w:color w:val="auto"/>
        </w:rPr>
      </w:pPr>
    </w:p>
    <w:p>
      <w:pPr>
        <w:ind w:right="20" w:firstLine="464"/>
        <w:spacing w:after="0" w:line="291"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 Information, 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acknowledges that he is bound to continue to maintain the confidentiality of all</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and proprietary information of the Company and shall continue to comply with the terms and conditions of the Employee Invention, Authorship, Proprietary and Confidential Information Agreement between Employee and the Company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Employee understands and agrees that his duties and obligations under (i) the Confidentiality Agreement, (ii) paragraphs 8, 9 and 10 of the Employment Agreement and (iii) this Release Agreement (collectively, the “</w:t>
      </w:r>
      <w:r>
        <w:rPr>
          <w:rFonts w:ascii="Arial" w:cs="Arial" w:eastAsia="Arial" w:hAnsi="Arial"/>
          <w:sz w:val="16"/>
          <w:szCs w:val="16"/>
          <w:u w:val="single" w:color="auto"/>
          <w:color w:val="auto"/>
        </w:rPr>
        <w:t>Continuing Obligations</w:t>
      </w:r>
      <w:r>
        <w:rPr>
          <w:rFonts w:ascii="Arial" w:cs="Arial" w:eastAsia="Arial" w:hAnsi="Arial"/>
          <w:sz w:val="16"/>
          <w:szCs w:val="16"/>
          <w:color w:val="auto"/>
        </w:rPr>
        <w:t>”) continue during the Transition Period and survive his employment by the Company and that should he materially breach any of the Continuing Obligations, he shall not be entitled to employment under the terms and conditions of the Employment Agreement and that Company may be entitled to injunctive relief and other damages in the event of a breach of the Confidentiality Agreement.</w:t>
      </w:r>
    </w:p>
    <w:p>
      <w:pPr>
        <w:spacing w:after="0" w:line="113" w:lineRule="exact"/>
        <w:rPr>
          <w:rFonts w:ascii="Arial" w:cs="Arial" w:eastAsia="Arial" w:hAnsi="Arial"/>
          <w:sz w:val="16"/>
          <w:szCs w:val="16"/>
          <w:color w:val="auto"/>
        </w:rPr>
      </w:pPr>
    </w:p>
    <w:p>
      <w:pPr>
        <w:ind w:firstLine="464"/>
        <w:spacing w:after="0" w:line="310"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b w:val="1"/>
          <w:bCs w:val="1"/>
          <w:u w:val="single" w:color="auto"/>
          <w:color w:val="auto"/>
        </w:rPr>
        <w:t>Release of Claims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on behalf of himself and his respective heirs, family members, executors and assigns, hereby fully and forever releases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its direct and indirect subsidiaries, affiliated and related companies, divisions, parents, predecessor and successor corporations and assigns, and all of the past, present and future officers, agents, directors, employees, investors, shareholders, administrators and affiliates and any of them, and</w:t>
      </w:r>
    </w:p>
    <w:p>
      <w:pPr>
        <w:sectPr>
          <w:pgSz w:w="11900" w:h="16838" w:orient="portrait"/>
          <w:cols w:equalWidth="0" w:num="1">
            <w:col w:w="11340"/>
          </w:cols>
          <w:pgMar w:left="240" w:top="274" w:right="319" w:bottom="1440" w:gutter="0" w:footer="0" w:header="0"/>
        </w:sectPr>
      </w:pPr>
    </w:p>
    <w:bookmarkStart w:id="127" w:name="page128"/>
    <w:bookmarkEnd w:id="12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persons acting by, through, under, or in concert with any of the persons or entities listed in this section 5, and each of them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and agrees not to sue or otherwise institute or cause to be instituted any legal or administrative proceedings concerning any claim, duty, obligation or cause of action relating to any matters of any kind, including without limitation any and all claims, rights, debts, liabilities, demands, causes of action, obligations, and damages, arising as of and prior to the commencement of the Transition Period, under federal, state, local, or common law, including but not limited to any and all claims for wrongful discharge of employment; termination in violation of public policy; discrimination; retaliation,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claims arising under, Title VII of the Civil Rights Act of 1964, the Age Discrimination in Employment Act, the Older Workers’ Benefit Protection Act, the Americans with Disabilities Act as amended, the Worker Adjustment and Retraining Notification Act, the California Labor Code, the California Business and Professions Code, all California Wage Orders, the California Fair Employment and Housing Act, the California Family Rights Act, laws prohibiting discrimination, harassment and/or retaliation in any state in which you have been employed by the Company, and under any and all federal, state, and local employment laws, as well as any and all common law tort or contract theories under state federal or local laws; any and all claims relating to, or arising from, Employee’s right to purchase, or actual purchase, of shares of stock of the Company or right to retain unvested shares of stock of the Company, including, without limitation, any claims for fraud, misrepresentation, breach of fiduciary duty, breach of duty under applicable state corporate law, and securities fraud under any state or federal law; and any and all claims in any way related to Employee’s employment and/or modification of Employee’s employment with Released Parties or the termination of Employee’s full time employment, (the “</w:t>
      </w:r>
      <w:r>
        <w:rPr>
          <w:rFonts w:ascii="Arial" w:cs="Arial" w:eastAsia="Arial" w:hAnsi="Arial"/>
          <w:sz w:val="16"/>
          <w:szCs w:val="16"/>
          <w:u w:val="single" w:color="auto"/>
          <w:color w:val="auto"/>
        </w:rPr>
        <w:t>Released Claims</w:t>
      </w:r>
      <w:r>
        <w:rPr>
          <w:rFonts w:ascii="Arial" w:cs="Arial" w:eastAsia="Arial" w:hAnsi="Arial"/>
          <w:sz w:val="16"/>
          <w:szCs w:val="16"/>
          <w:color w:val="auto"/>
        </w:rPr>
        <w:t>”). The Released Claims do not, however, include:</w:t>
      </w:r>
    </w:p>
    <w:p>
      <w:pPr>
        <w:spacing w:after="0" w:line="124" w:lineRule="exact"/>
        <w:rPr>
          <w:sz w:val="20"/>
          <w:szCs w:val="20"/>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claims that by law may not be released,</w:t>
      </w:r>
    </w:p>
    <w:p>
      <w:pPr>
        <w:spacing w:after="0" w:line="17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claims for workers’ compensation benefits (although retaliation claims related to filing claims for workers’ compensation or taking leaves related to workers’ compensation are waived and releases;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claims under California Labor Code section 2802,</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claims under the Uniformed Services Employment and Reemployment Rights Act,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claims for unemployment insurance benefits;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claims for accrued wages and benefits including accrued and unused vacation as of the commencement of the Transition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28" w:name="page129"/>
    <w:bookmarkEnd w:id="128"/>
    <w:p>
      <w:pPr>
        <w:ind w:firstLine="921"/>
        <w:spacing w:after="0" w:line="268"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to retention of equity award rights as stated in the Employment Agreement, but all other rights to Equity awards other than those vested as of the commencement of the Transition Period are waived and released;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reimbursement of business expenses in accordance with normal Company policies and procedures.</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wages and benefits provided for in the Employment Agreement;</w:t>
      </w:r>
    </w:p>
    <w:p>
      <w:pPr>
        <w:spacing w:after="0" w:line="171" w:lineRule="exact"/>
        <w:rPr>
          <w:rFonts w:ascii="Arial" w:cs="Arial" w:eastAsia="Arial" w:hAnsi="Arial"/>
          <w:sz w:val="18"/>
          <w:szCs w:val="18"/>
          <w:color w:val="auto"/>
        </w:rPr>
      </w:pPr>
    </w:p>
    <w:p>
      <w:pPr>
        <w:ind w:right="640" w:firstLine="921"/>
        <w:spacing w:after="0" w:line="268" w:lineRule="auto"/>
        <w:tabs>
          <w:tab w:leader="none" w:pos="11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Employee’s rights to indemnification or any payments under a fiduciary insurance policy, if any, provided by any act or agreement of the Company, state or federal law or policy of insurance.</w:t>
      </w:r>
    </w:p>
    <w:p>
      <w:pPr>
        <w:spacing w:after="0" w:line="132"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Nothing in this Release Agreement shall be construed to affect the Equal Employment Opportunity Commission’s (the “</w:t>
      </w:r>
      <w:r>
        <w:rPr>
          <w:rFonts w:ascii="Arial" w:cs="Arial" w:eastAsia="Arial" w:hAnsi="Arial"/>
          <w:sz w:val="15"/>
          <w:szCs w:val="15"/>
          <w:u w:val="single" w:color="auto"/>
          <w:color w:val="auto"/>
        </w:rPr>
        <w:t>Commission</w:t>
      </w:r>
      <w:r>
        <w:rPr>
          <w:rFonts w:ascii="Arial" w:cs="Arial" w:eastAsia="Arial" w:hAnsi="Arial"/>
          <w:sz w:val="15"/>
          <w:szCs w:val="15"/>
          <w:color w:val="auto"/>
        </w:rPr>
        <w:t>”) or any state agency’s independent right and responsibility to enforce the law, nor does this Release Agreement affect Employee’s right to file a charge or participate in an investigation or proceeding conducted by either the Commission or any such state agency, although this Release Agreement does bar any claim that Employee might have to receive monetary damages in connection with any Commission or state agency proceeding concerning matters covered by this Release Agreement.</w:t>
      </w:r>
    </w:p>
    <w:p>
      <w:pPr>
        <w:spacing w:after="0" w:line="92"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Review Period, Acceptance, ADEA Waiver, Waiting and Revocation Period.</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Employee acknowledges and understands that the release of claims under the Age Discrimination in Employment Act (“</w:t>
      </w:r>
      <w:r>
        <w:rPr>
          <w:rFonts w:ascii="Arial" w:cs="Arial" w:eastAsia="Arial" w:hAnsi="Arial"/>
          <w:sz w:val="18"/>
          <w:szCs w:val="18"/>
          <w:u w:val="single" w:color="auto"/>
          <w:color w:val="auto"/>
        </w:rPr>
        <w:t>ADEA</w:t>
      </w:r>
      <w:r>
        <w:rPr>
          <w:rFonts w:ascii="Arial" w:cs="Arial" w:eastAsia="Arial" w:hAnsi="Arial"/>
          <w:sz w:val="18"/>
          <w:szCs w:val="18"/>
          <w:color w:val="auto"/>
        </w:rPr>
        <w:t>”), 29 U.S.C. Sections 621-634, is subject to special waiver protections under 29 U.S.C. Section 626(f). In accordance with that section, Employee specifically agrees that he is knowingly and voluntarily releasing and waiving any rights or claims of discrimination under the ADEA up through the commencement of the Transition Period. In particular, Employee acknowledges that and understands that:</w:t>
      </w:r>
    </w:p>
    <w:p>
      <w:pPr>
        <w:spacing w:after="0" w:line="143" w:lineRule="exact"/>
        <w:rPr>
          <w:sz w:val="20"/>
          <w:szCs w:val="20"/>
          <w:color w:val="auto"/>
        </w:rPr>
      </w:pPr>
    </w:p>
    <w:p>
      <w:pPr>
        <w:ind w:left="1160" w:hanging="239"/>
        <w:spacing w:after="0"/>
        <w:tabs>
          <w:tab w:leader="none" w:pos="11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is not waiving any claims for age discrimination under the ADEA that may arise after the date he signs this Release Agreement;</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is waiving rights or claims for age discrimination under the ADEA up through the commencement of the Transition Period; and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is advised to consult with and has had an opportunity to consult with an attorney before signing this Release Agreement.</w:t>
      </w:r>
    </w:p>
    <w:p>
      <w:pPr>
        <w:spacing w:after="0" w:line="188" w:lineRule="exact"/>
        <w:rPr>
          <w:rFonts w:ascii="Arial" w:cs="Arial" w:eastAsia="Arial" w:hAnsi="Arial"/>
          <w:sz w:val="16"/>
          <w:szCs w:val="16"/>
          <w:color w:val="auto"/>
        </w:rPr>
      </w:pPr>
    </w:p>
    <w:p>
      <w:pPr>
        <w:ind w:right="420" w:firstLine="464"/>
        <w:spacing w:after="0" w:line="310"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Review Period.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has up to twenty-one days (21) days to review this Release Agreement. Should Employee sign and return this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t>
      </w:r>
      <w:r>
        <w:rPr>
          <w:rFonts w:ascii="Arial" w:cs="Arial" w:eastAsia="Arial" w:hAnsi="Arial"/>
          <w:sz w:val="16"/>
          <w:szCs w:val="16"/>
          <w:u w:val="single" w:color="auto"/>
          <w:color w:val="auto"/>
        </w:rPr>
        <w:t>Review Period</w:t>
      </w:r>
      <w:r>
        <w:rPr>
          <w:rFonts w:ascii="Arial" w:cs="Arial" w:eastAsia="Arial" w:hAnsi="Arial"/>
          <w:sz w:val="16"/>
          <w:szCs w:val="16"/>
          <w:color w:val="auto"/>
        </w:rPr>
        <w:t>”) prior to the end of the Review Period any time remaining in the Review Period is waived. Employee may accept this Release Agreement by returning it to the attention of Meena Elliott, Vice President, General Counsel, Secretary.</w:t>
      </w:r>
    </w:p>
    <w:p>
      <w:pPr>
        <w:spacing w:after="0" w:line="97" w:lineRule="exact"/>
        <w:rPr>
          <w:rFonts w:ascii="Arial" w:cs="Arial" w:eastAsia="Arial" w:hAnsi="Arial"/>
          <w:sz w:val="16"/>
          <w:szCs w:val="16"/>
          <w:color w:val="auto"/>
        </w:rPr>
      </w:pPr>
    </w:p>
    <w:p>
      <w:pPr>
        <w:ind w:right="540" w:firstLine="464"/>
        <w:spacing w:after="0" w:line="339"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Revocation Period.</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revocable by Employee for seven (7) days following the signing of this Release Agreement by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Revocation Period”</w:t>
      </w:r>
      <w:r>
        <w:rPr>
          <w:rFonts w:ascii="Arial" w:cs="Arial" w:eastAsia="Arial" w:hAnsi="Arial"/>
          <w:sz w:val="16"/>
          <w:szCs w:val="16"/>
          <w:color w:val="auto"/>
        </w:rPr>
        <w:t>). This Release Agreement may be revoked by Employee by a writing which states “I hereby revoke this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29" w:name="page130"/>
    <w:bookmarkEnd w:id="129"/>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Separation And Release Agreement” which is dated and signed and sent to the attention of Meena Elliott, Vice President, General Counsel, Secretary by certified mail post-marked no later than the seventh (7</w:t>
      </w:r>
      <w:r>
        <w:rPr>
          <w:rFonts w:ascii="Arial" w:cs="Arial" w:eastAsia="Arial" w:hAnsi="Arial"/>
          <w:sz w:val="10"/>
          <w:szCs w:val="10"/>
          <w:color w:val="auto"/>
        </w:rPr>
        <w:t>th</w:t>
      </w:r>
      <w:r>
        <w:rPr>
          <w:rFonts w:ascii="Arial" w:cs="Arial" w:eastAsia="Arial" w:hAnsi="Arial"/>
          <w:sz w:val="16"/>
          <w:szCs w:val="16"/>
          <w:color w:val="auto"/>
        </w:rPr>
        <w:t>) day after the Release Agreement is signed by Employee (unless that day is a Sunday or a holiday, in which event the period is extended to the next day there is mail service). This Agreement automatically becomes enforceable and effective on the eighth (8</w:t>
      </w:r>
      <w:r>
        <w:rPr>
          <w:rFonts w:ascii="Arial" w:cs="Arial" w:eastAsia="Arial" w:hAnsi="Arial"/>
          <w:sz w:val="10"/>
          <w:szCs w:val="10"/>
          <w:color w:val="auto"/>
        </w:rPr>
        <w:t>th</w:t>
      </w:r>
      <w:r>
        <w:rPr>
          <w:rFonts w:ascii="Arial" w:cs="Arial" w:eastAsia="Arial" w:hAnsi="Arial"/>
          <w:sz w:val="16"/>
          <w:szCs w:val="16"/>
          <w:color w:val="auto"/>
        </w:rPr>
        <w:t>) day after Company has received the Release Agreement signed by Employee, provided there has been no timely revocation.</w:t>
      </w:r>
    </w:p>
    <w:p>
      <w:pPr>
        <w:spacing w:after="0" w:line="107" w:lineRule="exact"/>
        <w:rPr>
          <w:sz w:val="20"/>
          <w:szCs w:val="20"/>
          <w:color w:val="auto"/>
        </w:rPr>
      </w:pPr>
    </w:p>
    <w:p>
      <w:pPr>
        <w:ind w:right="60" w:firstLine="464"/>
        <w:spacing w:after="0" w:line="262"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Civil Code Section 1542</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represents that he is not aware of any claims against the Company other than the claims that are released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Agreement. Employee acknowledges that he has been advised by legal counsel and is familiar with the provisions of California Civil Code section 1542, which provides as follows:</w:t>
      </w:r>
    </w:p>
    <w:p>
      <w:pPr>
        <w:spacing w:after="0" w:line="132" w:lineRule="exact"/>
        <w:rPr>
          <w:sz w:val="20"/>
          <w:szCs w:val="20"/>
          <w:color w:val="auto"/>
        </w:rPr>
      </w:pPr>
    </w:p>
    <w:p>
      <w:pPr>
        <w:ind w:left="920" w:right="160"/>
        <w:spacing w:after="0" w:line="262"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3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Employee, being aware of said code section, agrees to expressly waive any rights he may have thereunder, as well as under any statute or common law principles of similar effect.</w:t>
      </w:r>
    </w:p>
    <w:p>
      <w:pPr>
        <w:spacing w:after="0" w:line="126" w:lineRule="exact"/>
        <w:rPr>
          <w:sz w:val="20"/>
          <w:szCs w:val="20"/>
          <w:color w:val="auto"/>
        </w:rPr>
      </w:pPr>
    </w:p>
    <w:p>
      <w:pPr>
        <w:ind w:right="380" w:firstLine="464"/>
        <w:spacing w:after="0" w:line="275"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Admission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understands and acknowledges that this Release Agreement does not constitute an admission of liability by</w:t>
      </w:r>
      <w:r>
        <w:rPr>
          <w:rFonts w:ascii="Arial" w:cs="Arial" w:eastAsia="Arial" w:hAnsi="Arial"/>
          <w:sz w:val="18"/>
          <w:szCs w:val="18"/>
          <w:b w:val="1"/>
          <w:bCs w:val="1"/>
          <w:color w:val="auto"/>
        </w:rPr>
        <w:t xml:space="preserve"> </w:t>
      </w:r>
      <w:r>
        <w:rPr>
          <w:rFonts w:ascii="Arial" w:cs="Arial" w:eastAsia="Arial" w:hAnsi="Arial"/>
          <w:sz w:val="18"/>
          <w:szCs w:val="18"/>
          <w:color w:val="auto"/>
        </w:rPr>
        <w:t>either Employee or Company.</w:t>
      </w:r>
    </w:p>
    <w:p>
      <w:pPr>
        <w:spacing w:after="0" w:line="119" w:lineRule="exact"/>
        <w:rPr>
          <w:rFonts w:ascii="Arial" w:cs="Arial" w:eastAsia="Arial" w:hAnsi="Arial"/>
          <w:sz w:val="18"/>
          <w:szCs w:val="18"/>
          <w:color w:val="auto"/>
        </w:rPr>
      </w:pPr>
    </w:p>
    <w:p>
      <w:pPr>
        <w:ind w:right="300" w:firstLine="464"/>
        <w:spacing w:after="0" w:line="339" w:lineRule="auto"/>
        <w:tabs>
          <w:tab w:leader="none" w:pos="713" w:val="left"/>
        </w:tabs>
        <w:numPr>
          <w:ilvl w:val="0"/>
          <w:numId w:val="65"/>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represents and warrants that he has the capacity to act on his own behalf and on behalf of all who might claim through him to</w:t>
      </w:r>
      <w:r>
        <w:rPr>
          <w:rFonts w:ascii="Arial" w:cs="Arial" w:eastAsia="Arial" w:hAnsi="Arial"/>
          <w:sz w:val="16"/>
          <w:szCs w:val="16"/>
          <w:b w:val="1"/>
          <w:bCs w:val="1"/>
          <w:color w:val="auto"/>
        </w:rPr>
        <w:t xml:space="preserve"> </w:t>
      </w:r>
      <w:r>
        <w:rPr>
          <w:rFonts w:ascii="Arial" w:cs="Arial" w:eastAsia="Arial" w:hAnsi="Arial"/>
          <w:sz w:val="16"/>
          <w:szCs w:val="16"/>
          <w:color w:val="auto"/>
        </w:rPr>
        <w:t>bind them to the terms and conditions of this Release Agreement.</w:t>
      </w:r>
    </w:p>
    <w:p>
      <w:pPr>
        <w:spacing w:after="0" w:line="74" w:lineRule="exact"/>
        <w:rPr>
          <w:rFonts w:ascii="Arial" w:cs="Arial" w:eastAsia="Arial" w:hAnsi="Arial"/>
          <w:sz w:val="16"/>
          <w:szCs w:val="16"/>
          <w:color w:val="auto"/>
        </w:rPr>
      </w:pPr>
    </w:p>
    <w:p>
      <w:pPr>
        <w:ind w:right="20" w:firstLine="464"/>
        <w:spacing w:after="0" w:line="262"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represents that he has had the opportunity to consult with an attorney, and has carefully read and understands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of the provisions of this Release Agreement, and has not relied on any representations or statements made by the Company hereto which are not specifically set forth in this Release Agreement.</w:t>
      </w:r>
    </w:p>
    <w:p>
      <w:pPr>
        <w:spacing w:after="0" w:line="132" w:lineRule="exact"/>
        <w:rPr>
          <w:rFonts w:ascii="Arial" w:cs="Arial" w:eastAsia="Arial" w:hAnsi="Arial"/>
          <w:sz w:val="18"/>
          <w:szCs w:val="18"/>
          <w:color w:val="auto"/>
        </w:rPr>
      </w:pPr>
    </w:p>
    <w:p>
      <w:pPr>
        <w:ind w:firstLine="464"/>
        <w:spacing w:after="0" w:line="275"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provision hereof becomes or is declared by a court of competent jurisdiction to be illegal, unenforceable or void, this</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Agreement shall continue in full force and effect without said provision.</w:t>
      </w:r>
    </w:p>
    <w:p>
      <w:pPr>
        <w:spacing w:after="0" w:line="119" w:lineRule="exact"/>
        <w:rPr>
          <w:rFonts w:ascii="Arial" w:cs="Arial" w:eastAsia="Arial" w:hAnsi="Arial"/>
          <w:sz w:val="18"/>
          <w:szCs w:val="18"/>
          <w:color w:val="auto"/>
        </w:rPr>
      </w:pPr>
    </w:p>
    <w:p>
      <w:pPr>
        <w:ind w:right="120" w:firstLine="464"/>
        <w:spacing w:after="0" w:line="326" w:lineRule="auto"/>
        <w:tabs>
          <w:tab w:leader="none" w:pos="720" w:val="left"/>
        </w:tabs>
        <w:numPr>
          <w:ilvl w:val="0"/>
          <w:numId w:val="65"/>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Release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that Employee fails to return this Release Agreement or revokes it within the time provided or</w:t>
      </w:r>
      <w:r>
        <w:rPr>
          <w:rFonts w:ascii="Arial" w:cs="Arial" w:eastAsia="Arial" w:hAnsi="Arial"/>
          <w:sz w:val="15"/>
          <w:szCs w:val="15"/>
          <w:b w:val="1"/>
          <w:bCs w:val="1"/>
          <w:color w:val="auto"/>
        </w:rPr>
        <w:t xml:space="preserve"> </w:t>
      </w:r>
      <w:r>
        <w:rPr>
          <w:rFonts w:ascii="Arial" w:cs="Arial" w:eastAsia="Arial" w:hAnsi="Arial"/>
          <w:sz w:val="15"/>
          <w:szCs w:val="15"/>
          <w:color w:val="auto"/>
        </w:rPr>
        <w:t>breaches any provisions of this Release Agreement in any material respect, Employee shall not be entitled to employment under the Employment Agreement, or to any other employment by the Company, or to receive any payments or benefits other than those required to be paid or provided to Employee under applicable law if any. In addition, Employee understands that in the event this Release Agreement is breached, the Company may have legal rights against Employee.</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30" w:name="page131"/>
    <w:bookmarkEnd w:id="130"/>
    <w:p>
      <w:pPr>
        <w:ind w:right="120" w:firstLine="464"/>
        <w:spacing w:after="0" w:line="275"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not to disparage the Released Parties in any manner likely to be harmful to the Company’s business reputation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the personal or business reputation of the Company’s directors, officers, shareholders, employees or agents.</w:t>
      </w:r>
    </w:p>
    <w:p>
      <w:pPr>
        <w:spacing w:after="0" w:line="119" w:lineRule="exact"/>
        <w:rPr>
          <w:rFonts w:ascii="Arial" w:cs="Arial" w:eastAsia="Arial" w:hAnsi="Arial"/>
          <w:sz w:val="18"/>
          <w:szCs w:val="18"/>
          <w:color w:val="auto"/>
        </w:rPr>
      </w:pPr>
    </w:p>
    <w:p>
      <w:pPr>
        <w:ind w:right="200" w:firstLine="464"/>
        <w:spacing w:after="0" w:line="275"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warrants that Employee has not filed any lawsuits or administrative claims against the Company prior to signing this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19" w:lineRule="exact"/>
        <w:rPr>
          <w:rFonts w:ascii="Arial" w:cs="Arial" w:eastAsia="Arial" w:hAnsi="Arial"/>
          <w:sz w:val="18"/>
          <w:szCs w:val="18"/>
          <w:color w:val="auto"/>
        </w:rPr>
      </w:pPr>
    </w:p>
    <w:p>
      <w:pPr>
        <w:ind w:right="240" w:firstLine="464"/>
        <w:spacing w:after="0" w:line="275"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Agreement shall bind the heirs, personal representatives, successors, assigns, executors and administrators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and inure to the benefit of each party, any heirs, successors and assigns.</w:t>
      </w:r>
    </w:p>
    <w:p>
      <w:pPr>
        <w:spacing w:after="0" w:line="119" w:lineRule="exact"/>
        <w:rPr>
          <w:rFonts w:ascii="Arial" w:cs="Arial" w:eastAsia="Arial" w:hAnsi="Arial"/>
          <w:sz w:val="18"/>
          <w:szCs w:val="18"/>
          <w:color w:val="auto"/>
        </w:rPr>
      </w:pPr>
    </w:p>
    <w:p>
      <w:pPr>
        <w:ind w:firstLine="464"/>
        <w:spacing w:after="0" w:line="262"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Agreement, along with the Confidentiality Agreement, and the Employment Agreement and the documents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any equity compensation agreements (to the extent applicable), as set forth in the Employment Agreement represent the entire agreement and understanding between the Company and Employee.</w:t>
      </w:r>
    </w:p>
    <w:p>
      <w:pPr>
        <w:spacing w:after="0" w:line="132"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No Oral Modification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Release Agreement may only be amended or waived in writing signed by Employee and the CEO of the Company.</w:t>
      </w:r>
    </w:p>
    <w:p>
      <w:pPr>
        <w:spacing w:after="0" w:line="194" w:lineRule="exact"/>
        <w:rPr>
          <w:rFonts w:ascii="Arial" w:cs="Arial" w:eastAsia="Arial" w:hAnsi="Arial"/>
          <w:sz w:val="16"/>
          <w:szCs w:val="16"/>
          <w:color w:val="auto"/>
        </w:rPr>
      </w:pPr>
    </w:p>
    <w:p>
      <w:pPr>
        <w:ind w:right="60" w:firstLine="464"/>
        <w:spacing w:after="0" w:line="262"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Agreement shall be governed by the internal substantive laws, but not the choice of law rules,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disputes arising out of this Release Agreement shall be resolved in the courts for the County of Santa Clara, California and Employee consents to personal jurisdiction to such court for the purpose of resolving any such dispute.</w:t>
      </w:r>
    </w:p>
    <w:p>
      <w:pPr>
        <w:spacing w:after="0" w:line="132" w:lineRule="exact"/>
        <w:rPr>
          <w:rFonts w:ascii="Arial" w:cs="Arial" w:eastAsia="Arial" w:hAnsi="Arial"/>
          <w:sz w:val="18"/>
          <w:szCs w:val="18"/>
          <w:color w:val="auto"/>
        </w:rPr>
      </w:pPr>
    </w:p>
    <w:p>
      <w:pPr>
        <w:ind w:right="240" w:firstLine="464"/>
        <w:spacing w:after="0" w:line="275"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Agreement is effective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eight (8) days after the date that Employee signs this Release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sooner revoked in accordance with paragraph 6 of this Release Agreement.</w:t>
      </w:r>
    </w:p>
    <w:p>
      <w:pPr>
        <w:spacing w:after="0" w:line="119" w:lineRule="exact"/>
        <w:rPr>
          <w:rFonts w:ascii="Arial" w:cs="Arial" w:eastAsia="Arial" w:hAnsi="Arial"/>
          <w:sz w:val="18"/>
          <w:szCs w:val="18"/>
          <w:color w:val="auto"/>
        </w:rPr>
      </w:pPr>
    </w:p>
    <w:p>
      <w:pPr>
        <w:ind w:right="140" w:firstLine="464"/>
        <w:spacing w:after="0" w:line="275"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Agreement may be executed in counterparts, and each counterpart shall have the same force and effect as an original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an effective, binding agreement on the part of each of the undersigned.</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herein to employment with the Company also refer to any employment with any direct or indirect subsidiaries of the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58" w:lineRule="exact"/>
        <w:rPr>
          <w:rFonts w:ascii="Arial" w:cs="Arial" w:eastAsia="Arial" w:hAnsi="Arial"/>
          <w:sz w:val="16"/>
          <w:szCs w:val="16"/>
          <w:color w:val="auto"/>
        </w:rPr>
      </w:pPr>
    </w:p>
    <w:p>
      <w:pPr>
        <w:ind w:right="20" w:firstLine="464"/>
        <w:spacing w:after="0" w:line="339" w:lineRule="auto"/>
        <w:tabs>
          <w:tab w:leader="none" w:pos="720" w:val="left"/>
        </w:tabs>
        <w:numPr>
          <w:ilvl w:val="0"/>
          <w:numId w:val="66"/>
        </w:numPr>
        <w:rPr>
          <w:rFonts w:ascii="Arial" w:cs="Arial" w:eastAsia="Arial" w:hAnsi="Arial"/>
          <w:sz w:val="15"/>
          <w:szCs w:val="15"/>
          <w:color w:val="auto"/>
        </w:rPr>
      </w:pPr>
      <w:r>
        <w:rPr>
          <w:rFonts w:ascii="Arial" w:cs="Arial" w:eastAsia="Arial" w:hAnsi="Arial"/>
          <w:sz w:val="15"/>
          <w:szCs w:val="15"/>
          <w:b w:val="1"/>
          <w:bCs w:val="1"/>
          <w:u w:val="single" w:color="auto"/>
          <w:color w:val="auto"/>
        </w:rPr>
        <w:t>Voluntary Execution of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acknowledges that he executes this Release Agreement voluntarily and without any duress or undue</w:t>
      </w:r>
      <w:r>
        <w:rPr>
          <w:rFonts w:ascii="Arial" w:cs="Arial" w:eastAsia="Arial" w:hAnsi="Arial"/>
          <w:sz w:val="15"/>
          <w:szCs w:val="15"/>
          <w:b w:val="1"/>
          <w:bCs w:val="1"/>
          <w:color w:val="auto"/>
        </w:rPr>
        <w:t xml:space="preserve"> </w:t>
      </w:r>
      <w:r>
        <w:rPr>
          <w:rFonts w:ascii="Arial" w:cs="Arial" w:eastAsia="Arial" w:hAnsi="Arial"/>
          <w:sz w:val="15"/>
          <w:szCs w:val="15"/>
          <w:color w:val="auto"/>
        </w:rPr>
        <w:t>influence or, with the full intent of releasing all claims. Employee has had the opportunity to consult with legal counsel of his own choice and understands the terms and consequences of this Release Agreement and of the releases it contains; and he is fully aware of the legal and binding effect of this Release Agreement.</w:t>
      </w:r>
    </w:p>
    <w:p>
      <w:pPr>
        <w:spacing w:after="0" w:line="126"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Dated: July 18, 2011</w:t>
      </w:r>
      <w:r>
        <w:rPr>
          <w:sz w:val="20"/>
          <w:szCs w:val="20"/>
          <w:color w:val="auto"/>
        </w:rPr>
        <w:tab/>
      </w:r>
      <w:r>
        <w:rPr>
          <w:rFonts w:ascii="Arial" w:cs="Arial" w:eastAsia="Arial" w:hAnsi="Arial"/>
          <w:sz w:val="15"/>
          <w:szCs w:val="15"/>
          <w:color w:val="auto"/>
        </w:rPr>
        <w:t>/s/ Charles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Charles D. Kissner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986155" cy="5657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861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2210 Blackheath Trace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Alpharetta, CA 30005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letter agreement sets forth the terms of your continued employment with Aviat Networks, Inc. (the “Company”), as well as our understanding with respect to any termination of that employment relationship. This Agreement will become effective July 18, 2011.</w:t>
      </w:r>
    </w:p>
    <w:p>
      <w:pPr>
        <w:spacing w:after="0" w:line="132" w:lineRule="exact"/>
        <w:rPr>
          <w:sz w:val="20"/>
          <w:szCs w:val="20"/>
          <w:color w:val="auto"/>
        </w:rPr>
      </w:pPr>
    </w:p>
    <w:p>
      <w:pPr>
        <w:ind w:right="160" w:firstLine="464"/>
        <w:spacing w:after="0" w:line="294"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You will be employed by the Company as its President and Chief Executive Officer, reporting to the Board of Directors. This position will be based at our location in Santa Clara, California. You accept employment with the Company on the terms and conditions set forth in this Agreement, and you agree during your employment not to engage in any business, other employment or other activities which would conflict with your obligations to the Company or create an actual or the appearance of a conflict of interest with the Company’s interests or your employment relationship with the Company. The Company will recommend that you be elected as a member of the Board at no additional compensation.</w:t>
      </w:r>
    </w:p>
    <w:p>
      <w:pPr>
        <w:spacing w:after="0" w:line="115" w:lineRule="exact"/>
        <w:rPr>
          <w:rFonts w:ascii="Arial" w:cs="Arial" w:eastAsia="Arial" w:hAnsi="Arial"/>
          <w:sz w:val="16"/>
          <w:szCs w:val="16"/>
          <w:color w:val="auto"/>
        </w:rPr>
      </w:pPr>
    </w:p>
    <w:p>
      <w:pPr>
        <w:ind w:right="760" w:firstLine="464"/>
        <w:spacing w:after="0" w:line="332"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Your employment with the Company is at will, which means that your employment is for no specified term, and may be terminated by you or the Company at any time, with or without cause or notice, subject to the provisions of Paragraphs 5 and 6 below.</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You will be compensated by the Company for your services as follows:</w:t>
      </w:r>
    </w:p>
    <w:p>
      <w:pPr>
        <w:spacing w:after="0" w:line="171" w:lineRule="exact"/>
        <w:rPr>
          <w:rFonts w:ascii="Arial" w:cs="Arial" w:eastAsia="Arial" w:hAnsi="Arial"/>
          <w:sz w:val="18"/>
          <w:szCs w:val="18"/>
          <w:color w:val="auto"/>
        </w:rPr>
      </w:pPr>
    </w:p>
    <w:p>
      <w:pPr>
        <w:ind w:right="80" w:firstLine="921"/>
        <w:spacing w:after="0" w:line="294" w:lineRule="auto"/>
        <w:tabs>
          <w:tab w:leader="none" w:pos="1152"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Effective July 18, 2011, you will be paid a monthly base salary of $45,833.33 ($550,000 per year), less applicable withholding, in accordance with the Company’s normal payroll procedures and applicable law. In conjunction with your annual performance review, which will occur at or about the start of each fiscal year (currently approximately July 1st), your base salary will be reviewed by the Board, and may be subject to adjustment based upon various factors including, but not limited to, your performance and the Company’s profitability. Your base salary will not be reduced except as part of a salary reduction program that similarly affects all members of the executive staff reporting to the Chief Executive Officer of the Company.</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40" w:firstLine="921"/>
        <w:spacing w:after="0" w:line="255" w:lineRule="auto"/>
        <w:tabs>
          <w:tab w:leader="none" w:pos="1161"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Annual Short-Term Incentive Plan</w:t>
      </w:r>
      <w:r>
        <w:rPr>
          <w:rFonts w:ascii="Arial" w:cs="Arial" w:eastAsia="Arial" w:hAnsi="Arial"/>
          <w:sz w:val="18"/>
          <w:szCs w:val="18"/>
          <w:color w:val="auto"/>
        </w:rPr>
        <w:t>: Subject to the Board’s discretion to substitute alternative short-term incentives when deemed advisable, as is anticipated for FY2012, and subject to approval of such a plan for Company employees each year, you will be eligible to participate in the Company’s Annual Incentive Plan with a target annual bonus of 100% of base salary at target, based upon achievement of the same performance objectives, floors and caps determined by the Board for the Annual Incentive Plan for executives generally. You will participate in any alternative short-term incentive adopted by the Board in lieu of a cash bonus.</w:t>
      </w:r>
    </w:p>
    <w:p>
      <w:pPr>
        <w:spacing w:after="0" w:line="142" w:lineRule="exact"/>
        <w:rPr>
          <w:rFonts w:ascii="Arial" w:cs="Arial" w:eastAsia="Arial" w:hAnsi="Arial"/>
          <w:sz w:val="18"/>
          <w:szCs w:val="18"/>
          <w:color w:val="auto"/>
        </w:rPr>
      </w:pPr>
    </w:p>
    <w:p>
      <w:pPr>
        <w:ind w:right="160" w:firstLine="921"/>
        <w:spacing w:after="0" w:line="306" w:lineRule="auto"/>
        <w:tabs>
          <w:tab w:leader="none" w:pos="1152"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Long-Term Incentive Program</w:t>
      </w:r>
      <w:r>
        <w:rPr>
          <w:rFonts w:ascii="Arial" w:cs="Arial" w:eastAsia="Arial" w:hAnsi="Arial"/>
          <w:sz w:val="16"/>
          <w:szCs w:val="16"/>
          <w:color w:val="auto"/>
        </w:rPr>
        <w:t>: Subject to Board approval each year, you will be eligible to participate in a Long-Term Incentive Plan with a target value, as determined by the Board. The GAAP value of your initial award, as determined by the Board in its reasonable discretion, will be $733,333. The timing, structure and vesting will normally be on the same terms, as determined by the Board, as apply to executives generally.</w:t>
      </w:r>
    </w:p>
    <w:p>
      <w:pPr>
        <w:spacing w:after="0" w:line="106" w:lineRule="exact"/>
        <w:rPr>
          <w:rFonts w:ascii="Arial" w:cs="Arial" w:eastAsia="Arial" w:hAnsi="Arial"/>
          <w:sz w:val="16"/>
          <w:szCs w:val="16"/>
          <w:color w:val="auto"/>
        </w:rPr>
      </w:pPr>
    </w:p>
    <w:p>
      <w:pPr>
        <w:ind w:right="320" w:firstLine="921"/>
        <w:spacing w:after="0" w:line="306" w:lineRule="auto"/>
        <w:tabs>
          <w:tab w:leader="none" w:pos="1161"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You will have the right, on the same basis as other employees of the Company, to participate in and to receive benefits under any Company group medical, dental, life, disability or other group insurance plans, as well as under the Company’s business expense reimbursement, educational assistance, holiday, and other benefit plans and policies. You will also be eligible to participate in the Company’s 401(k) plan.</w:t>
      </w:r>
    </w:p>
    <w:p>
      <w:pPr>
        <w:spacing w:after="0" w:line="106" w:lineRule="exact"/>
        <w:rPr>
          <w:rFonts w:ascii="Arial" w:cs="Arial" w:eastAsia="Arial" w:hAnsi="Arial"/>
          <w:sz w:val="16"/>
          <w:szCs w:val="16"/>
          <w:color w:val="auto"/>
        </w:rPr>
      </w:pPr>
    </w:p>
    <w:p>
      <w:pPr>
        <w:ind w:right="40" w:firstLine="921"/>
        <w:spacing w:after="0" w:line="268" w:lineRule="auto"/>
        <w:tabs>
          <w:tab w:leader="none" w:pos="115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Effective July 18, 2011, you will accrue paid vacation at the rate of five weeks per year. Maximum accrued vacation will be 160 hours, in accordance with the Company’s vacation policy.</w:t>
      </w:r>
    </w:p>
    <w:p>
      <w:pPr>
        <w:spacing w:after="0" w:line="131" w:lineRule="exact"/>
        <w:rPr>
          <w:rFonts w:ascii="Arial" w:cs="Arial" w:eastAsia="Arial" w:hAnsi="Arial"/>
          <w:sz w:val="18"/>
          <w:szCs w:val="18"/>
          <w:color w:val="auto"/>
        </w:rPr>
      </w:pPr>
    </w:p>
    <w:p>
      <w:pPr>
        <w:ind w:firstLine="921"/>
        <w:spacing w:after="0" w:line="256" w:lineRule="auto"/>
        <w:tabs>
          <w:tab w:leader="none" w:pos="113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Earned Compensation</w:t>
      </w:r>
      <w:r>
        <w:rPr>
          <w:rFonts w:ascii="Arial" w:cs="Arial" w:eastAsia="Arial" w:hAnsi="Arial"/>
          <w:sz w:val="18"/>
          <w:szCs w:val="18"/>
          <w:color w:val="auto"/>
        </w:rPr>
        <w:t>: For purposes of those Paragraphs of this Agreement pertaining to termination of the employment relationship, whether involuntary or voluntary, unless otherwise expressly provided herein, no part of (i) the Annual Incentive Plan for the year in which the termination occurs, (ii) no part of any performance shares for any multi-year period or periods in which the termination occurs and (iii) no part of any equity awards that are not vested as of the termination date will be deemed earned as of the date of termination.</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You agree to relocate your principal residence to temporary or permanent housing in the San Francisco Bay Area by August 31, 2011.</w:t>
      </w:r>
    </w:p>
    <w:p>
      <w:pPr>
        <w:spacing w:after="0" w:line="194" w:lineRule="exact"/>
        <w:rPr>
          <w:rFonts w:ascii="Arial" w:cs="Arial" w:eastAsia="Arial" w:hAnsi="Arial"/>
          <w:sz w:val="16"/>
          <w:szCs w:val="16"/>
          <w:color w:val="auto"/>
        </w:rPr>
      </w:pPr>
    </w:p>
    <w:p>
      <w:pPr>
        <w:ind w:right="260" w:firstLine="921"/>
        <w:spacing w:after="0" w:line="332" w:lineRule="auto"/>
        <w:tabs>
          <w:tab w:leader="none" w:pos="1162"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will reimburse you for the reasonable cost of moving your personal possessions from your current principal residence to a new principal residence in the San Francisco Bay Area, and for transportation of your immediate family members to the San Francisco Bay Area.</w:t>
      </w:r>
    </w:p>
    <w:p>
      <w:pPr>
        <w:spacing w:after="0" w:line="85" w:lineRule="exact"/>
        <w:rPr>
          <w:rFonts w:ascii="Arial" w:cs="Arial" w:eastAsia="Arial" w:hAnsi="Arial"/>
          <w:sz w:val="16"/>
          <w:szCs w:val="16"/>
          <w:color w:val="auto"/>
        </w:rPr>
      </w:pPr>
    </w:p>
    <w:p>
      <w:pPr>
        <w:ind w:right="20" w:firstLine="921"/>
        <w:spacing w:after="0" w:line="306" w:lineRule="auto"/>
        <w:tabs>
          <w:tab w:leader="none" w:pos="1152"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will reimburse you and/or pay directly for the reasonable cost of temporary living accommodations in the San Francisco Bay Area for the period starting on the relocation of your principal residence to the San Francisco Bay Area and ending on the earlier of (x) your establishment of a new permanent principal residence in the San Francisco Bay Area or (y) 12 months after such relocation. If a new permanent principal residence has not been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established for good reason by the end of such 12 months, then the Board will consider potential further assistance with the cost of temporary living accommodations in the San Francisco Bay Area for a maximum of six months, but it will in no event exceed 50% of the reasonable cost of such temporary living accommodations. To the extent such reimbursements or payments create a taxable liability, the Company will reimburse you for the approximate amount of such tax liability, to be paid in the year such taxes are payable.</w:t>
      </w:r>
    </w:p>
    <w:p>
      <w:pPr>
        <w:spacing w:after="0" w:line="143" w:lineRule="exact"/>
        <w:rPr>
          <w:sz w:val="20"/>
          <w:szCs w:val="20"/>
          <w:color w:val="auto"/>
        </w:rPr>
      </w:pPr>
    </w:p>
    <w:p>
      <w:pPr>
        <w:ind w:right="300" w:firstLine="464"/>
        <w:spacing w:after="0" w:line="268"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will reimburse you for the direct selling costs of your home in Georgia or, at its option, employ the services of a third-party service to effect such transaction.</w:t>
      </w:r>
    </w:p>
    <w:p>
      <w:pPr>
        <w:spacing w:after="0" w:line="131" w:lineRule="exact"/>
        <w:rPr>
          <w:rFonts w:ascii="Arial" w:cs="Arial" w:eastAsia="Arial" w:hAnsi="Arial"/>
          <w:sz w:val="18"/>
          <w:szCs w:val="18"/>
          <w:color w:val="auto"/>
        </w:rPr>
      </w:pPr>
    </w:p>
    <w:p>
      <w:pPr>
        <w:ind w:right="220" w:firstLine="464"/>
        <w:spacing w:after="0" w:line="259"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reimbursement under this Paragraph 4 will be made in accordance with the Company’s expense reimbursement policies and procedures. Such reimbursement shall be made promptly after submission of required documentation, but in any event, no later than the last day of the year following the year in which the expense is incurred.</w:t>
      </w:r>
    </w:p>
    <w:p>
      <w:pPr>
        <w:spacing w:after="0" w:line="140" w:lineRule="exact"/>
        <w:rPr>
          <w:sz w:val="20"/>
          <w:szCs w:val="20"/>
          <w:color w:val="auto"/>
        </w:rPr>
      </w:pPr>
    </w:p>
    <w:p>
      <w:pPr>
        <w:ind w:firstLine="464"/>
        <w:spacing w:after="0" w:line="288"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Death</w:t>
      </w:r>
      <w:r>
        <w:rPr>
          <w:rFonts w:ascii="Arial" w:cs="Arial" w:eastAsia="Arial" w:hAnsi="Arial"/>
          <w:sz w:val="16"/>
          <w:szCs w:val="16"/>
          <w:color w:val="auto"/>
        </w:rPr>
        <w:t>. In the event that you voluntarily resign from your employment with the Company (other than for Good Reason or Good Reason Following a Change of Control as defined in Paragraphs 6(d) and 7(b)), or in the event that your employment terminates as a result of your death, you will be entitled to no compensation or benefits from the Company other than those earned under Paragraph 3 through the date of termination. However, if your employment terminates as a result of your death, the Company will pay your estate the prorated portion of any short-term incentive bonus that you would have earned during the incentive bonus period in which your employment terminates (the pro-ration shall be equal to the percentage of that bonus period that you are actually employed by the Company); such prorated bonus will be paid at the time that such incentive bonuses are paid to other Company employees. You agree that if you voluntarily terminate your employment with the Company for any reason, you will provide the Company with at least 10 business days’ written notice of your resignation. The Company shall have the option, in its sole discretion, to make your resignation effective at any time prior to the end of such notice period, provided the Company pays you an amount equal to the base salary and benefits you would have earned through the end of the notice period.</w:t>
      </w:r>
    </w:p>
    <w:p>
      <w:pPr>
        <w:spacing w:after="0" w:line="119" w:lineRule="exact"/>
        <w:rPr>
          <w:rFonts w:ascii="Arial" w:cs="Arial" w:eastAsia="Arial" w:hAnsi="Arial"/>
          <w:sz w:val="16"/>
          <w:szCs w:val="16"/>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Your employment may be terminated under the circumstances set forth below.</w:t>
      </w:r>
    </w:p>
    <w:p>
      <w:pPr>
        <w:spacing w:after="0" w:line="171" w:lineRule="exact"/>
        <w:rPr>
          <w:rFonts w:ascii="Arial" w:cs="Arial" w:eastAsia="Arial" w:hAnsi="Arial"/>
          <w:sz w:val="18"/>
          <w:szCs w:val="18"/>
          <w:color w:val="auto"/>
        </w:rPr>
      </w:pPr>
    </w:p>
    <w:p>
      <w:pPr>
        <w:ind w:right="60" w:firstLine="921"/>
        <w:spacing w:after="0" w:line="290" w:lineRule="auto"/>
        <w:tabs>
          <w:tab w:leader="none" w:pos="115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Termination by Disability</w:t>
      </w:r>
      <w:r>
        <w:rPr>
          <w:rFonts w:ascii="Arial" w:cs="Arial" w:eastAsia="Arial" w:hAnsi="Arial"/>
          <w:sz w:val="16"/>
          <w:szCs w:val="16"/>
          <w:color w:val="auto"/>
        </w:rPr>
        <w:t>: If, by reason of any physical or mental incapacity, you have been or will be prevented from performing your then-current duties under this Agreement with reasonable accommodation, then, to the extent permitted by law, the Company may terminate your employment without any advance notice. Upon such termination, if you sign a general release of known and unknown claims in a form satisfactory to the Company which becomes valid and irrevocable within 60 days of your termination, and you fully comply with your obligations under Paragraphs 8, 9 and 11, the Company will provide you with the severance payments and benefits described in Paragraph 6(c). Nothing in this paragraph shall affect your rights under any applicable Company disability plan; provided, however, that your severance payments will be offset by any disability income payments received by you so that the total monthly severance and disability income payments during your severance period shall not exceed your then-current base salary.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firstLine="921"/>
        <w:spacing w:after="0" w:line="283" w:lineRule="auto"/>
        <w:tabs>
          <w:tab w:leader="none" w:pos="1161"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The Company may terminate your employment at any time for cause (as described below) without providing any notice (except to the extent expressly provided below). If your employment is terminated by the Company for cause, you shall be entitled to no compensation or benefits from the Company other than those earned under Paragraph 3 through the date of your termination. For purposes of this Agreement, a termination for “cause” occurs if you are terminated for any of the following reasons: (i) theft, dishonesty, misconduct or falsification of any employment or Company records;</w:t>
      </w:r>
    </w:p>
    <w:p>
      <w:pPr>
        <w:spacing w:after="0" w:line="2" w:lineRule="exact"/>
        <w:rPr>
          <w:rFonts w:ascii="Arial" w:cs="Arial" w:eastAsia="Arial" w:hAnsi="Arial"/>
          <w:sz w:val="16"/>
          <w:szCs w:val="16"/>
          <w:color w:val="auto"/>
        </w:rPr>
      </w:pPr>
    </w:p>
    <w:p>
      <w:pPr>
        <w:ind w:right="40" w:firstLine="8"/>
        <w:spacing w:after="0" w:line="252" w:lineRule="auto"/>
        <w:tabs>
          <w:tab w:leader="none" w:pos="2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improper disclosure of the Company’s confidential or proprietary information; (iii) any action by you which has a material detrimental effect on the Company’s reputation or business; (iv) your refusal or inability to perform any assigned duties (other than as a result of a disability), after written notice from the Company to you of, and a 30-day opportunity to cure, such refusal or inability; (v) your material breach of this Agreement or of the employee proprietary information/confidentiality/assignment of inventions agreement not otherwise described in this paragraph, after written notice from the Company to you of, and a 30-day opportunity to cure, such breach; or (vi) your conviction (including any plea of guilty or no contest) for any criminal act that impairs your ability to perform your duties under this Agreement.</w:t>
      </w:r>
    </w:p>
    <w:p>
      <w:pPr>
        <w:spacing w:after="0" w:line="148" w:lineRule="exact"/>
        <w:rPr>
          <w:rFonts w:ascii="Arial" w:cs="Arial" w:eastAsia="Arial" w:hAnsi="Arial"/>
          <w:sz w:val="18"/>
          <w:szCs w:val="18"/>
          <w:color w:val="auto"/>
        </w:rPr>
      </w:pPr>
    </w:p>
    <w:p>
      <w:pPr>
        <w:ind w:right="220" w:firstLine="921"/>
        <w:spacing w:after="0" w:line="255" w:lineRule="auto"/>
        <w:tabs>
          <w:tab w:leader="none" w:pos="115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your employment without cause at any time with or without advance notice. If your employment is terminated by the Company without cause, and you sign a general release of known and unknown claims in a form satisfactory to the Company within the applicable review period which thereupon is (or, if any revocation period is required by law, following expiration of such period becomes) valid and irrevocable within 60 days of your termination, and you fully comply with your obligations under Paragraphs 8, 9 and 11, you will receive the following severance benefits:</w:t>
      </w:r>
    </w:p>
    <w:p>
      <w:pPr>
        <w:spacing w:after="0" w:line="142" w:lineRule="exact"/>
        <w:rPr>
          <w:rFonts w:ascii="Arial" w:cs="Arial" w:eastAsia="Arial" w:hAnsi="Arial"/>
          <w:sz w:val="18"/>
          <w:szCs w:val="18"/>
          <w:color w:val="auto"/>
        </w:rPr>
      </w:pPr>
    </w:p>
    <w:p>
      <w:pPr>
        <w:jc w:val="both"/>
        <w:ind w:right="60" w:firstLine="1492"/>
        <w:spacing w:after="0" w:line="298" w:lineRule="auto"/>
        <w:tabs>
          <w:tab w:leader="none" w:pos="1693" w:val="left"/>
        </w:tabs>
        <w:numPr>
          <w:ilvl w:val="2"/>
          <w:numId w:val="73"/>
        </w:numPr>
        <w:rPr>
          <w:rFonts w:ascii="Arial" w:cs="Arial" w:eastAsia="Arial" w:hAnsi="Arial"/>
          <w:sz w:val="16"/>
          <w:szCs w:val="16"/>
          <w:color w:val="auto"/>
        </w:rPr>
      </w:pPr>
      <w:r>
        <w:rPr>
          <w:rFonts w:ascii="Arial" w:cs="Arial" w:eastAsia="Arial" w:hAnsi="Arial"/>
          <w:sz w:val="16"/>
          <w:szCs w:val="16"/>
          <w:color w:val="auto"/>
        </w:rPr>
        <w:t>payments at your final base salary rate for a period of twelve (12) months following your termination; such payments will be subject to applicable withholding and made in accordance with the Company’s normal payroll practices; provided, however, that any such payments that would have been paid in accordance with the Company’s normal payroll practices before your release becomes valid and irrevocable will accumulate and be paid only if and when both (x) your release becomes valid and irrevocable and (y) such validity and irrevocability in no event occurs more than 60 days after your termination;</w:t>
      </w:r>
    </w:p>
    <w:p>
      <w:pPr>
        <w:spacing w:after="0" w:line="112" w:lineRule="exact"/>
        <w:rPr>
          <w:rFonts w:ascii="Arial" w:cs="Arial" w:eastAsia="Arial" w:hAnsi="Arial"/>
          <w:sz w:val="16"/>
          <w:szCs w:val="16"/>
          <w:color w:val="auto"/>
        </w:rPr>
      </w:pPr>
    </w:p>
    <w:p>
      <w:pPr>
        <w:ind w:right="100" w:firstLine="1492"/>
        <w:spacing w:after="0" w:line="259" w:lineRule="auto"/>
        <w:tabs>
          <w:tab w:leader="none" w:pos="1742" w:val="left"/>
        </w:tabs>
        <w:numPr>
          <w:ilvl w:val="2"/>
          <w:numId w:val="73"/>
        </w:numPr>
        <w:rPr>
          <w:rFonts w:ascii="Arial" w:cs="Arial" w:eastAsia="Arial" w:hAnsi="Arial"/>
          <w:sz w:val="18"/>
          <w:szCs w:val="18"/>
          <w:color w:val="auto"/>
        </w:rPr>
      </w:pPr>
      <w:r>
        <w:rPr>
          <w:rFonts w:ascii="Arial" w:cs="Arial" w:eastAsia="Arial" w:hAnsi="Arial"/>
          <w:sz w:val="18"/>
          <w:szCs w:val="18"/>
          <w:color w:val="auto"/>
        </w:rPr>
        <w:t>payment of the premiums necessary to continue your group health insurance under COBRA provided you have timely elected COBRA coverage until the earlier of (x) twelve (12) months following your termination date; or (y) the date you first became eligible to participate in another employer’s group health insurance plan; or (z) the date on which you are no longer eligible for COBRA coverage;</w:t>
      </w:r>
    </w:p>
    <w:p>
      <w:pPr>
        <w:spacing w:after="0" w:line="140" w:lineRule="exact"/>
        <w:rPr>
          <w:rFonts w:ascii="Arial" w:cs="Arial" w:eastAsia="Arial" w:hAnsi="Arial"/>
          <w:sz w:val="18"/>
          <w:szCs w:val="18"/>
          <w:color w:val="auto"/>
        </w:rPr>
      </w:pPr>
    </w:p>
    <w:p>
      <w:pPr>
        <w:ind w:right="240" w:firstLine="1492"/>
        <w:spacing w:after="0" w:line="256" w:lineRule="auto"/>
        <w:tabs>
          <w:tab w:leader="none" w:pos="1791"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Company will pay you the prorated portion of any incentive bonus that you would have earned, if any, during the incentive bonus period in which your employment terminates (the pro-ration shall be equal to the percentage of that bonus period that you are actually employed by the Company), and such prorated bonus will be paid to you at the time that such incentive bonuses are paid to other Company employees, or at any earlier time required by applicable law;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60" w:firstLine="1492"/>
        <w:spacing w:after="0" w:line="298" w:lineRule="auto"/>
        <w:tabs>
          <w:tab w:leader="none" w:pos="1781"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 respect to any stock options or other equity-related awards granted to you by the Company, you will cease vesting upon your termination date; however, you will be entitled to purchase any vested shares of stock that are subject to those options until the earlier of (x) twelve (12) months following your termination date, or (y) the date on which the applicable option(s) expire(s); except as set forth in this subparagraph, your Company stock options and other equity-related awards will continue to be subject to and governed by the Plan and the applicable agreements between you and the Company; and</w:t>
      </w:r>
    </w:p>
    <w:p>
      <w:pPr>
        <w:spacing w:after="0" w:line="112" w:lineRule="exact"/>
        <w:rPr>
          <w:rFonts w:ascii="Arial" w:cs="Arial" w:eastAsia="Arial" w:hAnsi="Arial"/>
          <w:sz w:val="16"/>
          <w:szCs w:val="16"/>
          <w:color w:val="auto"/>
        </w:rPr>
      </w:pPr>
    </w:p>
    <w:p>
      <w:pPr>
        <w:ind w:left="1740" w:hanging="248"/>
        <w:spacing w:after="0"/>
        <w:tabs>
          <w:tab w:leader="none" w:pos="17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reasonable outplacement assistance selected and paid for by the Company.</w:t>
      </w:r>
    </w:p>
    <w:p>
      <w:pPr>
        <w:spacing w:after="0" w:line="171" w:lineRule="exact"/>
        <w:rPr>
          <w:rFonts w:ascii="Arial" w:cs="Arial" w:eastAsia="Arial" w:hAnsi="Arial"/>
          <w:sz w:val="18"/>
          <w:szCs w:val="18"/>
          <w:color w:val="auto"/>
        </w:rPr>
      </w:pPr>
    </w:p>
    <w:p>
      <w:pPr>
        <w:ind w:firstLine="921"/>
        <w:spacing w:after="0" w:line="291" w:lineRule="auto"/>
        <w:tabs>
          <w:tab w:leader="none" w:pos="116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Resignation for Good Reason</w:t>
      </w:r>
      <w:r>
        <w:rPr>
          <w:rFonts w:ascii="Arial" w:cs="Arial" w:eastAsia="Arial" w:hAnsi="Arial"/>
          <w:sz w:val="16"/>
          <w:szCs w:val="16"/>
          <w:color w:val="auto"/>
        </w:rPr>
        <w:t>: If you resign from your employment with the Company for Good Reason (as defined in this paragraph), and such resignation does not qualify as a resignation for Good Reason Following a Change of Control (as defined in Paragraph 7(b), and you sign a general release of known and unknown claims in a form satisfactory to the Company within the applicable review period which thereupon is (or, if any revocation period is required by law, following expiration of such period becomes) valid and irrevocable within 60 days of your termination, and you fully comply with your obligations under Paragraphs 8, 9 and 11, you shall receive the severance benefits described in Paragraph 6(c). For purposes of this Paragraph, “Good Reason” means any of the following conditions, which condition(s) remain in effect 60 days after written notice from you to the Chairman of said condition(s):</w:t>
      </w:r>
    </w:p>
    <w:p>
      <w:pPr>
        <w:spacing w:after="0" w:line="120" w:lineRule="exact"/>
        <w:rPr>
          <w:rFonts w:ascii="Arial" w:cs="Arial" w:eastAsia="Arial" w:hAnsi="Arial"/>
          <w:sz w:val="16"/>
          <w:szCs w:val="16"/>
          <w:color w:val="auto"/>
        </w:rPr>
      </w:pPr>
    </w:p>
    <w:p>
      <w:pPr>
        <w:ind w:left="1700" w:hanging="208"/>
        <w:spacing w:after="0"/>
        <w:tabs>
          <w:tab w:leader="none" w:pos="17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 reduction in your base salary, other than a reduction that is similarly applicable to all members of the Company’s executive staff; or</w:t>
      </w:r>
    </w:p>
    <w:p>
      <w:pPr>
        <w:spacing w:after="0" w:line="194" w:lineRule="exact"/>
        <w:rPr>
          <w:rFonts w:ascii="Arial" w:cs="Arial" w:eastAsia="Arial" w:hAnsi="Arial"/>
          <w:sz w:val="16"/>
          <w:szCs w:val="16"/>
          <w:color w:val="auto"/>
        </w:rPr>
      </w:pPr>
    </w:p>
    <w:p>
      <w:pPr>
        <w:ind w:left="1760" w:hanging="268"/>
        <w:spacing w:after="0"/>
        <w:tabs>
          <w:tab w:leader="none" w:pos="17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 material reduction in your employee benefits, other than a reduction that is similarly applicable to all of the members of the Company’s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 staff; or</w:t>
      </w:r>
    </w:p>
    <w:p>
      <w:pPr>
        <w:spacing w:after="0" w:line="164" w:lineRule="exact"/>
        <w:rPr>
          <w:rFonts w:ascii="Arial" w:cs="Arial" w:eastAsia="Arial" w:hAnsi="Arial"/>
          <w:sz w:val="16"/>
          <w:szCs w:val="16"/>
          <w:color w:val="auto"/>
        </w:rPr>
      </w:pPr>
    </w:p>
    <w:p>
      <w:pPr>
        <w:ind w:right="120" w:firstLine="1492"/>
        <w:spacing w:after="0" w:line="268" w:lineRule="auto"/>
        <w:tabs>
          <w:tab w:leader="none" w:pos="179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material breach by the Company of any material provision of this Agreement, after written notice from you to the Company of, and a 30-day opportunity to cure, such breach; or</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relocation of the Company’s workplace to a location that is more than 75 miles from your current Company workplace in Santa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Clara, California.</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foregoing condition(s) shall not constitute “Good Reason” if you do not provide the Chairman with the written notice described above within 45 days after you first become aware of the condition(s).</w:t>
      </w:r>
    </w:p>
    <w:p>
      <w:pPr>
        <w:spacing w:after="0" w:line="132" w:lineRule="exact"/>
        <w:rPr>
          <w:sz w:val="20"/>
          <w:szCs w:val="20"/>
          <w:color w:val="auto"/>
        </w:rPr>
      </w:pPr>
    </w:p>
    <w:p>
      <w:pPr>
        <w:ind w:right="80" w:firstLine="921"/>
        <w:spacing w:after="0" w:line="255" w:lineRule="auto"/>
        <w:tabs>
          <w:tab w:leader="none" w:pos="115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Termination or Resignation For Good Reason Following a Change of Control</w:t>
      </w:r>
      <w:r>
        <w:rPr>
          <w:rFonts w:ascii="Arial" w:cs="Arial" w:eastAsia="Arial" w:hAnsi="Arial"/>
          <w:sz w:val="18"/>
          <w:szCs w:val="18"/>
          <w:color w:val="auto"/>
        </w:rPr>
        <w:t>: If, within 18 months following any Change of Control (as defined below), your employment is terminated by the Company without cause, or if you resign from your employment with the Company for Good Reason Following a Change of Control (as defined below), and you sign a general release of known and unknown claims in a form satisfactory to the Company within the applicable review period which thereupon is (or, if any revocation period is required by law, following expiration of such period becomes) valid and irrevocable within 60 days of your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termination, and you fully comply with your obligations under Paragraphs 8, 9 and 11, you shall receive the severance benefits described in Paragraph 6(c); provided, that the time periods set forth in subparagraphs 6(c)(i), (ii), and (iv) shall each be increased by an additional twelve (12) months. In addition, if such termination occurs, you shall receive a payment (in lieu of any payment under subparagraph 6(c)(iii)) equal to the greater of (i) the average of the annual incentive bonus payments received by you, if any, for the previous three years, or (ii) your target incentive bonus for the year in which your employment terminates. Such payment will be made to you within 15 days following the date on which the general release of claims described above becomes irrevocable. The Company will also accelerate the vesting of all unvested stock options granted to you by the Company, and all other then-unvested equity-related awards that vest based solely on continued employment by the Company or its affiliates (unless the terms of such other equity-related awards expressly provide that there is not to be any such acceleration).</w:t>
      </w:r>
    </w:p>
    <w:p>
      <w:pPr>
        <w:spacing w:after="0" w:line="118" w:lineRule="exact"/>
        <w:rPr>
          <w:sz w:val="20"/>
          <w:szCs w:val="20"/>
          <w:color w:val="auto"/>
        </w:rPr>
      </w:pPr>
    </w:p>
    <w:p>
      <w:pPr>
        <w:ind w:left="640" w:hanging="176"/>
        <w:spacing w:after="0"/>
        <w:tabs>
          <w:tab w:leader="none" w:pos="64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Change of Control/Good Reason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For purposes of this Agreement, a “Change of Control” of the Company shall mean the occurrence of any of the following:</w:t>
      </w:r>
    </w:p>
    <w:p>
      <w:pPr>
        <w:spacing w:after="0" w:line="171" w:lineRule="exact"/>
        <w:rPr>
          <w:rFonts w:ascii="Arial" w:cs="Arial" w:eastAsia="Arial" w:hAnsi="Arial"/>
          <w:sz w:val="18"/>
          <w:szCs w:val="18"/>
          <w:color w:val="auto"/>
        </w:rPr>
      </w:pPr>
    </w:p>
    <w:p>
      <w:pPr>
        <w:jc w:val="both"/>
        <w:ind w:right="180" w:firstLine="1492"/>
        <w:spacing w:after="0" w:line="305" w:lineRule="auto"/>
        <w:tabs>
          <w:tab w:leader="none" w:pos="1693" w:val="left"/>
        </w:tabs>
        <w:numPr>
          <w:ilvl w:val="3"/>
          <w:numId w:val="77"/>
        </w:numPr>
        <w:rPr>
          <w:rFonts w:ascii="Arial" w:cs="Arial" w:eastAsia="Arial" w:hAnsi="Arial"/>
          <w:sz w:val="15"/>
          <w:szCs w:val="15"/>
          <w:color w:val="auto"/>
        </w:rPr>
      </w:pPr>
      <w:r>
        <w:rPr>
          <w:rFonts w:ascii="Arial" w:cs="Arial" w:eastAsia="Arial" w:hAnsi="Arial"/>
          <w:sz w:val="15"/>
          <w:szCs w:val="15"/>
          <w:color w:val="auto"/>
        </w:rPr>
        <w:t>any merger, consolidation, share exchange or Acquisition, unless, immediately following such merger, consolidation, share exchange or Acquisition, at least 50% of the total voting power (in respect of the election of directors, or similar officials in the case of an entity other than a corporation) of</w:t>
      </w:r>
    </w:p>
    <w:p>
      <w:pPr>
        <w:ind w:right="40" w:firstLine="8"/>
        <w:spacing w:after="0" w:line="290" w:lineRule="auto"/>
        <w:tabs>
          <w:tab w:leader="none" w:pos="288"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entity resulting from such merger, consolidation or share exchange, or the entity which has acquired all or substantially all of the assets of the Company (in the case of an asset sale that satisfies the criteria of an Acquisition) (in either case, the “Surviving Entity”), or (B) if applicable, the ultimate parent entity that directly or indirectly has beneficial ownership (within the meaning of Rule 13d-3 promulgated under the Exchange Act) of 50% or more of the total voting power (in respect of the election of directors, or similar officials in the case of an entity other than a corporation) of the Surviving Entity (the “Parent Entity”) is represented by Company securities that were outstanding immediately prior to such merger, consolidation, share exchange or Acquisition (or, if applicable, is represented by shares into which such Company securities were converted pursuant to such merger, consolidation, share exchange or Acquisition), or</w:t>
      </w:r>
    </w:p>
    <w:p>
      <w:pPr>
        <w:spacing w:after="0" w:line="118" w:lineRule="exact"/>
        <w:rPr>
          <w:rFonts w:ascii="Arial" w:cs="Arial" w:eastAsia="Arial" w:hAnsi="Arial"/>
          <w:sz w:val="16"/>
          <w:szCs w:val="16"/>
          <w:color w:val="auto"/>
        </w:rPr>
      </w:pPr>
    </w:p>
    <w:p>
      <w:pPr>
        <w:ind w:right="20" w:firstLine="1492"/>
        <w:spacing w:after="0" w:line="254" w:lineRule="auto"/>
        <w:tabs>
          <w:tab w:leader="none" w:pos="1742" w:val="left"/>
        </w:tabs>
        <w:numPr>
          <w:ilvl w:val="3"/>
          <w:numId w:val="78"/>
        </w:numPr>
        <w:rPr>
          <w:rFonts w:ascii="Arial" w:cs="Arial" w:eastAsia="Arial" w:hAnsi="Arial"/>
          <w:sz w:val="18"/>
          <w:szCs w:val="18"/>
          <w:color w:val="auto"/>
        </w:rPr>
      </w:pPr>
      <w:r>
        <w:rPr>
          <w:rFonts w:ascii="Arial" w:cs="Arial" w:eastAsia="Arial" w:hAnsi="Arial"/>
          <w:sz w:val="18"/>
          <w:szCs w:val="18"/>
          <w:color w:val="auto"/>
        </w:rPr>
        <w:t>any person or group of persons (within the meaning of Section 13(d)(3) of the Securities Exchange Act of 1934, as amended and in effect from time to time) directly or indirectly acquires beneficial ownership (determined pursuant to Securities and Exchange Commission Rule 13d-3 promulgated under the said Exchange Act) other than through a merger, consolidation, share exchange, or Acquisition, of securities possessing more than 30% of the total combined voting power of the Company’s outstanding securities other than (A) an employee benefit plan of the Company or any of its Affiliates, (B) a trustee or other fiduciary holding securities under an employee benefit plan of the Company or any of its Affiliates, or (C) an underwriter temporarily holding securities pursuant to an offering of such securities, or</w:t>
      </w:r>
    </w:p>
    <w:p>
      <w:pPr>
        <w:spacing w:after="0" w:line="144" w:lineRule="exact"/>
        <w:rPr>
          <w:rFonts w:ascii="Arial" w:cs="Arial" w:eastAsia="Arial" w:hAnsi="Arial"/>
          <w:sz w:val="18"/>
          <w:szCs w:val="18"/>
          <w:color w:val="auto"/>
        </w:rPr>
      </w:pPr>
    </w:p>
    <w:p>
      <w:pPr>
        <w:ind w:right="20" w:firstLine="1492"/>
        <w:spacing w:after="0" w:line="259" w:lineRule="auto"/>
        <w:tabs>
          <w:tab w:leader="none" w:pos="1791" w:val="left"/>
        </w:tabs>
        <w:numPr>
          <w:ilvl w:val="3"/>
          <w:numId w:val="78"/>
        </w:numPr>
        <w:rPr>
          <w:rFonts w:ascii="Arial" w:cs="Arial" w:eastAsia="Arial" w:hAnsi="Arial"/>
          <w:sz w:val="18"/>
          <w:szCs w:val="18"/>
          <w:color w:val="auto"/>
        </w:rPr>
      </w:pPr>
      <w:r>
        <w:rPr>
          <w:rFonts w:ascii="Arial" w:cs="Arial" w:eastAsia="Arial" w:hAnsi="Arial"/>
          <w:sz w:val="18"/>
          <w:szCs w:val="18"/>
          <w:color w:val="auto"/>
        </w:rPr>
        <w:t>over a period of 36 consecutive months or less, there is a change in the composition of the Board such that a majority of the Board members (rounded up to the next whole number, if a fraction) ceases, by reason of one or more proxy contests for the election of Board members, to be composed of individuals each of whom meet one of the following criteria: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20" w:firstLine="8"/>
        <w:spacing w:after="0" w:line="332" w:lineRule="auto"/>
        <w:tabs>
          <w:tab w:leader="none" w:pos="288" w:val="left"/>
        </w:tabs>
        <w:numPr>
          <w:ilvl w:val="0"/>
          <w:numId w:val="79"/>
        </w:numPr>
        <w:rPr>
          <w:rFonts w:ascii="Arial" w:cs="Arial" w:eastAsia="Arial" w:hAnsi="Arial"/>
          <w:sz w:val="16"/>
          <w:szCs w:val="16"/>
          <w:color w:val="auto"/>
        </w:rPr>
      </w:pPr>
      <w:r>
        <w:rPr>
          <w:rFonts w:ascii="Arial" w:cs="Arial" w:eastAsia="Arial" w:hAnsi="Arial"/>
          <w:sz w:val="16"/>
          <w:szCs w:val="16"/>
          <w:color w:val="auto"/>
        </w:rPr>
        <w:t>have been a Board member continuously since the adoption of this Plan or the beginning of such 36 month period or (B) have been elected or nominated during such 36 month period by at least a majority of the Board members that satisfied the criteria of this subsection (iii) when they were elected or nominated, or</w:t>
      </w:r>
    </w:p>
    <w:p>
      <w:pPr>
        <w:spacing w:after="0" w:line="85" w:lineRule="exact"/>
        <w:rPr>
          <w:rFonts w:ascii="Arial" w:cs="Arial" w:eastAsia="Arial" w:hAnsi="Arial"/>
          <w:sz w:val="16"/>
          <w:szCs w:val="16"/>
          <w:color w:val="auto"/>
        </w:rPr>
      </w:pPr>
    </w:p>
    <w:p>
      <w:pPr>
        <w:ind w:left="1780" w:hanging="288"/>
        <w:spacing w:after="0"/>
        <w:tabs>
          <w:tab w:leader="none" w:pos="1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majority of the Board determines that a Change of Control has occurred,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purposes of this Agreement, the term “Affiliate” means any corporation, partnership, limited liability company, business trust, or other entity controlling, controlled by or under common control with the Company, and “Acquisition” means a merger or consolidation of the Company into another person (</w:t>
      </w:r>
      <w:r>
        <w:rPr>
          <w:rFonts w:ascii="Arial" w:cs="Arial" w:eastAsia="Arial" w:hAnsi="Arial"/>
          <w:sz w:val="18"/>
          <w:szCs w:val="18"/>
          <w:i w:val="1"/>
          <w:iCs w:val="1"/>
          <w:color w:val="auto"/>
        </w:rPr>
        <w:t>i.e.,</w:t>
      </w:r>
      <w:r>
        <w:rPr>
          <w:rFonts w:ascii="Arial" w:cs="Arial" w:eastAsia="Arial" w:hAnsi="Arial"/>
          <w:sz w:val="18"/>
          <w:szCs w:val="18"/>
          <w:color w:val="auto"/>
        </w:rPr>
        <w:t xml:space="preserve"> which merger or consolidation the Company does not survive) or the sale, transfer, or other disposition of all or substantially all of the Company’s assets to one or more persons in a single transaction or series of related transactions.</w:t>
      </w:r>
    </w:p>
    <w:p>
      <w:pPr>
        <w:spacing w:after="0" w:line="143" w:lineRule="exact"/>
        <w:rPr>
          <w:sz w:val="20"/>
          <w:szCs w:val="20"/>
          <w:color w:val="auto"/>
        </w:rPr>
      </w:pPr>
    </w:p>
    <w:p>
      <w:pPr>
        <w:ind w:right="420" w:firstLine="921"/>
        <w:spacing w:after="0" w:line="268" w:lineRule="auto"/>
        <w:tabs>
          <w:tab w:leader="none" w:pos="1162" w:val="left"/>
        </w:tabs>
        <w:numPr>
          <w:ilvl w:val="1"/>
          <w:numId w:val="80"/>
        </w:numPr>
        <w:rPr>
          <w:rFonts w:ascii="Arial" w:cs="Arial" w:eastAsia="Arial" w:hAnsi="Arial"/>
          <w:sz w:val="18"/>
          <w:szCs w:val="18"/>
          <w:color w:val="auto"/>
        </w:rPr>
      </w:pPr>
      <w:r>
        <w:rPr>
          <w:rFonts w:ascii="Arial" w:cs="Arial" w:eastAsia="Arial" w:hAnsi="Arial"/>
          <w:sz w:val="18"/>
          <w:szCs w:val="18"/>
          <w:color w:val="auto"/>
        </w:rPr>
        <w:t>For purposes of this Agreement, “Good Reason Following a Change of Control” means any of the following conditions, which condition(s) remain in effect 60 days after written notice from you to the Chairman of said condition(s):</w:t>
      </w:r>
    </w:p>
    <w:p>
      <w:pPr>
        <w:spacing w:after="0" w:line="131" w:lineRule="exact"/>
        <w:rPr>
          <w:rFonts w:ascii="Arial" w:cs="Arial" w:eastAsia="Arial" w:hAnsi="Arial"/>
          <w:sz w:val="18"/>
          <w:szCs w:val="18"/>
          <w:color w:val="auto"/>
        </w:rPr>
      </w:pPr>
    </w:p>
    <w:p>
      <w:pPr>
        <w:ind w:right="240" w:firstLine="1492"/>
        <w:spacing w:after="0" w:line="268" w:lineRule="auto"/>
        <w:tabs>
          <w:tab w:leader="none" w:pos="1693"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material and adverse change in your position, duties or responsibilities for the Company, as measured against your position, duties or responsibilities immediately prior to the Change of Control; or</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reduction in your base salary as measured against your base salary immediately prior to the Change in Control; or</w:t>
      </w:r>
    </w:p>
    <w:p>
      <w:pPr>
        <w:spacing w:after="0" w:line="171" w:lineRule="exact"/>
        <w:rPr>
          <w:rFonts w:ascii="Arial" w:cs="Arial" w:eastAsia="Arial" w:hAnsi="Arial"/>
          <w:sz w:val="18"/>
          <w:szCs w:val="18"/>
          <w:color w:val="auto"/>
        </w:rPr>
      </w:pPr>
    </w:p>
    <w:p>
      <w:pPr>
        <w:ind w:right="280" w:firstLine="1492"/>
        <w:spacing w:after="0" w:line="268" w:lineRule="auto"/>
        <w:tabs>
          <w:tab w:leader="none" w:pos="1791" w:val="left"/>
        </w:tabs>
        <w:numPr>
          <w:ilvl w:val="2"/>
          <w:numId w:val="80"/>
        </w:numPr>
        <w:rPr>
          <w:rFonts w:ascii="Arial" w:cs="Arial" w:eastAsia="Arial" w:hAnsi="Arial"/>
          <w:sz w:val="18"/>
          <w:szCs w:val="18"/>
          <w:color w:val="auto"/>
        </w:rPr>
      </w:pPr>
      <w:r>
        <w:rPr>
          <w:rFonts w:ascii="Arial" w:cs="Arial" w:eastAsia="Arial" w:hAnsi="Arial"/>
          <w:sz w:val="18"/>
          <w:szCs w:val="18"/>
          <w:color w:val="auto"/>
        </w:rPr>
        <w:t>a material reduction in your employee benefits, other than a reduction that is similarly applicable to a majority of the members of the Company’s executive staff; or</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relocation by more than 75 miles of your Company workplace of Santa Clara, California.</w:t>
      </w:r>
    </w:p>
    <w:p>
      <w:pPr>
        <w:spacing w:after="0" w:line="171" w:lineRule="exact"/>
        <w:rPr>
          <w:rFonts w:ascii="Arial" w:cs="Arial" w:eastAsia="Arial" w:hAnsi="Arial"/>
          <w:sz w:val="18"/>
          <w:szCs w:val="18"/>
          <w:color w:val="auto"/>
        </w:rPr>
      </w:pPr>
    </w:p>
    <w:p>
      <w:pPr>
        <w:ind w:firstLine="464"/>
        <w:spacing w:after="0" w:line="268"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Confidential and Proprietary Information</w:t>
      </w:r>
      <w:r>
        <w:rPr>
          <w:rFonts w:ascii="Arial" w:cs="Arial" w:eastAsia="Arial" w:hAnsi="Arial"/>
          <w:sz w:val="18"/>
          <w:szCs w:val="18"/>
          <w:color w:val="auto"/>
        </w:rPr>
        <w:t>: As a condition of your employment, you agree to sign and abide by the Company’s standard form of employee proprietary information/confidentiality/assignment of inventions agreement.</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Termination Obligations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440" w:firstLine="921"/>
        <w:spacing w:after="0" w:line="306" w:lineRule="auto"/>
        <w:tabs>
          <w:tab w:leader="none" w:pos="1152" w:val="left"/>
        </w:tabs>
        <w:numPr>
          <w:ilvl w:val="1"/>
          <w:numId w:val="81"/>
        </w:numPr>
        <w:rPr>
          <w:rFonts w:ascii="Arial" w:cs="Arial" w:eastAsia="Arial" w:hAnsi="Arial"/>
          <w:sz w:val="16"/>
          <w:szCs w:val="16"/>
          <w:color w:val="auto"/>
        </w:rPr>
      </w:pPr>
      <w:r>
        <w:rPr>
          <w:rFonts w:ascii="Arial" w:cs="Arial" w:eastAsia="Arial" w:hAnsi="Arial"/>
          <w:sz w:val="16"/>
          <w:szCs w:val="16"/>
          <w:color w:val="auto"/>
        </w:rPr>
        <w:t>You agree that all property, including, without limitation, all equipment, proprietary information, documents, books, records, reports, notes, contracts, lists and computer files and data, and copies thereof, created on any medium and furnished to, obtained by, or prepared by you in the course of or incident to your employment, belongs to the Company and shall be returned to the Company promptly upon any termination of your employment.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firstLine="921"/>
        <w:spacing w:after="0" w:line="268" w:lineRule="auto"/>
        <w:tabs>
          <w:tab w:leader="none" w:pos="1162" w:val="left"/>
        </w:tabs>
        <w:numPr>
          <w:ilvl w:val="1"/>
          <w:numId w:val="82"/>
        </w:numPr>
        <w:rPr>
          <w:rFonts w:ascii="Arial" w:cs="Arial" w:eastAsia="Arial" w:hAnsi="Arial"/>
          <w:sz w:val="18"/>
          <w:szCs w:val="18"/>
          <w:color w:val="auto"/>
        </w:rPr>
      </w:pPr>
      <w:r>
        <w:rPr>
          <w:rFonts w:ascii="Arial" w:cs="Arial" w:eastAsia="Arial" w:hAnsi="Arial"/>
          <w:sz w:val="18"/>
          <w:szCs w:val="18"/>
          <w:color w:val="auto"/>
        </w:rPr>
        <w:t>Upon your termination for any reason, and as a condition of your receipt of any severance benefits hereunder, you will promptly resign in writing from all offices and directorships then held with the Company or any affiliate of the Company.</w:t>
      </w:r>
    </w:p>
    <w:p>
      <w:pPr>
        <w:spacing w:after="0" w:line="131" w:lineRule="exact"/>
        <w:rPr>
          <w:rFonts w:ascii="Arial" w:cs="Arial" w:eastAsia="Arial" w:hAnsi="Arial"/>
          <w:sz w:val="18"/>
          <w:szCs w:val="18"/>
          <w:color w:val="auto"/>
        </w:rPr>
      </w:pPr>
    </w:p>
    <w:p>
      <w:pPr>
        <w:ind w:right="380" w:firstLine="921"/>
        <w:spacing w:after="0" w:line="259" w:lineRule="auto"/>
        <w:tabs>
          <w:tab w:leader="none" w:pos="1152" w:val="left"/>
        </w:tabs>
        <w:numPr>
          <w:ilvl w:val="1"/>
          <w:numId w:val="82"/>
        </w:numPr>
        <w:rPr>
          <w:rFonts w:ascii="Arial" w:cs="Arial" w:eastAsia="Arial" w:hAnsi="Arial"/>
          <w:sz w:val="18"/>
          <w:szCs w:val="18"/>
          <w:color w:val="auto"/>
        </w:rPr>
      </w:pPr>
      <w:r>
        <w:rPr>
          <w:rFonts w:ascii="Arial" w:cs="Arial" w:eastAsia="Arial" w:hAnsi="Arial"/>
          <w:sz w:val="18"/>
          <w:szCs w:val="18"/>
          <w:color w:val="auto"/>
        </w:rPr>
        <w:t>Following the termination of your employment with the Company for any reason, you shall fully cooperate with the Company in all matters relating to the winding up of pending work on behalf of the Company and the orderly transfer of work to other employees of the Company. You shall also cooperate in the defense of any action brought by any third party against the Company.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Limitation of Payments and Benefits</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To the extent that any of the payments and benefits provided for in this Agreement or otherwise payable to you (the “Payments”) constitute “parachute payments” within the meaning of Section 280G of the Internal Revenue Code of 1986, as amended (the “Code”), the amount of such Payments shall be either:</w:t>
      </w:r>
    </w:p>
    <w:p>
      <w:pPr>
        <w:spacing w:after="0" w:line="140" w:lineRule="exact"/>
        <w:rPr>
          <w:sz w:val="20"/>
          <w:szCs w:val="20"/>
          <w:color w:val="auto"/>
        </w:rPr>
      </w:pPr>
    </w:p>
    <w:p>
      <w:pPr>
        <w:ind w:left="1160" w:hanging="239"/>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full amount of the Payments, or</w:t>
      </w:r>
    </w:p>
    <w:p>
      <w:pPr>
        <w:spacing w:after="0" w:line="171"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reduced amount that would result in no portion of the Payments being subject to the excise tax imposed pursuant to Section 4999 of the Code (the “Excise Tax”),</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whichever of the foregoing amounts, taking into account the applicable federal, state and local income taxes and the Excise Tax, results in the receipt by you, on an after-tax basis, of the greatest amount of benefit. In the event that any Excise Tax is imposed on the Payments, you will be fully responsible for the payment of any and all Excise Tax, and the Company will not be obligated to pay all or any portion of any Excise Tax.</w:t>
      </w:r>
    </w:p>
    <w:p>
      <w:pPr>
        <w:spacing w:after="0" w:line="107" w:lineRule="exact"/>
        <w:rPr>
          <w:sz w:val="20"/>
          <w:szCs w:val="20"/>
          <w:color w:val="auto"/>
        </w:rPr>
      </w:pPr>
    </w:p>
    <w:p>
      <w:pPr>
        <w:ind w:right="40" w:firstLine="464"/>
        <w:spacing w:after="0" w:line="288" w:lineRule="auto"/>
        <w:tabs>
          <w:tab w:leader="none" w:pos="713"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Other Activities</w:t>
      </w:r>
      <w:r>
        <w:rPr>
          <w:rFonts w:ascii="Arial" w:cs="Arial" w:eastAsia="Arial" w:hAnsi="Arial"/>
          <w:sz w:val="16"/>
          <w:szCs w:val="16"/>
          <w:color w:val="auto"/>
        </w:rPr>
        <w:t>. In order to protect the Company’s valuable proprietary information, you agree that during your employment you will not, as a compensated or uncompensated officer, director, consultant, advisor, partner, joint venturer, investor, independent contractor, employee or otherwise, provide any labor, services, advice or assistance to any entity or its successor involved in the design, manufacture, distribution (directly or indirectly), or integration of any digital microwave products and used in terrestrial microwave point-to-point telecommunications networks anywhere in the world. You acknowledge and agree that the restrictions contained in the preceding sentence are reasonable and necessary. You also agree that for a period of twelve (12) months after your employment terminates, you will not solicit any employee of the Company directly or indirectly to leave employment with the Company for any purpose, including but not limited to for purposes of providing labor, services, advice or assistance to any entity or individual. In the event of your breach of this Paragraph, the Company shall not be obligated to provide you with any further severance payments or benefits subsequent to such breach, in addition to other remedies available under applicable laws.</w:t>
      </w:r>
    </w:p>
    <w:p>
      <w:pPr>
        <w:spacing w:after="0" w:line="119" w:lineRule="exact"/>
        <w:rPr>
          <w:rFonts w:ascii="Arial" w:cs="Arial" w:eastAsia="Arial" w:hAnsi="Arial"/>
          <w:sz w:val="16"/>
          <w:szCs w:val="16"/>
          <w:color w:val="auto"/>
        </w:rPr>
      </w:pPr>
    </w:p>
    <w:p>
      <w:pPr>
        <w:ind w:right="680" w:firstLine="464"/>
        <w:spacing w:after="0" w:line="332" w:lineRule="auto"/>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agree that any suit, action, or proceeding arising out of or relating to this Agreement, the parties’ employment relationship, or the termination of that relationship for any reason, shall be brought in the appropriate state or federal court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appropriate for disputes arising in Santa Clara, California, and you agree to submit to the personal jurisdiction of such court. The parties irrevocably waive, to the fullest extent permitted by law, any objection they may have to the laying of venue for any such suit, action or proceeding brought in such court. If any one or more provisions of this Paragraph 12 shall for any reason be held invalid or unenforceable, it is the specific intent of the parties that such provisions shall be modified to the minimum extent necessary to make it or its application valid and enforceable.</w:t>
      </w:r>
    </w:p>
    <w:p>
      <w:pPr>
        <w:spacing w:after="0" w:line="113" w:lineRule="exact"/>
        <w:rPr>
          <w:sz w:val="20"/>
          <w:szCs w:val="20"/>
          <w:color w:val="auto"/>
        </w:rPr>
      </w:pPr>
    </w:p>
    <w:p>
      <w:pPr>
        <w:ind w:right="40" w:firstLine="464"/>
        <w:spacing w:after="0" w:line="256" w:lineRule="auto"/>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Internal Revenue Code</w:t>
      </w:r>
      <w:r>
        <w:rPr>
          <w:rFonts w:ascii="Arial" w:cs="Arial" w:eastAsia="Arial" w:hAnsi="Arial"/>
          <w:sz w:val="18"/>
          <w:szCs w:val="18"/>
          <w:color w:val="auto"/>
        </w:rPr>
        <w:t>. This Agreement is intended to comply with, or otherwise be exempt from, Section 409A of the Code and the rules and regulations promulgated thereunder (collectively, “Section 409A”). However, the Company has not made and is making no representation to you relating to the tax treatment of any payment pursuant to this Agreement under Section 409A and the corresponding provisions of any applicable State income tax laws.</w:t>
      </w:r>
    </w:p>
    <w:p>
      <w:pPr>
        <w:spacing w:after="0" w:line="143"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Notwithstanding anything to the contrary in this Agreement, any payments or benefits due hereunder upon a termination of employment which are a “deferral of compensation” within the meaning of Section 409A shall only be payable or provided to you upon a “separation from service” as defined for purposes of Section 409A. In addition, if you are a “specified employee” as determined pursuant to Section 409A as of the date of your separation from service, as so defined, and if any payments or entitlements provided for in this Agreement constitute a “deferral of compensation” within the meaning of Section 409A and cannot be paid or provided in the manner provided herein without subjecting you to additional tax, interest or penalties under Section 409A, then any such payment or entitlement which is otherwise payable during the first six months following your separation from service shall be paid or provided to you in a lump sum on the earlier of (i) the first business day of the seventh calendar month immediately following the month in which your separation from service occurs or</w:t>
      </w:r>
    </w:p>
    <w:p>
      <w:pPr>
        <w:ind w:right="120" w:firstLine="8"/>
        <w:spacing w:after="0" w:line="255" w:lineRule="auto"/>
        <w:tabs>
          <w:tab w:leader="none" w:pos="2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of your death. To the extent required to satisfy the provisions of the foregoing sentence with respect to any benefit to be provided in-kind, the Company shall bill you, and you shall promptly pay, the value for tax purposes of any such benefit and the Company shall therefore promptly refund the amount so paid by you as soon as allowed by the foregoing sentence.</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purposes of Section 409A, the right to a series of installment payments under this Agreement shall be treated as a right to a series of separate payments. With respect to any reimbursement of your expenses, or any provision of in-kind benefits to you, as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Section 105(b) of the Code; (2) the reimbursement of an eligible expense shall be made no later than the end of the year after the year in which such expense was incurred; and (3) the right to reimbursement or in-kind benefits shall not be subject to liquidation or exchange for another benefit.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280" w:firstLine="464"/>
        <w:spacing w:after="0" w:line="332" w:lineRule="auto"/>
        <w:tabs>
          <w:tab w:leader="none" w:pos="720"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deemed invalid, illegal or unenforceable, such provision shall be modified so as to make it valid, legal and enforceable, and the validity, legality and enforceability of the remaining provisions of this Agreement shall not in any way be affected.</w:t>
      </w:r>
    </w:p>
    <w:p>
      <w:pPr>
        <w:spacing w:after="0" w:line="85" w:lineRule="exact"/>
        <w:rPr>
          <w:rFonts w:ascii="Arial" w:cs="Arial" w:eastAsia="Arial" w:hAnsi="Arial"/>
          <w:sz w:val="16"/>
          <w:szCs w:val="16"/>
          <w:color w:val="auto"/>
        </w:rPr>
      </w:pPr>
    </w:p>
    <w:p>
      <w:pPr>
        <w:ind w:right="60" w:firstLine="464"/>
        <w:spacing w:after="0" w:line="283" w:lineRule="auto"/>
        <w:tabs>
          <w:tab w:leader="none" w:pos="720"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Confirmation of Rights which Are not Dependent Upon Signing a Release</w:t>
      </w:r>
      <w:r>
        <w:rPr>
          <w:rFonts w:ascii="Arial" w:cs="Arial" w:eastAsia="Arial" w:hAnsi="Arial"/>
          <w:sz w:val="16"/>
          <w:szCs w:val="16"/>
          <w:color w:val="auto"/>
        </w:rPr>
        <w:t>. Whether or not you sign a release as provided in certain provisions of this Agreement, (a) you will be paid all wages due, including any unused accrued vacation, as of your last day of work, (b) your health care coverage as a primary insured under the Company’s health plan will continue through the end of the month in which your last day of work falls, (c) thereafter, you will be eligible for continuation of health insurance at your own expense if you timely elect coverage under the Consolidated Omnibus Budget Reconciliation Act (“COBRA”), and</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will receive information regarding your right to continue health insurance under COBRA.</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Applicable Withholding.</w:t>
      </w:r>
      <w:r>
        <w:rPr>
          <w:rFonts w:ascii="Arial" w:cs="Arial" w:eastAsia="Arial" w:hAnsi="Arial"/>
          <w:sz w:val="16"/>
          <w:szCs w:val="16"/>
          <w:color w:val="auto"/>
        </w:rPr>
        <w:t xml:space="preserve"> All salary, bonus, severance and other payments identified in this Agreement are subject to applicable withholding by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64" w:lineRule="exact"/>
        <w:rPr>
          <w:rFonts w:ascii="Arial" w:cs="Arial" w:eastAsia="Arial" w:hAnsi="Arial"/>
          <w:sz w:val="16"/>
          <w:szCs w:val="16"/>
          <w:color w:val="auto"/>
        </w:rPr>
      </w:pPr>
    </w:p>
    <w:p>
      <w:pPr>
        <w:ind w:right="320" w:firstLine="464"/>
        <w:spacing w:after="0" w:line="268" w:lineRule="auto"/>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In view of the personal nature of the services to be performed under this Agreement by you, you cannot assign or transfer any of your obligations under this Agreement.</w:t>
      </w:r>
    </w:p>
    <w:p>
      <w:pPr>
        <w:spacing w:after="0" w:line="131" w:lineRule="exact"/>
        <w:rPr>
          <w:rFonts w:ascii="Arial" w:cs="Arial" w:eastAsia="Arial" w:hAnsi="Arial"/>
          <w:sz w:val="18"/>
          <w:szCs w:val="18"/>
          <w:color w:val="auto"/>
        </w:rPr>
      </w:pPr>
    </w:p>
    <w:p>
      <w:pPr>
        <w:ind w:firstLine="464"/>
        <w:spacing w:after="0" w:line="255" w:lineRule="auto"/>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agreements referred to above constitute the entire agreement between you and the Company regarding the terms and conditions of your employment, and they supersede all prior negotiations, representations or agreements between you and the Company regarding your employment, whether written or oral. This Agreement sets forth our entire agreement regarding the Company’s obligation to provide you with severance benefits upon any termination of your employment, and you shall not be entitled to receive any other severance benefits from the Company pursuant to any Company severance plan, policy or practice.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and construed in accordance with the law of the State of California.</w:t>
      </w:r>
    </w:p>
    <w:p>
      <w:pPr>
        <w:spacing w:after="0" w:line="171" w:lineRule="exact"/>
        <w:rPr>
          <w:rFonts w:ascii="Arial" w:cs="Arial" w:eastAsia="Arial" w:hAnsi="Arial"/>
          <w:sz w:val="18"/>
          <w:szCs w:val="18"/>
          <w:color w:val="auto"/>
        </w:rPr>
      </w:pPr>
    </w:p>
    <w:p>
      <w:pPr>
        <w:ind w:right="40" w:firstLine="464"/>
        <w:spacing w:after="0" w:line="268" w:lineRule="auto"/>
        <w:tabs>
          <w:tab w:leader="none" w:pos="72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This Agreement may only be modified or amended by a supplemental written agreement signed by you and an authorized representative of the Board.</w:t>
      </w:r>
    </w:p>
    <w:p>
      <w:pPr>
        <w:spacing w:after="0" w:line="131" w:lineRule="exact"/>
        <w:rPr>
          <w:rFonts w:ascii="Arial" w:cs="Arial" w:eastAsia="Arial" w:hAnsi="Arial"/>
          <w:sz w:val="18"/>
          <w:szCs w:val="18"/>
          <w:color w:val="auto"/>
        </w:rPr>
      </w:pPr>
    </w:p>
    <w:p>
      <w:pPr>
        <w:ind w:right="700" w:firstLine="464"/>
        <w:spacing w:after="0" w:line="332" w:lineRule="auto"/>
        <w:tabs>
          <w:tab w:leader="none" w:pos="72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Legal Fees</w:t>
      </w:r>
      <w:r>
        <w:rPr>
          <w:rFonts w:ascii="Arial" w:cs="Arial" w:eastAsia="Arial" w:hAnsi="Arial"/>
          <w:sz w:val="16"/>
          <w:szCs w:val="16"/>
          <w:color w:val="auto"/>
        </w:rPr>
        <w:t>. The Company will reimburse you for the reasonable fees and expenses of your attorney in connection with the negotiation of this Agreement, up to a maximum of $7,500, subject to the Company’s expense reimbursement policies and procedures.</w:t>
      </w:r>
    </w:p>
    <w:p>
      <w:pPr>
        <w:spacing w:after="0" w:line="85" w:lineRule="exact"/>
        <w:rPr>
          <w:rFonts w:ascii="Arial" w:cs="Arial" w:eastAsia="Arial" w:hAnsi="Arial"/>
          <w:sz w:val="16"/>
          <w:szCs w:val="16"/>
          <w:color w:val="auto"/>
        </w:rPr>
      </w:pPr>
    </w:p>
    <w:p>
      <w:pPr>
        <w:ind w:right="400" w:firstLine="464"/>
        <w:spacing w:after="0" w:line="332" w:lineRule="auto"/>
        <w:tabs>
          <w:tab w:leader="none" w:pos="72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Indemnification, Advancement, Insurance</w:t>
      </w:r>
      <w:r>
        <w:rPr>
          <w:rFonts w:ascii="Arial" w:cs="Arial" w:eastAsia="Arial" w:hAnsi="Arial"/>
          <w:sz w:val="16"/>
          <w:szCs w:val="16"/>
          <w:color w:val="auto"/>
        </w:rPr>
        <w:t>. You will be entitled to indemnification and advancement in accordance with the Company’s bylaws as currently in effect. The Company will provide reasonable directors’ and officers’ insurance coverage for its directors and officers, including you.</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Pangia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51" w:lineRule="exact"/>
        <w:rPr>
          <w:sz w:val="20"/>
          <w:szCs w:val="20"/>
          <w:color w:val="auto"/>
        </w:rPr>
      </w:pPr>
    </w:p>
    <w:p>
      <w:pPr>
        <w:ind w:right="939" w:firstLine="456"/>
        <w:spacing w:after="0" w:line="456" w:lineRule="auto"/>
        <w:rPr>
          <w:sz w:val="20"/>
          <w:szCs w:val="20"/>
          <w:color w:val="auto"/>
        </w:rPr>
      </w:pPr>
      <w:r>
        <w:rPr>
          <w:rFonts w:ascii="Arial" w:cs="Arial" w:eastAsia="Arial" w:hAnsi="Arial"/>
          <w:sz w:val="18"/>
          <w:szCs w:val="18"/>
          <w:color w:val="auto"/>
        </w:rPr>
        <w:t>Please sign and date this letter on the spaces provided below to acknowledge your acceptance of the terms of this Agreement. Sincerely,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Charles D.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Charles D. Kissner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and CEO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agree to and accept employment with Aviat Networks, Inc. on the terms and conditions set forth in this Agreement.</w:t>
      </w:r>
    </w:p>
    <w:p>
      <w:pPr>
        <w:spacing w:after="0" w:line="235" w:lineRule="exact"/>
        <w:rPr>
          <w:sz w:val="20"/>
          <w:szCs w:val="20"/>
          <w:color w:val="auto"/>
        </w:rPr>
      </w:pPr>
    </w:p>
    <w:p>
      <w:pPr>
        <w:spacing w:after="0"/>
        <w:tabs>
          <w:tab w:leader="none" w:pos="540" w:val="left"/>
          <w:tab w:leader="none" w:pos="3800" w:val="left"/>
        </w:tabs>
        <w:rPr>
          <w:sz w:val="20"/>
          <w:szCs w:val="20"/>
          <w:color w:val="auto"/>
        </w:rPr>
      </w:pPr>
      <w:r>
        <w:rPr>
          <w:rFonts w:ascii="Arial" w:cs="Arial" w:eastAsia="Arial" w:hAnsi="Arial"/>
          <w:sz w:val="18"/>
          <w:szCs w:val="18"/>
          <w:color w:val="auto"/>
        </w:rPr>
        <w:t>Date:</w:t>
        <w:tab/>
        <w:t>July 18, 2011</w:t>
      </w:r>
      <w:r>
        <w:rPr>
          <w:sz w:val="20"/>
          <w:szCs w:val="20"/>
          <w:color w:val="auto"/>
        </w:rPr>
        <w:tab/>
      </w:r>
      <w:r>
        <w:rPr>
          <w:rFonts w:ascii="Arial" w:cs="Arial" w:eastAsia="Arial" w:hAnsi="Arial"/>
          <w:sz w:val="15"/>
          <w:szCs w:val="15"/>
          <w:color w:val="auto"/>
        </w:rPr>
        <w:t>/s/ Michael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10795</wp:posOffset>
            </wp:positionV>
            <wp:extent cx="17411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Michael Pangia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80"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AS OF JULY 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direct or indirect ownership by Aviat Networks,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color w:val="auto"/>
                <w:w w:val="90"/>
              </w:rPr>
              <w:t>Name of Subsidiary</w:t>
            </w:r>
          </w:p>
        </w:tc>
        <w:tc>
          <w:tcPr>
            <w:tcW w:w="3620" w:type="dxa"/>
            <w:vAlign w:val="bottom"/>
          </w:tcPr>
          <w:p>
            <w:pPr>
              <w:spacing w:after="0"/>
              <w:rPr>
                <w:sz w:val="14"/>
                <w:szCs w:val="14"/>
                <w:color w:val="auto"/>
              </w:rPr>
            </w:pPr>
          </w:p>
        </w:tc>
        <w:tc>
          <w:tcPr>
            <w:tcW w:w="3220" w:type="dxa"/>
            <w:vAlign w:val="bottom"/>
          </w:tcPr>
          <w:p>
            <w:pPr>
              <w:ind w:left="820"/>
              <w:spacing w:after="0"/>
              <w:rPr>
                <w:sz w:val="20"/>
                <w:szCs w:val="20"/>
                <w:color w:val="auto"/>
              </w:rPr>
            </w:pPr>
            <w:r>
              <w:rPr>
                <w:rFonts w:ascii="Arial" w:cs="Arial" w:eastAsia="Arial" w:hAnsi="Arial"/>
                <w:sz w:val="14"/>
                <w:szCs w:val="14"/>
                <w:color w:val="auto"/>
              </w:rPr>
              <w:t>State or Other Jurisdiction of</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3620" w:type="dxa"/>
            <w:vAlign w:val="bottom"/>
          </w:tcPr>
          <w:p>
            <w:pPr>
              <w:spacing w:after="0"/>
              <w:rPr>
                <w:sz w:val="13"/>
                <w:szCs w:val="13"/>
                <w:color w:val="auto"/>
              </w:rPr>
            </w:pPr>
          </w:p>
        </w:tc>
        <w:tc>
          <w:tcPr>
            <w:tcW w:w="3220" w:type="dxa"/>
            <w:vAlign w:val="bottom"/>
            <w:tcBorders>
              <w:bottom w:val="single" w:sz="8" w:color="auto"/>
            </w:tcBorders>
          </w:tcPr>
          <w:p>
            <w:pPr>
              <w:ind w:left="1240"/>
              <w:spacing w:after="0" w:line="146" w:lineRule="exact"/>
              <w:rPr>
                <w:sz w:val="20"/>
                <w:szCs w:val="20"/>
                <w:color w:val="auto"/>
              </w:rPr>
            </w:pPr>
            <w:r>
              <w:rPr>
                <w:rFonts w:ascii="Arial" w:cs="Arial" w:eastAsia="Arial" w:hAnsi="Arial"/>
                <w:sz w:val="14"/>
                <w:szCs w:val="14"/>
                <w:color w:val="auto"/>
              </w:rPr>
              <w:t>Incorporation</w:t>
            </w:r>
          </w:p>
        </w:tc>
        <w:tc>
          <w:tcPr>
            <w:tcW w:w="0" w:type="dxa"/>
            <w:vAlign w:val="bottom"/>
          </w:tcPr>
          <w:p>
            <w:pPr>
              <w:spacing w:after="0"/>
              <w:rPr>
                <w:sz w:val="1"/>
                <w:szCs w:val="1"/>
                <w:color w:val="auto"/>
              </w:rPr>
            </w:pPr>
          </w:p>
        </w:tc>
      </w:tr>
      <w:tr>
        <w:trPr>
          <w:trHeight w:val="208"/>
        </w:trPr>
        <w:tc>
          <w:tcPr>
            <w:tcW w:w="3440" w:type="dxa"/>
            <w:vAlign w:val="bottom"/>
          </w:tcPr>
          <w:p>
            <w:pPr>
              <w:spacing w:after="0" w:line="201" w:lineRule="exact"/>
              <w:rPr>
                <w:sz w:val="20"/>
                <w:szCs w:val="20"/>
                <w:color w:val="auto"/>
              </w:rPr>
            </w:pPr>
            <w:r>
              <w:rPr>
                <w:rFonts w:ascii="Arial" w:cs="Arial" w:eastAsia="Arial" w:hAnsi="Arial"/>
                <w:sz w:val="18"/>
                <w:szCs w:val="18"/>
                <w:color w:val="auto"/>
              </w:rPr>
              <w:t>Aviat Networks Algeria S.A.R.L.</w:t>
            </w:r>
          </w:p>
        </w:tc>
        <w:tc>
          <w:tcPr>
            <w:tcW w:w="1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Algeria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(Australia) Pty. Ltd. .</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(Bangladesh)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Bangladesh</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Aviat Networks Brasil Servicos em Communicacoes Ltda.</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Stratex Networks do Brasil Ltda.</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Canada ULC</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w w:val="92"/>
              </w:rPr>
              <w:t>Aviat Communications Technology (Shenzhen) Company Ltd.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The People’s Republic of China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Harris Communication France S.A.S.</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Stratex Networks S.A.R.L.</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Ghana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Ghana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Holland B.V.</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HK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(India) Private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Telsima Communications Private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Pt. Aviat Networks Indonesia</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Côte d’Ivoire</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Ivory Coast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(Kenya)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Malaysia Sdn. Bhd.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Digital Microwave (Mauritius) Private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México S.A. de C.V.</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(NZ)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Communication Solutions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Stratex Networks Nigeria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(Clark) Corporation</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Philippines, Inc.</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Polska Sp. z.o.o.</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(S) Pte. Ltd.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Republic of Singapore</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Telsima storitveno podjetje, d.o.o.</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Slovenia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(South Africa) (Proprietary)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MAS Technology Holdings (Proprietary)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w w:val="97"/>
              </w:rPr>
              <w:t>DMC Stratex Networks (South Africa) (Proprietary)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Tanzania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Tanzania</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(Thailand) Ltd.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Networks (UK) Limited</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International Holdings, Inc.</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Aviat U.S., Inc.</w:t>
            </w:r>
          </w:p>
        </w:tc>
        <w:tc>
          <w:tcPr>
            <w:tcW w:w="36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Telsima Corporation</w:t>
            </w:r>
          </w:p>
        </w:tc>
        <w:tc>
          <w:tcPr>
            <w:tcW w:w="36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ind w:right="3460" w:firstLine="3464"/>
        <w:spacing w:after="0" w:line="473" w:lineRule="auto"/>
        <w:rPr>
          <w:sz w:val="20"/>
          <w:szCs w:val="20"/>
          <w:color w:val="auto"/>
        </w:rPr>
      </w:pPr>
      <w:r>
        <w:rPr>
          <w:rFonts w:ascii="Arial" w:cs="Arial" w:eastAsia="Arial" w:hAnsi="Arial"/>
          <w:sz w:val="15"/>
          <w:szCs w:val="15"/>
          <w:b w:val="1"/>
          <w:bCs w:val="1"/>
          <w:color w:val="auto"/>
        </w:rPr>
        <w:t xml:space="preserve">Consent of Independent Registered Public Accounting Firm </w:t>
      </w:r>
      <w:r>
        <w:rPr>
          <w:rFonts w:ascii="Arial" w:cs="Arial" w:eastAsia="Arial" w:hAnsi="Arial"/>
          <w:sz w:val="15"/>
          <w:szCs w:val="15"/>
          <w:color w:val="auto"/>
        </w:rPr>
        <w:t>We consent to the incorporation by reference in the following Registration Statements of Aviat Networks, Inc.:</w:t>
      </w:r>
    </w:p>
    <w:p>
      <w:pPr>
        <w:spacing w:after="0" w:line="1"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Registration Statement on Form S-8 (No. 333-140442) pertaining to the Aviat Networks, Inc. 2007 Stock Equity Plan;</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Registration Statement on Form S-8 (No. 333-163542) pertaining to the Aviat Networks, Inc. 2007 Stock Equity Plan and Aviat Networks, Inc. 2010 Employee Stock Purchase Plan;</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Registration Statement (Form S-1 No. 333-140193) pertaining to the registration of 539,195 shares of Class A Common Stock issued or issuable by Aviat Networks, Inc.</w:t>
      </w:r>
    </w:p>
    <w:p>
      <w:pPr>
        <w:spacing w:after="0" w:line="13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of our reports dated September 12, 2011, with respect to the consolidated financial statements and schedule of Aviat Networks, Inc. and the effectiveness of internal control over financial reporting of Aviat Networks, Inc. included in this Annual Report (Form 10-K) for the year ended July 1, 2011.</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2011</w:t>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9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July 1, 2011, of Aviat Networks,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September 12, 2011</w:t>
      </w:r>
      <w:r>
        <w:rPr>
          <w:sz w:val="20"/>
          <w:szCs w:val="20"/>
          <w:color w:val="auto"/>
        </w:rPr>
        <w:tab/>
      </w:r>
      <w:r>
        <w:rPr>
          <w:rFonts w:ascii="Arial" w:cs="Arial" w:eastAsia="Arial" w:hAnsi="Arial"/>
          <w:sz w:val="16"/>
          <w:szCs w:val="16"/>
          <w:color w:val="auto"/>
        </w:rPr>
        <w:t>/s/ Michael A. Pangia</w:t>
      </w:r>
    </w:p>
    <w:p>
      <w:pPr>
        <w:spacing w:after="0" w:line="15" w:lineRule="exact"/>
        <w:rPr>
          <w:sz w:val="20"/>
          <w:szCs w:val="20"/>
          <w:color w:val="auto"/>
        </w:rPr>
      </w:pPr>
    </w:p>
    <w:tbl>
      <w:tblPr>
        <w:tblLayout w:type="fixed"/>
        <w:tblInd w:w="5740" w:type="dxa"/>
        <w:tblCellMar>
          <w:top w:w="0" w:type="dxa"/>
          <w:left w:w="0" w:type="dxa"/>
          <w:bottom w:w="0" w:type="dxa"/>
          <w:right w:w="0" w:type="dxa"/>
        </w:tblCellMar>
      </w:tblP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Michael A. Pangia</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J. Madigan, certify that:</w:t>
      </w:r>
    </w:p>
    <w:p>
      <w:pPr>
        <w:spacing w:after="0" w:line="9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July 1, 2011, of Aviat Networks,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September 12, 2011</w:t>
      </w:r>
      <w:r>
        <w:rPr>
          <w:sz w:val="20"/>
          <w:szCs w:val="20"/>
          <w:color w:val="auto"/>
        </w:rPr>
        <w:tab/>
      </w:r>
      <w:r>
        <w:rPr>
          <w:rFonts w:ascii="Arial" w:cs="Arial" w:eastAsia="Arial" w:hAnsi="Arial"/>
          <w:sz w:val="15"/>
          <w:szCs w:val="15"/>
          <w:color w:val="auto"/>
        </w:rPr>
        <w:t>/s/ John J. Madigan</w:t>
      </w:r>
    </w:p>
    <w:p>
      <w:pPr>
        <w:spacing w:after="0" w:line="15" w:lineRule="exact"/>
        <w:rPr>
          <w:sz w:val="20"/>
          <w:szCs w:val="20"/>
          <w:color w:val="auto"/>
        </w:rPr>
      </w:pPr>
    </w:p>
    <w:tbl>
      <w:tblPr>
        <w:tblLayout w:type="fixed"/>
        <w:tblInd w:w="5740" w:type="dxa"/>
        <w:tblCellMar>
          <w:top w:w="0" w:type="dxa"/>
          <w:left w:w="0" w:type="dxa"/>
          <w:bottom w:w="0" w:type="dxa"/>
          <w:right w:w="0" w:type="dxa"/>
        </w:tblCellMar>
      </w:tblP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John J. Madigan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Vice President, Corporate Controller, Principal</w:t>
            </w:r>
          </w:p>
        </w:tc>
      </w:tr>
      <w:tr>
        <w:trPr>
          <w:trHeight w:val="222"/>
        </w:trPr>
        <w:tc>
          <w:tcPr>
            <w:tcW w:w="62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Accounting Officer and Interim Chief Financial Officer</w:t>
            </w:r>
          </w:p>
        </w:tc>
      </w:tr>
    </w:tbl>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Section 1350 of Chapter 63 of Title 18 of the United States Code as Adopted Pursuant to Section 906 of the Sarbanes-Oxley Act of 2002</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July 1, 2011, as filed with the Securities and Exchange Commission on the date hereof (the “Report”), the undersigned, Michael A. Pangia, hereby certifies, pursuant to Section 906 of the Sarbanes-Oxley Act of 2002, 18 U.S.C. §1350, that:</w:t>
      </w:r>
    </w:p>
    <w:p>
      <w:pPr>
        <w:spacing w:after="0" w:line="5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17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September 12, 2011</w:t>
      </w:r>
      <w:r>
        <w:rPr>
          <w:sz w:val="20"/>
          <w:szCs w:val="20"/>
          <w:color w:val="auto"/>
        </w:rPr>
        <w:tab/>
      </w:r>
      <w:r>
        <w:rPr>
          <w:rFonts w:ascii="Arial" w:cs="Arial" w:eastAsia="Arial" w:hAnsi="Arial"/>
          <w:sz w:val="15"/>
          <w:szCs w:val="15"/>
          <w:color w:val="auto"/>
        </w:rPr>
        <w:t>/s/ Michael A. Pangia</w:t>
      </w:r>
    </w:p>
    <w:p>
      <w:pPr>
        <w:spacing w:after="0" w:line="15" w:lineRule="exact"/>
        <w:rPr>
          <w:sz w:val="20"/>
          <w:szCs w:val="20"/>
          <w:color w:val="auto"/>
        </w:rPr>
      </w:pPr>
    </w:p>
    <w:tbl>
      <w:tblPr>
        <w:tblLayout w:type="fixed"/>
        <w:tblInd w:w="5740" w:type="dxa"/>
        <w:tblCellMar>
          <w:top w:w="0" w:type="dxa"/>
          <w:left w:w="0" w:type="dxa"/>
          <w:bottom w:w="0" w:type="dxa"/>
          <w:right w:w="0" w:type="dxa"/>
        </w:tblCellMar>
      </w:tblP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Michael A. Pangia</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Chapter 63 of Title 18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July 1, 2011, as filed with the Securities and Exchange Commission on the date hereof (the “Report”), the undersigned, John J. Madigan, hereby certifies, pursuant to Section 906 of the Sarbanes-Oxley Act of 2002, 18 U.S.C. §1350, that:</w:t>
      </w:r>
    </w:p>
    <w:p>
      <w:pPr>
        <w:spacing w:after="0" w:line="59"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17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September 12, 2011</w:t>
      </w:r>
      <w:r>
        <w:rPr>
          <w:sz w:val="20"/>
          <w:szCs w:val="20"/>
          <w:color w:val="auto"/>
        </w:rPr>
        <w:tab/>
      </w:r>
      <w:r>
        <w:rPr>
          <w:rFonts w:ascii="Arial" w:cs="Arial" w:eastAsia="Arial" w:hAnsi="Arial"/>
          <w:sz w:val="15"/>
          <w:szCs w:val="15"/>
          <w:color w:val="auto"/>
        </w:rPr>
        <w:t>/s/ John J. Madigan</w:t>
      </w:r>
    </w:p>
    <w:p>
      <w:pPr>
        <w:spacing w:after="0" w:line="15" w:lineRule="exact"/>
        <w:rPr>
          <w:sz w:val="20"/>
          <w:szCs w:val="20"/>
          <w:color w:val="auto"/>
        </w:rPr>
      </w:pPr>
    </w:p>
    <w:tbl>
      <w:tblPr>
        <w:tblLayout w:type="fixed"/>
        <w:tblInd w:w="5740" w:type="dxa"/>
        <w:tblCellMar>
          <w:top w:w="0" w:type="dxa"/>
          <w:left w:w="0" w:type="dxa"/>
          <w:bottom w:w="0" w:type="dxa"/>
          <w:right w:w="0" w:type="dxa"/>
        </w:tblCellMar>
      </w:tblP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John J. Madigan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60"/>
              <w:spacing w:after="0"/>
              <w:rPr>
                <w:sz w:val="20"/>
                <w:szCs w:val="20"/>
                <w:color w:val="auto"/>
              </w:rPr>
            </w:pPr>
            <w:r>
              <w:rPr>
                <w:rFonts w:ascii="Arial" w:cs="Arial" w:eastAsia="Arial" w:hAnsi="Arial"/>
                <w:sz w:val="18"/>
                <w:szCs w:val="18"/>
                <w:color w:val="auto"/>
              </w:rPr>
              <w:t>Vice President, Corporate Controller, Principal</w:t>
            </w:r>
          </w:p>
        </w:tc>
      </w:tr>
      <w:tr>
        <w:trPr>
          <w:trHeight w:val="222"/>
        </w:trPr>
        <w:tc>
          <w:tcPr>
            <w:tcW w:w="620" w:type="dxa"/>
            <w:vAlign w:val="bottom"/>
          </w:tcPr>
          <w:p>
            <w:pPr>
              <w:spacing w:after="0"/>
              <w:rPr>
                <w:sz w:val="19"/>
                <w:szCs w:val="19"/>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Accounting Officer and Interim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1)"/>
      <w:numFmt w:val="lowerRoman"/>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1)"/>
      <w:numFmt w:val="decimal"/>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decimal"/>
      <w:start w:val="2"/>
    </w:lvl>
  </w:abstractNum>
  <w:abstractNum w:abstractNumId="27">
    <w:nsid w:val="10233C99"/>
    <w:multiLevelType w:val="hybridMultilevel"/>
    <w:lvl w:ilvl="0">
      <w:lvlJc w:val="left"/>
      <w:lvlText w:val="(%1)"/>
      <w:numFmt w:val="lowerRoman"/>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3"/>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2"/>
    </w:lvl>
  </w:abstractNum>
  <w:abstractNum w:abstractNumId="32">
    <w:nsid w:val="579BE4F1"/>
    <w:multiLevelType w:val="hybridMultilevel"/>
    <w:lvl w:ilvl="0">
      <w:lvlJc w:val="left"/>
      <w:lvlText w:val="%1"/>
      <w:numFmt w:val="decimal"/>
      <w:start w:val="1"/>
    </w:lvl>
    <w:lvl w:ilvl="1">
      <w:lvlJc w:val="left"/>
      <w:lvlText w:val="(%2)"/>
      <w:numFmt w:val="lowerLetter"/>
      <w:start w:val="1"/>
    </w:lvl>
  </w:abstractNum>
  <w:abstractNum w:abstractNumId="33">
    <w:nsid w:val="310C50B3"/>
    <w:multiLevelType w:val="hybridMultilevel"/>
    <w:lvl w:ilvl="0">
      <w:lvlJc w:val="left"/>
      <w:lvlText w:val="%1."/>
      <w:numFmt w:val="decimal"/>
      <w:start w:val="1"/>
    </w:lvl>
    <w:lvl w:ilvl="1">
      <w:lvlJc w:val="left"/>
      <w:lvlText w:val="%2"/>
      <w:numFmt w:val="lowerLetter"/>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2"/>
    </w:lvl>
    <w:lvl w:ilvl="1">
      <w:lvlJc w:val="left"/>
      <w:lvlText w:val="(%2)"/>
      <w:numFmt w:val="lowerLetter"/>
      <w:start w:val="1"/>
    </w:lvl>
  </w:abstractNum>
  <w:abstractNum w:abstractNumId="38">
    <w:nsid w:val="4AD084E9"/>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9"/>
    </w:lvl>
  </w:abstractNum>
  <w:abstractNum w:abstractNumId="39">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0">
    <w:nsid w:val="1381823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1">
    <w:nsid w:val="5DB70AE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2">
    <w:nsid w:val="100F8FC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3">
    <w:nsid w:val="6590700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4">
    <w:nsid w:val="15014AC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45">
    <w:nsid w:val="5F5E7FD0"/>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46">
    <w:nsid w:val="98A314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7">
    <w:nsid w:val="799D0247"/>
    <w:multiLevelType w:val="hybridMultilevel"/>
    <w:lvl w:ilvl="0">
      <w:lvlJc w:val="left"/>
      <w:lvlText w:val="(%1)"/>
      <w:numFmt w:val="lowerRoman"/>
      <w:start w:val="2"/>
    </w:lvl>
  </w:abstractNum>
  <w:abstractNum w:abstractNumId="48">
    <w:nsid w:val="6B94764"/>
    <w:multiLevelType w:val="hybridMultilevel"/>
    <w:lvl w:ilvl="0">
      <w:lvlJc w:val="left"/>
      <w:lvlText w:val="%1."/>
      <w:numFmt w:val="decimal"/>
      <w:start w:val="7"/>
    </w:lvl>
    <w:lvl w:ilvl="1">
      <w:lvlJc w:val="left"/>
      <w:lvlText w:val="(%2)"/>
      <w:numFmt w:val="lowerLetter"/>
      <w:start w:val="1"/>
    </w:lvl>
  </w:abstractNum>
  <w:abstractNum w:abstractNumId="49">
    <w:nsid w:val="42C296BD"/>
    <w:multiLevelType w:val="hybridMultilevel"/>
    <w:lvl w:ilvl="0">
      <w:lvlJc w:val="left"/>
      <w:lvlText w:val="%1"/>
      <w:numFmt w:val="decimal"/>
      <w:start w:val="1"/>
    </w:lvl>
    <w:lvl w:ilvl="1">
      <w:lvlJc w:val="left"/>
      <w:lvlText w:val="(%2)"/>
      <w:numFmt w:val="lowerLetter"/>
      <w:start w:val="2"/>
    </w:lvl>
  </w:abstractNum>
  <w:abstractNum w:abstractNumId="50">
    <w:nsid w:val="168E121F"/>
    <w:multiLevelType w:val="hybridMultilevel"/>
    <w:lvl w:ilvl="0">
      <w:lvlJc w:val="left"/>
      <w:lvlText w:val="%1."/>
      <w:numFmt w:val="decimal"/>
      <w:start w:val="9"/>
    </w:lvl>
    <w:lvl w:ilvl="1">
      <w:lvlJc w:val="left"/>
      <w:lvlText w:val="%2"/>
      <w:numFmt w:val="lowerLetter"/>
      <w:start w:val="1"/>
    </w:lvl>
  </w:abstractNum>
  <w:abstractNum w:abstractNumId="51">
    <w:nsid w:val="1EBA5D23"/>
    <w:multiLevelType w:val="hybridMultilevel"/>
    <w:lvl w:ilvl="0">
      <w:lvlJc w:val="left"/>
      <w:lvlText w:val="(%1)"/>
      <w:numFmt w:val="lowerLetter"/>
      <w:start w:val="1"/>
    </w:lvl>
  </w:abstractNum>
  <w:abstractNum w:abstractNumId="52">
    <w:nsid w:val="661E3F1E"/>
    <w:multiLevelType w:val="hybridMultilevel"/>
    <w:lvl w:ilvl="0">
      <w:lvlJc w:val="left"/>
      <w:lvlText w:val="%1."/>
      <w:numFmt w:val="decimal"/>
      <w:start w:val="10"/>
    </w:lvl>
  </w:abstractNum>
  <w:abstractNum w:abstractNumId="53">
    <w:nsid w:val="5DC79EA8"/>
    <w:multiLevelType w:val="hybridMultilevel"/>
    <w:lvl w:ilvl="0">
      <w:lvlJc w:val="left"/>
      <w:lvlText w:val="%1."/>
      <w:numFmt w:val="decimal"/>
      <w:start w:val="11"/>
    </w:lvl>
  </w:abstractNum>
  <w:abstractNum w:abstractNumId="54">
    <w:nsid w:val="540A471C"/>
    <w:multiLevelType w:val="hybridMultilevel"/>
    <w:lvl w:ilvl="0">
      <w:lvlJc w:val="left"/>
      <w:lvlText w:val="(%1)"/>
      <w:numFmt w:val="lowerRoman"/>
      <w:start w:val="2"/>
    </w:lvl>
  </w:abstractNum>
  <w:abstractNum w:abstractNumId="55">
    <w:nsid w:val="7BD3EE7B"/>
    <w:multiLevelType w:val="hybridMultilevel"/>
    <w:lvl w:ilvl="0">
      <w:lvlJc w:val="left"/>
      <w:lvlText w:val="%1."/>
      <w:numFmt w:val="decimal"/>
      <w:start w:val="13"/>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decimal"/>
      <w:start w:val="3"/>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7"/>
    </w:lvl>
  </w:abstractNum>
  <w:abstractNum w:abstractNumId="60">
    <w:nsid w:val="42963E5A"/>
    <w:multiLevelType w:val="hybridMultilevel"/>
    <w:lvl w:ilvl="0">
      <w:lvlJc w:val="left"/>
      <w:lvlText w:val="%1."/>
      <w:numFmt w:val="decimal"/>
      <w:start w:val="6"/>
    </w:lvl>
  </w:abstractNum>
  <w:abstractNum w:abstractNumId="61">
    <w:nsid w:val="A0382C5"/>
    <w:multiLevelType w:val="hybridMultilevel"/>
    <w:lvl w:ilvl="0">
      <w:lvlJc w:val="left"/>
      <w:lvlText w:val="%1"/>
      <w:numFmt w:val="decimal"/>
      <w:start w:val="1"/>
    </w:lvl>
    <w:lvl w:ilvl="1">
      <w:lvlJc w:val="left"/>
      <w:lvlText w:val="(%2)"/>
      <w:numFmt w:val="lowerLetter"/>
      <w:start w:val="1"/>
    </w:lvl>
  </w:abstractNum>
  <w:abstractNum w:abstractNumId="62">
    <w:nsid w:val="8F2B15E"/>
    <w:multiLevelType w:val="hybridMultilevel"/>
    <w:lvl w:ilvl="0">
      <w:lvlJc w:val="left"/>
      <w:lvlText w:val="%1."/>
      <w:numFmt w:val="decimal"/>
      <w:start w:val="7"/>
    </w:lvl>
    <w:lvl w:ilvl="1">
      <w:lvlJc w:val="left"/>
      <w:lvlText w:val="%2"/>
      <w:numFmt w:val="lowerLetter"/>
      <w:start w:val="1"/>
    </w:lvl>
  </w:abstractNum>
  <w:abstractNum w:abstractNumId="63">
    <w:nsid w:val="1A32234B"/>
    <w:multiLevelType w:val="hybridMultilevel"/>
    <w:lvl w:ilvl="0">
      <w:lvlJc w:val="left"/>
      <w:lvlText w:val="%1."/>
      <w:numFmt w:val="decimal"/>
      <w:start w:val="9"/>
    </w:lvl>
  </w:abstractNum>
  <w:abstractNum w:abstractNumId="64">
    <w:nsid w:val="3B0FD379"/>
    <w:multiLevelType w:val="hybridMultilevel"/>
    <w:lvl w:ilvl="0">
      <w:lvlJc w:val="left"/>
      <w:lvlText w:val="%1."/>
      <w:numFmt w:val="decimal"/>
      <w:start w:val="10"/>
    </w:lvl>
  </w:abstractNum>
  <w:abstractNum w:abstractNumId="65">
    <w:nsid w:val="68EB2F63"/>
    <w:multiLevelType w:val="hybridMultilevel"/>
    <w:lvl w:ilvl="0">
      <w:lvlJc w:val="left"/>
      <w:lvlText w:val="%1."/>
      <w:numFmt w:val="decimal"/>
      <w:start w:val="15"/>
    </w:lvl>
  </w:abstractNum>
  <w:abstractNum w:abstractNumId="66">
    <w:nsid w:val="4962813B"/>
    <w:multiLevelType w:val="hybridMultilevel"/>
    <w:lvl w:ilvl="0">
      <w:lvlJc w:val="left"/>
      <w:lvlText w:val="%1."/>
      <w:numFmt w:val="decimal"/>
      <w:start w:val="1"/>
    </w:lvl>
    <w:lvl w:ilvl="1">
      <w:lvlJc w:val="left"/>
      <w:lvlText w:val="(%2)"/>
      <w:numFmt w:val="lowerLetter"/>
      <w:start w:val="1"/>
    </w:lvl>
  </w:abstractNum>
  <w:abstractNum w:abstractNumId="67">
    <w:nsid w:val="60B6DF70"/>
    <w:multiLevelType w:val="hybridMultilevel"/>
    <w:lvl w:ilvl="0">
      <w:lvlJc w:val="left"/>
      <w:lvlText w:val="%1"/>
      <w:numFmt w:val="decimal"/>
      <w:start w:val="1"/>
    </w:lvl>
    <w:lvl w:ilvl="1">
      <w:lvlJc w:val="left"/>
      <w:lvlText w:val="(%2)"/>
      <w:numFmt w:val="lowerLetter"/>
      <w:start w:val="2"/>
    </w:lvl>
  </w:abstractNum>
  <w:abstractNum w:abstractNumId="68">
    <w:nsid w:val="6A5EE64"/>
    <w:multiLevelType w:val="hybridMultilevel"/>
    <w:lvl w:ilvl="0">
      <w:lvlJc w:val="left"/>
      <w:lvlText w:val="%1."/>
      <w:numFmt w:val="decimal"/>
      <w:start w:val="4"/>
    </w:lvl>
    <w:lvl w:ilvl="1">
      <w:lvlJc w:val="left"/>
      <w:lvlText w:val="(%2)"/>
      <w:numFmt w:val="lowerLetter"/>
      <w:start w:val="1"/>
    </w:lvl>
  </w:abstractNum>
  <w:abstractNum w:abstractNumId="69">
    <w:nsid w:val="14330624"/>
    <w:multiLevelType w:val="hybridMultilevel"/>
    <w:lvl w:ilvl="0">
      <w:lvlJc w:val="left"/>
      <w:lvlText w:val="(%1)"/>
      <w:numFmt w:val="lowerLetter"/>
      <w:start w:val="4"/>
    </w:lvl>
  </w:abstractNum>
  <w:abstractNum w:abstractNumId="70">
    <w:nsid w:val="7FFFCA11"/>
    <w:multiLevelType w:val="hybridMultilevel"/>
    <w:lvl w:ilvl="0">
      <w:lvlJc w:val="left"/>
      <w:lvlText w:val="%1."/>
      <w:numFmt w:val="decimal"/>
      <w:start w:val="5"/>
    </w:lvl>
    <w:lvl w:ilvl="1">
      <w:lvlJc w:val="left"/>
      <w:lvlText w:val="(%2)"/>
      <w:numFmt w:val="lowerLetter"/>
      <w:start w:val="1"/>
    </w:lvl>
  </w:abstractNum>
  <w:abstractNum w:abstractNumId="71">
    <w:nsid w:val="1A27709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2">
    <w:nsid w:val="71EA1109"/>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73">
    <w:nsid w:val="100F59DC"/>
    <w:multiLevelType w:val="hybridMultilevel"/>
    <w:lvl w:ilvl="0">
      <w:lvlJc w:val="left"/>
      <w:lvlText w:val="%1"/>
      <w:numFmt w:val="lowerLetter"/>
      <w:start w:val="1"/>
    </w:lvl>
    <w:lvl w:ilvl="1">
      <w:lvlJc w:val="left"/>
      <w:lvlText w:val="(%2)"/>
      <w:numFmt w:val="lowerRoman"/>
      <w:start w:val="4"/>
    </w:lvl>
  </w:abstractNum>
  <w:abstractNum w:abstractNumId="74">
    <w:nsid w:val="7FB7E0AA"/>
    <w:multiLevelType w:val="hybridMultilevel"/>
    <w:lvl w:ilvl="0">
      <w:lvlJc w:val="left"/>
      <w:lvlText w:val="(%1)"/>
      <w:numFmt w:val="lowerLetter"/>
      <w:start w:val="4"/>
    </w:lvl>
    <w:lvl w:ilvl="1">
      <w:lvlJc w:val="left"/>
      <w:lvlText w:val="(%2)"/>
      <w:numFmt w:val="lowerRoman"/>
      <w:start w:val="1"/>
    </w:lvl>
  </w:abstractNum>
  <w:abstractNum w:abstractNumId="75">
    <w:nsid w:val="6EB5BD4"/>
    <w:multiLevelType w:val="hybridMultilevel"/>
    <w:lvl w:ilvl="0">
      <w:lvlJc w:val="left"/>
      <w:lvlText w:val="(%1)"/>
      <w:numFmt w:val="lowerLetter"/>
      <w:start w:val="5"/>
    </w:lvl>
  </w:abstractNum>
  <w:abstractNum w:abstractNumId="76">
    <w:nsid w:val="6F6DD9AC"/>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77">
    <w:nsid w:val="94211F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78">
    <w:nsid w:val="885E1B"/>
    <w:multiLevelType w:val="hybridMultilevel"/>
    <w:lvl w:ilvl="0">
      <w:lvlJc w:val="left"/>
      <w:lvlText w:val="(%1)"/>
      <w:numFmt w:val="upperLetter"/>
      <w:start w:val="1"/>
    </w:lvl>
    <w:lvl w:ilvl="1">
      <w:lvlJc w:val="left"/>
      <w:lvlText w:val="(%2)"/>
      <w:numFmt w:val="lowerRoman"/>
      <w:start w:val="4"/>
    </w:lvl>
  </w:abstractNum>
  <w:abstractNum w:abstractNumId="79">
    <w:nsid w:val="7627211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0">
    <w:nsid w:val="4C04A8A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1">
    <w:nsid w:val="1716703B"/>
    <w:multiLevelType w:val="hybridMultilevel"/>
    <w:lvl w:ilvl="0">
      <w:lvlJc w:val="left"/>
      <w:lvlText w:val="%1"/>
      <w:numFmt w:val="decimal"/>
      <w:start w:val="1"/>
    </w:lvl>
    <w:lvl w:ilvl="1">
      <w:lvlJc w:val="left"/>
      <w:lvlText w:val="(%2)"/>
      <w:numFmt w:val="lowerLetter"/>
      <w:start w:val="2"/>
    </w:lvl>
  </w:abstractNum>
  <w:abstractNum w:abstractNumId="82">
    <w:nsid w:val="14E17E33"/>
    <w:multiLevelType w:val="hybridMultilevel"/>
    <w:lvl w:ilvl="0">
      <w:lvlJc w:val="left"/>
      <w:lvlText w:val="%1."/>
      <w:numFmt w:val="decimal"/>
      <w:start w:val="10"/>
    </w:lvl>
    <w:lvl w:ilvl="1">
      <w:lvlJc w:val="left"/>
      <w:lvlText w:val="%2"/>
      <w:numFmt w:val="lowerLetter"/>
      <w:start w:val="1"/>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decimal"/>
      <w:start w:val="11"/>
    </w:lvl>
  </w:abstractNum>
  <w:abstractNum w:abstractNumId="85">
    <w:nsid w:val="68EBC550"/>
    <w:multiLevelType w:val="hybridMultilevel"/>
    <w:lvl w:ilvl="0">
      <w:lvlJc w:val="left"/>
      <w:lvlText w:val="%1."/>
      <w:numFmt w:val="decimal"/>
      <w:start w:val="13"/>
    </w:lvl>
  </w:abstractNum>
  <w:abstractNum w:abstractNumId="86">
    <w:nsid w:val="2DF6D648"/>
    <w:multiLevelType w:val="hybridMultilevel"/>
    <w:lvl w:ilvl="0">
      <w:lvlJc w:val="left"/>
      <w:lvlText w:val="(%1)"/>
      <w:numFmt w:val="lowerRoman"/>
      <w:start w:val="2"/>
    </w:lvl>
  </w:abstractNum>
  <w:abstractNum w:abstractNumId="87">
    <w:nsid w:val="46B7D447"/>
    <w:multiLevelType w:val="hybridMultilevel"/>
    <w:lvl w:ilvl="0">
      <w:lvlJc w:val="left"/>
      <w:lvlText w:val="%1"/>
      <w:numFmt w:val="lowerLetter"/>
      <w:start w:val="1"/>
    </w:lvl>
    <w:lvl w:ilvl="1">
      <w:lvlJc w:val="left"/>
      <w:lvlText w:val="%2."/>
      <w:numFmt w:val="decimal"/>
      <w:start w:val="14"/>
    </w:lvl>
  </w:abstractNum>
  <w:abstractNum w:abstractNumId="88">
    <w:nsid w:val="4A2AC315"/>
    <w:multiLevelType w:val="hybridMultilevel"/>
    <w:lvl w:ilvl="0">
      <w:lvlJc w:val="left"/>
      <w:lvlText w:val="(%1)"/>
      <w:numFmt w:val="lowerLetter"/>
      <w:start w:val="4"/>
    </w:lvl>
    <w:lvl w:ilvl="1">
      <w:lvlJc w:val="left"/>
      <w:lvlText w:val="%2."/>
      <w:numFmt w:val="decimal"/>
      <w:start w:val="16"/>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2019-12-11T04:28:36Z</dcterms:created>
  <dcterms:modified xsi:type="dcterms:W3CDTF">2019-12-11T04:28:36Z</dcterms:modified>
</cp:coreProperties>
</file>