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500" w:right="42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January 1, 2016</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500" w:right="400" w:hanging="451"/>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450850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AVIAT NETWORKS,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5" w:lineRule="exact"/>
        <w:rPr>
          <w:sz w:val="24"/>
          <w:szCs w:val="24"/>
          <w:color w:val="auto"/>
        </w:rPr>
      </w:pPr>
    </w:p>
    <w:tbl>
      <w:tblPr>
        <w:tblLayout w:type="fixed"/>
        <w:tblInd w:w="1480" w:type="dxa"/>
        <w:tblCellMar>
          <w:top w:w="0" w:type="dxa"/>
          <w:left w:w="0" w:type="dxa"/>
          <w:bottom w:w="0" w:type="dxa"/>
          <w:right w:w="0" w:type="dxa"/>
        </w:tblCellMar>
      </w:tblPr>
      <w:tr>
        <w:trPr>
          <w:trHeight w:val="262"/>
        </w:trPr>
        <w:tc>
          <w:tcPr>
            <w:tcW w:w="6340" w:type="dxa"/>
            <w:vAlign w:val="bottom"/>
          </w:tcPr>
          <w:p>
            <w:pPr>
              <w:jc w:val="center"/>
              <w:ind w:right="3590"/>
              <w:spacing w:after="0"/>
              <w:rPr>
                <w:sz w:val="20"/>
                <w:szCs w:val="20"/>
                <w:color w:val="auto"/>
              </w:rPr>
            </w:pPr>
            <w:r>
              <w:rPr>
                <w:rFonts w:ascii="Times New Roman" w:cs="Times New Roman" w:eastAsia="Times New Roman" w:hAnsi="Times New Roman"/>
                <w:sz w:val="20"/>
                <w:szCs w:val="20"/>
                <w:b w:val="1"/>
                <w:bCs w:val="1"/>
                <w:color w:val="auto"/>
                <w:w w:val="96"/>
              </w:rPr>
              <w:t>Delaware</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20"/>
                <w:szCs w:val="20"/>
                <w:b w:val="1"/>
                <w:bCs w:val="1"/>
                <w:color w:val="auto"/>
              </w:rPr>
              <w:t>20-5961564</w:t>
            </w:r>
          </w:p>
        </w:tc>
      </w:tr>
      <w:tr>
        <w:trPr>
          <w:trHeight w:val="235"/>
        </w:trPr>
        <w:tc>
          <w:tcPr>
            <w:tcW w:w="6340" w:type="dxa"/>
            <w:vAlign w:val="bottom"/>
          </w:tcPr>
          <w:p>
            <w:pPr>
              <w:jc w:val="center"/>
              <w:ind w:right="359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6340" w:type="dxa"/>
            <w:vAlign w:val="bottom"/>
          </w:tcPr>
          <w:p>
            <w:pPr>
              <w:jc w:val="center"/>
              <w:ind w:right="359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8"/>
        </w:trPr>
        <w:tc>
          <w:tcPr>
            <w:tcW w:w="6340" w:type="dxa"/>
            <w:vAlign w:val="bottom"/>
          </w:tcPr>
          <w:p>
            <w:pPr>
              <w:jc w:val="center"/>
              <w:ind w:right="3570"/>
              <w:spacing w:after="0"/>
              <w:rPr>
                <w:sz w:val="20"/>
                <w:szCs w:val="20"/>
                <w:color w:val="auto"/>
              </w:rPr>
            </w:pPr>
            <w:r>
              <w:rPr>
                <w:rFonts w:ascii="Times New Roman" w:cs="Times New Roman" w:eastAsia="Times New Roman" w:hAnsi="Times New Roman"/>
                <w:sz w:val="20"/>
                <w:szCs w:val="20"/>
                <w:b w:val="1"/>
                <w:bCs w:val="1"/>
                <w:color w:val="auto"/>
                <w:w w:val="98"/>
              </w:rPr>
              <w:t>5200 Great America Parkway</w:t>
            </w:r>
          </w:p>
        </w:tc>
        <w:tc>
          <w:tcPr>
            <w:tcW w:w="1560" w:type="dxa"/>
            <w:vAlign w:val="bottom"/>
          </w:tcPr>
          <w:p>
            <w:pPr>
              <w:spacing w:after="0"/>
              <w:rPr>
                <w:sz w:val="24"/>
                <w:szCs w:val="24"/>
                <w:color w:val="auto"/>
              </w:rPr>
            </w:pPr>
          </w:p>
        </w:tc>
      </w:tr>
      <w:tr>
        <w:trPr>
          <w:trHeight w:val="262"/>
        </w:trPr>
        <w:tc>
          <w:tcPr>
            <w:tcW w:w="6340" w:type="dxa"/>
            <w:vAlign w:val="bottom"/>
          </w:tcPr>
          <w:p>
            <w:pPr>
              <w:jc w:val="center"/>
              <w:ind w:right="3590"/>
              <w:spacing w:after="0"/>
              <w:rPr>
                <w:sz w:val="20"/>
                <w:szCs w:val="20"/>
                <w:color w:val="auto"/>
              </w:rPr>
            </w:pPr>
            <w:r>
              <w:rPr>
                <w:rFonts w:ascii="Times New Roman" w:cs="Times New Roman" w:eastAsia="Times New Roman" w:hAnsi="Times New Roman"/>
                <w:sz w:val="20"/>
                <w:szCs w:val="20"/>
                <w:b w:val="1"/>
                <w:bCs w:val="1"/>
                <w:color w:val="auto"/>
                <w:w w:val="98"/>
              </w:rPr>
              <w:t>Santa Clara, California</w:t>
            </w:r>
          </w:p>
        </w:tc>
        <w:tc>
          <w:tcPr>
            <w:tcW w:w="1560" w:type="dxa"/>
            <w:vAlign w:val="bottom"/>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95054</w:t>
            </w:r>
          </w:p>
        </w:tc>
      </w:tr>
      <w:tr>
        <w:trPr>
          <w:trHeight w:val="245"/>
        </w:trPr>
        <w:tc>
          <w:tcPr>
            <w:tcW w:w="6340" w:type="dxa"/>
            <w:vAlign w:val="bottom"/>
          </w:tcPr>
          <w:p>
            <w:pPr>
              <w:jc w:val="center"/>
              <w:ind w:right="357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55"/>
        </w:trPr>
        <w:tc>
          <w:tcPr>
            <w:tcW w:w="6340" w:type="dxa"/>
            <w:vAlign w:val="bottom"/>
          </w:tcPr>
          <w:p>
            <w:pPr>
              <w:jc w:val="right"/>
              <w:ind w:right="1390"/>
              <w:spacing w:after="0"/>
              <w:rPr>
                <w:sz w:val="20"/>
                <w:szCs w:val="20"/>
                <w:color w:val="auto"/>
              </w:rPr>
            </w:pPr>
            <w:r>
              <w:rPr>
                <w:rFonts w:ascii="Times New Roman" w:cs="Times New Roman" w:eastAsia="Times New Roman" w:hAnsi="Times New Roman"/>
                <w:sz w:val="20"/>
                <w:szCs w:val="20"/>
                <w:b w:val="1"/>
                <w:bCs w:val="1"/>
                <w:color w:val="auto"/>
              </w:rPr>
              <w:t>(408) 567-7000</w:t>
            </w:r>
          </w:p>
        </w:tc>
        <w:tc>
          <w:tcPr>
            <w:tcW w:w="1560" w:type="dxa"/>
            <w:vAlign w:val="bottom"/>
          </w:tcPr>
          <w:p>
            <w:pPr>
              <w:spacing w:after="0"/>
              <w:rPr>
                <w:sz w:val="24"/>
                <w:szCs w:val="24"/>
                <w:color w:val="auto"/>
              </w:rPr>
            </w:pPr>
          </w:p>
        </w:tc>
      </w:tr>
      <w:tr>
        <w:trPr>
          <w:trHeight w:val="212"/>
        </w:trPr>
        <w:tc>
          <w:tcPr>
            <w:tcW w:w="6340" w:type="dxa"/>
            <w:vAlign w:val="bottom"/>
          </w:tcPr>
          <w:p>
            <w:pPr>
              <w:jc w:val="center"/>
              <w:ind w:left="203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bl>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 changes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ind w:left="476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0" w:lineRule="exact"/>
        <w:rPr>
          <w:sz w:val="24"/>
          <w:szCs w:val="24"/>
          <w:color w:val="auto"/>
        </w:rPr>
      </w:pPr>
    </w:p>
    <w:p>
      <w:pPr>
        <w:ind w:right="5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096"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4"/>
          <w:szCs w:val="24"/>
          <w:color w:val="auto"/>
        </w:rPr>
      </w:pPr>
    </w:p>
    <w:p>
      <w:pPr>
        <w:sectPr>
          <w:pgSz w:w="11900" w:h="16838" w:orient="portrait"/>
          <w:cols w:equalWidth="0" w:num="4">
            <w:col w:w="1700" w:space="720"/>
            <w:col w:w="4260" w:space="720"/>
            <w:col w:w="2780" w:space="720"/>
            <w:col w:w="520"/>
          </w:cols>
          <w:pgMar w:left="240" w:top="109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198" w:lineRule="exact"/>
        <w:rPr>
          <w:sz w:val="24"/>
          <w:szCs w:val="24"/>
          <w:color w:val="auto"/>
        </w:rPr>
      </w:pPr>
    </w:p>
    <w:p>
      <w:pPr>
        <w:sectPr>
          <w:pgSz w:w="11900" w:h="16838" w:orient="portrait"/>
          <w:cols w:equalWidth="0" w:num="4">
            <w:col w:w="1700" w:space="720"/>
            <w:col w:w="4260" w:space="720"/>
            <w:col w:w="2780" w:space="720"/>
            <w:col w:w="520"/>
          </w:cols>
          <w:pgMar w:left="240" w:top="1096" w:right="239" w:bottom="1440" w:gutter="0" w:footer="0" w:header="0"/>
          <w:type w:val="continuous"/>
        </w:sectPr>
      </w:pPr>
    </w:p>
    <w:p>
      <w:pPr>
        <w:ind w:right="2040"/>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 The number of shares outstanding of the registrant’s Common Stock as of February 2, 2016 was 63,016,873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3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640" w:type="dxa"/>
            <w:vAlign w:val="bottom"/>
          </w:tcPr>
          <w:p>
            <w:pPr>
              <w:spacing w:after="0"/>
              <w:rPr>
                <w:sz w:val="20"/>
                <w:szCs w:val="20"/>
                <w:color w:val="auto"/>
              </w:rPr>
            </w:pPr>
          </w:p>
        </w:tc>
      </w:tr>
      <w:tr>
        <w:trPr>
          <w:trHeight w:val="297"/>
        </w:trPr>
        <w:tc>
          <w:tcPr>
            <w:tcW w:w="103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January 1, 2016</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40" w:type="dxa"/>
            <w:vAlign w:val="bottom"/>
          </w:tcPr>
          <w:p>
            <w:pPr>
              <w:spacing w:after="0"/>
              <w:rPr>
                <w:sz w:val="24"/>
                <w:szCs w:val="24"/>
                <w:color w:val="auto"/>
              </w:rPr>
            </w:pPr>
          </w:p>
        </w:tc>
      </w:tr>
      <w:tr>
        <w:trPr>
          <w:trHeight w:val="873"/>
        </w:trPr>
        <w:tc>
          <w:tcPr>
            <w:tcW w:w="10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9"/>
        </w:trPr>
        <w:tc>
          <w:tcPr>
            <w:tcW w:w="10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Item 1. Financial Statements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10340" w:type="dxa"/>
            <w:vAlign w:val="bottom"/>
            <w:shd w:val="clear" w:color="auto" w:fill="CCEEFF"/>
          </w:tcPr>
          <w:p>
            <w:pPr>
              <w:ind w:left="38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Statements of Operations for the Quarter and Two Quarters Ended January 1, 2016 and December 26, 2014</w:t>
              </w:r>
            </w:hyperlink>
          </w:p>
        </w:tc>
        <w:tc>
          <w:tcPr>
            <w:tcW w:w="640" w:type="dxa"/>
            <w:vAlign w:val="bottom"/>
            <w:shd w:val="clear" w:color="auto" w:fill="CCEEFF"/>
          </w:tcPr>
          <w:p>
            <w:pPr>
              <w:spacing w:after="0"/>
              <w:rPr>
                <w:sz w:val="19"/>
                <w:szCs w:val="19"/>
                <w:color w:val="auto"/>
              </w:rPr>
            </w:pPr>
          </w:p>
        </w:tc>
      </w:tr>
      <w:tr>
        <w:trPr>
          <w:trHeight w:val="241"/>
        </w:trPr>
        <w:tc>
          <w:tcPr>
            <w:tcW w:w="10340" w:type="dxa"/>
            <w:vAlign w:val="bottom"/>
            <w:tcBorders>
              <w:bottom w:val="single" w:sz="8" w:color="CCEEFF"/>
            </w:tcBorders>
            <w:shd w:val="clear" w:color="auto" w:fill="CCEEFF"/>
          </w:tcPr>
          <w:p>
            <w:pPr>
              <w:ind w:left="6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25"/>
        </w:trPr>
        <w:tc>
          <w:tcPr>
            <w:tcW w:w="10340" w:type="dxa"/>
            <w:vAlign w:val="bottom"/>
          </w:tcPr>
          <w:p>
            <w:pPr>
              <w:ind w:left="38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Statements of Comprehensive Loss for the Quarter and Two Quarters Ended January 1, 2016 and December 26,</w:t>
              </w:r>
            </w:hyperlink>
          </w:p>
        </w:tc>
        <w:tc>
          <w:tcPr>
            <w:tcW w:w="640" w:type="dxa"/>
            <w:vAlign w:val="bottom"/>
          </w:tcPr>
          <w:p>
            <w:pPr>
              <w:spacing w:after="0"/>
              <w:rPr>
                <w:sz w:val="19"/>
                <w:szCs w:val="19"/>
                <w:color w:val="auto"/>
              </w:rPr>
            </w:pPr>
          </w:p>
        </w:tc>
      </w:tr>
      <w:tr>
        <w:trPr>
          <w:trHeight w:val="234"/>
        </w:trPr>
        <w:tc>
          <w:tcPr>
            <w:tcW w:w="10340" w:type="dxa"/>
            <w:vAlign w:val="bottom"/>
          </w:tcPr>
          <w:p>
            <w:pPr>
              <w:ind w:left="6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2014 (Unaudited)</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Condensed Consolidated Balance Sheets as of January 1, 2016 and July 3, 2015 (Unaudited)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Statements of Cash Flows for Two Quarters Ended January 1, 2016 and December 26, 2014 (Unaudited)</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Item 2. Management’s Discussion and Analysis of Financial Condition and Results of Operations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19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4. Controls and Procedures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2">
              <w:r>
                <w:rPr>
                  <w:rFonts w:ascii="Times New Roman" w:cs="Times New Roman" w:eastAsia="Times New Roman" w:hAnsi="Times New Roman"/>
                  <w:sz w:val="18"/>
                  <w:szCs w:val="18"/>
                  <w:b w:val="1"/>
                  <w:bCs w:val="1"/>
                  <w:color w:val="auto"/>
                </w:rPr>
                <w:t>Part II. Other Information</w:t>
              </w:r>
            </w:hyperlink>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 Legal Proceedings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2. Unregistered Sales of Equity Securities and Use of Proceeds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4. Mine Safety Disclosures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34</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6. Exhibits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4">
              <w:r>
                <w:rPr>
                  <w:rFonts w:ascii="Times New Roman" w:cs="Times New Roman" w:eastAsia="Times New Roman" w:hAnsi="Times New Roman"/>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35</w:t>
              </w:r>
            </w:hyperlink>
          </w:p>
        </w:tc>
      </w:tr>
      <w:tr>
        <w:trPr>
          <w:trHeight w:val="243"/>
        </w:trPr>
        <w:tc>
          <w:tcPr>
            <w:tcW w:w="10340" w:type="dxa"/>
            <w:vAlign w:val="bottom"/>
          </w:tcPr>
          <w:p>
            <w:pPr>
              <w:ind w:left="40"/>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Exhibit Index</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36</w:t>
              </w:r>
            </w:hyperlink>
          </w:p>
        </w:tc>
      </w:tr>
      <w:tr>
        <w:trPr>
          <w:trHeight w:val="486"/>
        </w:trPr>
        <w:tc>
          <w:tcPr>
            <w:tcW w:w="103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76" w:right="459" w:bottom="1440" w:gutter="0" w:footer="0" w:header="0"/>
        </w:sectPr>
      </w:pPr>
    </w:p>
    <w:bookmarkStart w:id="2" w:name="page3"/>
    <w:bookmarkEnd w:id="2"/>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 attributable to Aviat Networks: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continuing operations,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97"/>
        </w:trPr>
        <w:tc>
          <w:tcPr>
            <w:tcW w:w="73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attributable to Aviat Networks’ common stockholders, 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9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00"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1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 on cash flow hedges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gain on hedging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Aviat Networks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Aviat Networks stockholders’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Provision for receivables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Gain on disposition of WiMAX business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Loss on disposition of 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Accounts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Unbilled costs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ind w:left="46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ended January 1, 2016 (the “second quarter and first two quarters of fiscal 2016”)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3, 2015.</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and majority-owned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intercompany transactions and accounts have been eliminated.</w:t>
      </w:r>
    </w:p>
    <w:p>
      <w:pPr>
        <w:spacing w:after="0" w:line="15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We operate on a 52-week or 53-week year ending on the Friday nearest June 30. The first two quarters of fiscal 2016 and fiscal 2015 included 13 weeks in each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2016, we recorded a $1.2 million reclassification to increase long term unearned income and decrease current advance payments and unearned income as of July 3, 2015. This reclassification had no impact on our total assets, total liabilities, results of operations or cash flows and has been included in the previously reported amounts in the table below.</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2016, we recorded a $4.7 million reclassification to decrease both accounts receivable and current unearned income in our consolidated balance sheet as of July 3, 2015. This reclassification had no impact on our results of operations. In our consolidated statements of cash flow, the reclassification increased changes in accounts receivables and decreased changes in advance payments and unearned income by $4.7 million; however, the net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not impacted by this reclassification. This reclassification was immaterial to the previously issued financial statements; therefore, we revised our consolidated balance sheet for comparative purpose. The following table summarizes the effect of this reclassification on the previously filed consolidated balance sheet as of July 3,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Previously Reported</w:t>
            </w:r>
          </w:p>
        </w:tc>
        <w:tc>
          <w:tcPr>
            <w:tcW w:w="300" w:type="dxa"/>
            <w:vAlign w:val="bottom"/>
          </w:tcPr>
          <w:p>
            <w:pPr>
              <w:spacing w:after="0"/>
              <w:rPr>
                <w:sz w:val="13"/>
                <w:szCs w:val="13"/>
                <w:color w:val="auto"/>
              </w:rPr>
            </w:pPr>
          </w:p>
        </w:tc>
        <w:tc>
          <w:tcPr>
            <w:tcW w:w="14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00" w:type="dxa"/>
            <w:vAlign w:val="bottom"/>
          </w:tcPr>
          <w:p>
            <w:pPr>
              <w:spacing w:after="0"/>
              <w:rPr>
                <w:sz w:val="13"/>
                <w:szCs w:val="13"/>
                <w:color w:val="auto"/>
              </w:rPr>
            </w:pPr>
          </w:p>
        </w:tc>
        <w:tc>
          <w:tcPr>
            <w:tcW w:w="12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July 3, 2015:</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195.8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229.4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127.4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of and for the first two quarters of fiscal 2016, as compared to the significant accounting policies described in our Annual Report on Form 10-K for the fiscal year ended July 3,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Financial Accounting Standards Board (“FASB”) issued Accounting Standards Update (“ASU”) 2016-01, Recognition and Measurement of Financial Assets and Financial Liabilities. This guidance retains the current accounting for classifying and measuring investments in debt securities and loans, but 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are currently evaluating the impact this guidance will have on our consolidated financial statements and it will become effective for us at the beginning of our first quarter of fiscal 2019.</w:t>
      </w:r>
    </w:p>
    <w:p>
      <w:pPr>
        <w:spacing w:after="0" w:line="129"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Income Taxes (Topic 740) - Balance Sheet Classification of Deferred Taxes</w:t>
      </w:r>
      <w:r>
        <w:rPr>
          <w:rFonts w:ascii="Times New Roman" w:cs="Times New Roman" w:eastAsia="Times New Roman" w:hAnsi="Times New Roman"/>
          <w:sz w:val="18"/>
          <w:szCs w:val="18"/>
          <w:color w:val="auto"/>
        </w:rPr>
        <w:t>, which amends the existing guidance on income taxes to require the classification of all deferred tax assets and liabilities as non-current on the balance sheet. The amendments are effective for financial statements issued for the annual periods beginning after December 15, 2016 and interim periods within those annual periods, and may be applied either prospectively or retrospectively. Early adoption is permitted. We are currently evaluating the effect of the adoption of the standard will have on our consolidated financial statements and related disclosures.</w:t>
      </w:r>
    </w:p>
    <w:p>
      <w:pPr>
        <w:spacing w:after="0" w:line="126"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(Subtopic 330),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currently evaluating the effect of the adoption of the standard will have on our consolidated financial statements and related disclosures.</w:t>
      </w:r>
    </w:p>
    <w:p>
      <w:pPr>
        <w:spacing w:after="0" w:line="126"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(Subtopic 835-30), </w:t>
      </w:r>
      <w:r>
        <w:rPr>
          <w:rFonts w:ascii="Times New Roman" w:cs="Times New Roman" w:eastAsia="Times New Roman" w:hAnsi="Times New Roman"/>
          <w:sz w:val="18"/>
          <w:szCs w:val="18"/>
          <w:i w:val="1"/>
          <w:iCs w:val="1"/>
          <w:color w:val="auto"/>
        </w:rPr>
        <w:t>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which provides guidance on the balance sheet presentation for debt issuance costs and debt discounts and debt premiums. To simplify the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debt issuance costs, the standard requires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ind w:right="380"/>
        <w:spacing w:after="0" w:line="261" w:lineRule="auto"/>
        <w:rPr>
          <w:sz w:val="20"/>
          <w:szCs w:val="20"/>
          <w:color w:val="auto"/>
        </w:rPr>
      </w:pPr>
      <w:r>
        <w:rPr>
          <w:rFonts w:ascii="Times New Roman" w:cs="Times New Roman" w:eastAsia="Times New Roman" w:hAnsi="Times New Roman"/>
          <w:sz w:val="18"/>
          <w:szCs w:val="18"/>
          <w:color w:val="auto"/>
        </w:rPr>
        <w:t>that debt issuance costs related to a recognized debt liability be presented in the balance sheet as a direct deduction from the carrying amount of that debt liability, consistent with debt discounts. The standard is effective for annual periods and interim periods within those annual periods beginning after December 15, 2015. We are currently evaluating the effect of the adoption of the standard will have on our consolidated financial statements and related disclosures.</w:t>
      </w:r>
    </w:p>
    <w:p>
      <w:pPr>
        <w:spacing w:after="0" w:line="124"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2014,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which provides guidance on determining when and how to disclose going concern uncertainties in the financial statements. The guidance requires management to perform interim and annual assessments of an entity’s ability to continue as a going concern. This standard is effective for annual reporting periods beginning after December 15, 2016, including interim periods during the annual period. Early application is permitted. We are currently evaluating the effect of the adoption of the standard will have on our consolidated financial statements and related disclosures.</w:t>
      </w:r>
    </w:p>
    <w:p>
      <w:pPr>
        <w:spacing w:after="0" w:line="12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May 28,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This ASU is based on the 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July 2015, the FASB deferred the effective date of this ASU from December 15, 2016 to December 15, 2017, with early adoption permitted before annual periods beginning after December 15, 2016. Accordingly, the new standard is effective for us beginning in our fiscal year 2019. The principles may be applied retrospectively to each prior period presented or retrospectively with the cumulative effect recognized as of the date of initial application. We are currently evaluating the transition methods and the effect that this ASU will have on our consolidated financial statements and related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Loss Per Share of Common Stock</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compute net loss per share attributable to our common stockholders using the two-class method. Basic net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However, we incurred a net loss in all periods presented. Undistributed losses are not allocated to unvested restricted shares due to the fact that the unvested restricted shares are not contractually obligated to share the losses of the company.</w:t>
      </w:r>
    </w:p>
    <w:p>
      <w:pPr>
        <w:spacing w:after="0" w:line="13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we incurred a net loss for all periods presented, the effect of outstanding stock options, restricted stocks and units and performance shares and units were anti-dilutive and therefore were excluded from the diluted net loss per share calculations. The following table summarizes the potential shares of common stock that were excluded from the diluted net loss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71755</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3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482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820" w:type="dxa"/>
            <w:vAlign w:val="bottom"/>
            <w:tcBorders>
              <w:top w:val="single" w:sz="8" w:color="auto"/>
            </w:tcBorders>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48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stocks and units and performance shares and units</w:t>
            </w:r>
          </w:p>
        </w:tc>
        <w:tc>
          <w:tcPr>
            <w:tcW w:w="4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potential shares of common stock excluded</w:t>
            </w:r>
          </w:p>
        </w:tc>
        <w:tc>
          <w:tcPr>
            <w:tcW w:w="4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654"/>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42"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net accounts receivable as of January 1, 2016 and July 3,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3"/>
                <w:szCs w:val="13"/>
                <w:color w:val="auto"/>
              </w:rPr>
            </w:pP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 Total customer letters of credit discounted and related interest expense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3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50"/>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letters of credit being discounted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r>
        <w:trPr>
          <w:trHeight w:val="405"/>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inventories as of January 1, 2016 and July 3, 2015 were as follows: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6"/>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24"/>
                <w:szCs w:val="24"/>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32.9</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cost of revenue included within finished goods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Consigned inventories included within raw materials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r>
    </w:tbl>
    <w:p>
      <w:pPr>
        <w:spacing w:after="0" w:line="171"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We recorded charges to adjust our inventory and customer service inventory to the lower of cost or market. These charges were primarily due to excess and obsolete inventory resulting from product transitioning and discontinuance. During the first two quarters of fiscal 2016 and 2015, such charges incurred were classified in cost of product sales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6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2"/>
                <w:szCs w:val="12"/>
                <w:color w:val="auto"/>
              </w:rPr>
            </w:pPr>
          </w:p>
        </w:tc>
        <w:tc>
          <w:tcPr>
            <w:tcW w:w="1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 of revenue</w:t>
            </w: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1.6%</w:t>
            </w:r>
          </w:p>
        </w:tc>
      </w:tr>
      <w:tr>
        <w:trPr>
          <w:trHeight w:val="486"/>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property, plant and equipment, net as of January 1, 2016 and July 3, 2015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3"/>
                <w:szCs w:val="13"/>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including amortization of software developed for internal use,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340" w:type="dxa"/>
            <w:vAlign w:val="bottom"/>
          </w:tcPr>
          <w:p>
            <w:pPr>
              <w:spacing w:after="0"/>
              <w:rPr>
                <w:sz w:val="12"/>
                <w:szCs w:val="12"/>
                <w:color w:val="auto"/>
              </w:rPr>
            </w:pPr>
          </w:p>
        </w:tc>
        <w:tc>
          <w:tcPr>
            <w:tcW w:w="104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2"/>
                <w:szCs w:val="12"/>
                <w:color w:val="auto"/>
              </w:rPr>
            </w:pPr>
          </w:p>
        </w:tc>
        <w:tc>
          <w:tcPr>
            <w:tcW w:w="11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8"/>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Warranties</w:t>
      </w:r>
    </w:p>
    <w:p>
      <w:pPr>
        <w:spacing w:after="0" w:line="175" w:lineRule="exact"/>
        <w:rPr>
          <w:sz w:val="20"/>
          <w:szCs w:val="20"/>
          <w:color w:val="auto"/>
        </w:rPr>
      </w:pPr>
    </w:p>
    <w:p>
      <w:pPr>
        <w:jc w:val="both"/>
        <w:ind w:right="120" w:firstLine="405"/>
        <w:spacing w:after="0" w:line="313" w:lineRule="auto"/>
        <w:rPr>
          <w:sz w:val="20"/>
          <w:szCs w:val="20"/>
          <w:color w:val="auto"/>
        </w:rPr>
      </w:pPr>
      <w:r>
        <w:rPr>
          <w:rFonts w:ascii="Times New Roman" w:cs="Times New Roman" w:eastAsia="Times New Roman" w:hAnsi="Times New Roman"/>
          <w:sz w:val="17"/>
          <w:szCs w:val="17"/>
          <w:color w:val="auto"/>
        </w:rPr>
        <w:t>We accrue for the estimated cost to repair or replace products under warranty at the time of sale. Changes in our warranty liability, which is included as a component of other accrued expenses in the condensed consolidated balance sheets, during the first two quarters of fiscal 2016 and 2015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the beginning of the fiscal year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of Assets and Liabilities</w:t>
      </w:r>
    </w:p>
    <w:p>
      <w:pPr>
        <w:spacing w:after="0" w:line="17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2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reflecting our own assumptions.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38" w:right="239" w:bottom="1440" w:gutter="0" w:footer="0" w:header="0"/>
        </w:sectPr>
      </w:pPr>
    </w:p>
    <w:bookmarkStart w:id="11" w:name="page12"/>
    <w:bookmarkEnd w:id="11"/>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January 1, 2016 and July 3, 2015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July 3, 2015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Valuation Inputs</w:t>
            </w:r>
          </w:p>
        </w:tc>
      </w:tr>
      <w:tr>
        <w:trPr>
          <w:trHeight w:val="264"/>
        </w:trPr>
        <w:tc>
          <w:tcPr>
            <w:tcW w:w="5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1</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r>
    </w:tbl>
    <w:p>
      <w:pPr>
        <w:spacing w:after="0" w:line="171"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include shares in money market funds purchased from two major financial institutions. As of January 1, 2016 and July 3, 2015, these money market shares were valued at $1.00 net asset value per share by these financial institutions.</w:t>
      </w:r>
    </w:p>
    <w:p>
      <w:pPr>
        <w:spacing w:after="0" w:line="12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January 1, 2016 and July 3, 2015. The changes in fair value related to our foreign currency forward contracts were recorded in cost of revenues on our statements of operations.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January 1, 2016 and July 3, 2015, we did not have any assets or liabilities that were valued using Level 3 inputs.</w:t>
      </w:r>
    </w:p>
    <w:p>
      <w:pPr>
        <w:spacing w:after="0" w:line="171"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the first two quarters of fiscal 2016 and 2015, we had no transfers between levels of the fair value hierarchy of our assets or liabilities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Facility and Debt</w:t>
      </w:r>
    </w:p>
    <w:p>
      <w:pPr>
        <w:spacing w:after="0" w:line="1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March 28, 2014, we entered into a Second Amended and Restated Loan Agreement with Silicon Valley Bank, which has been subsequently amended (the “SVB Credit Facility”). The SVB Credit Facility expires on September 26, 2016 and has a maximum borrowing capacity of $40.0 million, with a $30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Our outstanding debt under the SVB Credit Facility was $9.0 million as of January 1, 2016. The SVB Credit Facility carries an interest rate computed at the daily prime rate as published in the Wall Street Journal plus a spread of 0.50% to 1.50%, with such spread determined based on our adjusted quick ratio. During the first two quarters of fiscal year 2016, the weighted average interest rate on our outstanding loan was 3.86%. As of January 1, 2016, available credit under the SVB Credit Facility was $11.3 million reflecting the calculated borrowing base of $27.4 million less existing borrowings of $9.0 million and outstanding letters of credit of $7.1 million. The borrowing base was computed at 65% of eligible accounts receivable and 50% of eligible unbilled accounts receivable as of January 1, 2016.</w:t>
      </w:r>
    </w:p>
    <w:p>
      <w:pPr>
        <w:spacing w:after="0" w:line="13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January 1, 2016, we were in compliance with the quarterly financial covenants contained in the SVB Credit Facility.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42" w:right="239" w:bottom="1440" w:gutter="0" w:footer="0" w:header="0"/>
        </w:sectPr>
      </w:pPr>
    </w:p>
    <w:bookmarkStart w:id="12" w:name="page13"/>
    <w:bookmarkEnd w:id="12"/>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January 1, 2016. The line of credit also provides for the issuance of standby letters of credit and company credit cards, of which $0.1 million was outstanding as of January 1, 2016. This facility may be terminated upon notice, is reviewed annually for renewal or modification, and is supported by a corporate guarantee.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Restructuring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2015-2016 Plan</w:t>
      </w:r>
    </w:p>
    <w:p>
      <w:pPr>
        <w:spacing w:after="0" w:line="175"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2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costs incurred during the second quarter and first two quarters of fiscal 2016, estimated additional costs to be incurred and estimated total costs expected to be incurred as of January 1, 2016 under the Fiscal 2015-2016 Plan: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Incurred During the</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1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During Quarter Ended</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20" w:type="dxa"/>
            <w:vAlign w:val="bottom"/>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140" w:type="dxa"/>
            <w:vAlign w:val="bottom"/>
          </w:tcPr>
          <w:p>
            <w:pPr>
              <w:spacing w:after="0"/>
              <w:rPr>
                <w:sz w:val="12"/>
                <w:szCs w:val="12"/>
                <w:color w:val="auto"/>
              </w:rPr>
            </w:pPr>
          </w:p>
        </w:tc>
        <w:tc>
          <w:tcPr>
            <w:tcW w:w="11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Costs Expected</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Facilities and other</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for Fiscal 2015-2016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During the first two quarters of fiscal 2016, we recorded $0.1 million in severance and related benefits costs and a $0.1 million adjustment to the accrual on Slovenia government fund repayment related to workforce reduction. We intend to substantially complete the remaining restructuring activities under the Fiscal 2015-2016 Plan by the end of fiscal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2014-2015 Plan</w:t>
      </w:r>
    </w:p>
    <w:p>
      <w:pPr>
        <w:spacing w:after="0" w:line="175"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costs incurred during the second quarter and first two quarters of fiscal 2016 and 2015, estimated additional costs to be incurred and estimated total costs expected to be incurred as of January 1, 2016 under the Fiscal 2014-2015 Plan: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Costs Incurred During</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1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During Quarter Ended</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4"/>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the Two Quarters Ended</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20" w:type="dxa"/>
            <w:vAlign w:val="bottom"/>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140" w:type="dxa"/>
            <w:vAlign w:val="bottom"/>
          </w:tcPr>
          <w:p>
            <w:pPr>
              <w:spacing w:after="0"/>
              <w:rPr>
                <w:sz w:val="12"/>
                <w:szCs w:val="12"/>
                <w:color w:val="auto"/>
              </w:rPr>
            </w:pPr>
          </w:p>
        </w:tc>
        <w:tc>
          <w:tcPr>
            <w:tcW w:w="11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Costs Expected</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Facilities and other</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for Fiscal 2014-2015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3" w:name="page14"/>
    <w:bookmarkEnd w:id="13"/>
    <w:p>
      <w:pPr>
        <w:jc w:val="both"/>
        <w:ind w:right="400" w:firstLine="432"/>
        <w:spacing w:after="0" w:line="266" w:lineRule="auto"/>
        <w:rPr>
          <w:sz w:val="20"/>
          <w:szCs w:val="20"/>
          <w:color w:val="auto"/>
        </w:rPr>
      </w:pPr>
      <w:r>
        <w:rPr>
          <w:rFonts w:ascii="Times New Roman" w:cs="Times New Roman" w:eastAsia="Times New Roman" w:hAnsi="Times New Roman"/>
          <w:sz w:val="18"/>
          <w:szCs w:val="18"/>
          <w:color w:val="auto"/>
        </w:rPr>
        <w:t>We have substantially completed the restructuring activities under the Fiscal 2014-2015 Plan as of the end of fiscal 2015. The remaining additional costs to be incurred under the Fiscal 2014-2015 Plan primarily included our facility costs related to the cease-to-use space at our Santa Clara, California headquarters through the remaining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2013-2014 Plan</w:t>
      </w:r>
    </w:p>
    <w:p>
      <w:pPr>
        <w:spacing w:after="0" w:line="17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facility downsizing of our Santa Clara, California headquarters and certain international field offices.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costs incurred during the second quarter and first two quarters of fiscal 2016 and 2015, estimated additional costs to be incurred and estimated total costs expected to be incurred as of January 1, 2016 under the Fiscal 2013-2014 Plan: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Costs Incurred During</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1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During Quarter Ended</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4"/>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the Two Quarters Ended</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20" w:type="dxa"/>
            <w:vAlign w:val="bottom"/>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to be</w:t>
            </w:r>
          </w:p>
        </w:tc>
        <w:tc>
          <w:tcPr>
            <w:tcW w:w="140" w:type="dxa"/>
            <w:vAlign w:val="bottom"/>
          </w:tcPr>
          <w:p>
            <w:pPr>
              <w:spacing w:after="0"/>
              <w:rPr>
                <w:sz w:val="12"/>
                <w:szCs w:val="12"/>
                <w:color w:val="auto"/>
              </w:rPr>
            </w:pPr>
          </w:p>
        </w:tc>
        <w:tc>
          <w:tcPr>
            <w:tcW w:w="11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Costs Expected</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Facilities and other</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for Fiscal 2013-2014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have substantially completed the restructuring activities under the Fiscal 2013-2014 Plan as of fiscal 2014. The remaining additional costs to be incurred under the Fiscal 2013-2014 Plan primarily included our facility charges related to the cease-to-use space at our Santa Clara, California headquarters through the remaining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Liabilities</w:t>
      </w:r>
    </w:p>
    <w:p>
      <w:pPr>
        <w:spacing w:after="0" w:line="17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restructuring liabilities consisted primarily of accrued severance and benefits relating to one-time and ongoing benefit arrangements, as well as facility exit cost reserves primarily related to our office leases in California. The fair value of the liabilities related to operating lease terminations was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included anticipated timing of sublease rentals and estimates of sublease rental receipts and related costs based on market conditions. To the extent there are material differences between these estimates or assumptions and actual results, our restructuring liabilities and restructuring charges would be significantly affected.</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in the following table summarizes the changes in our restructuring liabilities during the first two quarters of fiscal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Facilities and</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Restructuring liabilities as of July 3,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and adjustments related to Fiscal 2015-2016 Plan</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Restructuring liabilities as of January 1, 2016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restructuring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portion of restructuring liabilities included in other long-term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486"/>
        </w:trPr>
        <w:tc>
          <w:tcPr>
            <w:tcW w:w="69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Stock Equity Plan and Activities</w:t>
      </w:r>
    </w:p>
    <w:p>
      <w:pPr>
        <w:spacing w:after="0" w:line="175"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We have one stock incentive plan for our employees and nonemployee directors, the 2007 Stock Equity Plan, as amended and restated effective November 13, 2015 (the “2007 Stock Plan”). As of January 1, 2016, we have various incentive programs under the 2007 Stock Plan, including annual and long-term incentive programs (“AIP” or “LTIP”) and a global equity program (“GEP”). The Company is authorized to issue up to 26.9 million shares of common stock under the 2007 Stock Plan.</w:t>
      </w:r>
    </w:p>
    <w:p>
      <w:pPr>
        <w:spacing w:after="0" w:line="126"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During the first two quarters of fiscal 2016, we awarded 1,831,158 performance stock units and 1,681,335 restricted stock units associated with our fiscal 2016 LTIP under the 2007 Stock Plan. For the market-based performance stock units, the performance criteria are based on multiple target closing prices of the Company’s common stock for the fiscal years ending 2016, 2017 and 2018. Once the shares are earned for fiscal years ending 2016 and 2017, they will be vested on the last day of fiscal 2018. For the shares earned for the fiscal year ending 2018, they will be vested on the date that the Compensation Committee certifies achievement of the performance metrics. Vesting of these shares is dependent on continuous employment with us through the date the performance metric is achieved.</w:t>
      </w:r>
    </w:p>
    <w:p>
      <w:pPr>
        <w:spacing w:after="0" w:line="13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first two quarters of fiscal 2016, we cancelled 803,210 performance stock units due to the performance criteria not being achieved. We also cancelled 44,307 performance stock units, 79,284 share of restricted stock unit, and options to purchase 312,256 shares of our common stock due to employee terminations.</w:t>
      </w:r>
    </w:p>
    <w:p>
      <w:pPr>
        <w:spacing w:after="0" w:line="12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We issue new shares of our common stock to our employees upon the exercise of stock options, vesting of restricted stock awards and units or vesting of performance share awards and units.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8,133,305 as of January 1,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Total compensation expense for share-based awards included in our condensed consolidated statements of operations for the second quarter and first two quarters of fiscal 2016 and 2015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gridSpan w:val="4"/>
            <w:vMerge w:val="continue"/>
          </w:tcPr>
          <w:p>
            <w:pPr>
              <w:spacing w:after="0"/>
              <w:rPr>
                <w:sz w:val="16"/>
                <w:szCs w:val="16"/>
                <w:color w:val="auto"/>
              </w:rPr>
            </w:pPr>
          </w:p>
        </w:tc>
        <w:tc>
          <w:tcPr>
            <w:tcW w:w="10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01"/>
        </w:trPr>
        <w:tc>
          <w:tcPr>
            <w:tcW w:w="562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By Expense Category:</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0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By Types of Award:</w:t>
            </w: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4"/>
            <w:vMerge w:val="continue"/>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Restricted and performance stock awards and units</w:t>
            </w:r>
          </w:p>
        </w:tc>
        <w:tc>
          <w:tcPr>
            <w:tcW w:w="10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of January 1, 2016, there was $3.2 million of total unrecognized compensation expense related to unvested share-based awards granted under our 2007 Stock Plan. This expense is expected to be recognized over a weighted average period of 2.46 years.</w:t>
      </w:r>
    </w:p>
    <w:p>
      <w:pPr>
        <w:spacing w:after="0" w:line="10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9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8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Pr>
          <w:p>
            <w:pPr>
              <w:spacing w:after="0"/>
              <w:rPr>
                <w:sz w:val="16"/>
                <w:szCs w:val="16"/>
                <w:color w:val="auto"/>
              </w:rPr>
            </w:pPr>
          </w:p>
        </w:tc>
        <w:tc>
          <w:tcPr>
            <w:tcW w:w="29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580" w:type="dxa"/>
            <w:vAlign w:val="bottom"/>
          </w:tcPr>
          <w:p>
            <w:pPr>
              <w:spacing w:after="0"/>
              <w:rPr>
                <w:sz w:val="12"/>
                <w:szCs w:val="12"/>
                <w:color w:val="auto"/>
              </w:rPr>
            </w:pPr>
          </w:p>
        </w:tc>
        <w:tc>
          <w:tcPr>
            <w:tcW w:w="10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4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4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5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 granted</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7"/>
        </w:trPr>
        <w:tc>
          <w:tcPr>
            <w:tcW w:w="5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800" w:firstLine="405"/>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stock unit with market condition was estimated using a Monte-Carlo simulation model. A summary of the significant weighted average assumptions we used in the Monte Carlo simulation model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9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Pr>
          <w:p>
            <w:pPr>
              <w:spacing w:after="0"/>
              <w:rPr>
                <w:sz w:val="16"/>
                <w:szCs w:val="16"/>
                <w:color w:val="auto"/>
              </w:rPr>
            </w:pPr>
          </w:p>
        </w:tc>
        <w:tc>
          <w:tcPr>
            <w:tcW w:w="29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500" w:type="dxa"/>
            <w:vAlign w:val="bottom"/>
          </w:tcPr>
          <w:p>
            <w:pPr>
              <w:spacing w:after="0"/>
              <w:rPr>
                <w:sz w:val="12"/>
                <w:szCs w:val="12"/>
                <w:color w:val="auto"/>
              </w:rPr>
            </w:pPr>
          </w:p>
        </w:tc>
        <w:tc>
          <w:tcPr>
            <w:tcW w:w="15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3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5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21"/>
                <w:szCs w:val="21"/>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 granted</w:t>
            </w: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1"/>
                <w:szCs w:val="21"/>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performance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and Geographic Information</w:t>
      </w:r>
    </w:p>
    <w:p>
      <w:pPr>
        <w:spacing w:after="0" w:line="17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12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the second quarter and first two quarters of fiscal 2016 and 2015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6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26, 2014</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Africa and Middle East</w:t>
            </w:r>
          </w:p>
        </w:tc>
        <w:tc>
          <w:tcPr>
            <w:tcW w:w="1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1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Mobile Telephone Networks Group (MTN Group), Motorola Solutions, Inc. (Motorola) and Bharti Airtel (Airtel) accounted for more than 10% of our accounts receivable as of January 1, 2016. MTN Group also accounted for more than 10% of our accounts receivable as of July 3, 2015. During the second quarter of fiscal 2016, MTN Group and Motorola both accounted for more than 10% of our total revenue. During the second quarter of fiscal 2015 and first two quarters of fiscal 2016 and 2015, MTN Group accounted for more than 10% of our total revenue. We have entered into separate and distinct contracts with MTN Group, Motorola and Airtel, as well as separate arrangements with their various subsidiaries. The loss of all business from MTN Group, Motorola, or any other significant customers could adversely affect our results of operations, cash flows and financial position.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80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Divestiture</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sold our WiMAX business on September 2, 2011. 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two quarters of fiscal 2016 was primarily due to recovery of certain WiMAX customer receivables that were previously written down. Summary results of operations for the WiMAX business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 related to WiMAX</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disposal</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2016.</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determination of our provision for the first two quarters of fiscal 2016 and 2015 was based on our estimated annual effective tax rate adjusted for losses in certain jurisdictions for which no tax benefit can be recognized. The tax expense for the first two quarters of fiscal 2016 was primarily attributable to tax expense related to profitable foreign subsidiaries.</w:t>
      </w:r>
    </w:p>
    <w:p>
      <w:pPr>
        <w:spacing w:after="0" w:line="12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federal, foreign and state income taxes. Such interest expense we accrued for was not material for the second quarter and first two quarters of fiscal 2016 and fiscal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75"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Beginning in the first quarter of fiscal 2015, approximately three-fourths of our Santa Clara headquarters building was vacated and made available for sublease. As of January 1, 2016, future minimum lease payments for our headquarters totaled $11.5 million.</w:t>
      </w:r>
    </w:p>
    <w:p>
      <w:pPr>
        <w:spacing w:after="0" w:line="12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As of January 1, 2016, our future minimum lease payments under all non-cancelable operating leases with an initial lease term in excess of one year were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9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(two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These commitments do not contain any material rent escalations, rent holidays, contingent rent, rent concessions, leasehold improvement incentives or unusual provisions or conditions.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Rental expense for operating leases, including rentals on a month-to-month basis,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Two Quarters Ended</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340" w:type="dxa"/>
            <w:vAlign w:val="bottom"/>
          </w:tcPr>
          <w:p>
            <w:pPr>
              <w:spacing w:after="0"/>
              <w:rPr>
                <w:sz w:val="12"/>
                <w:szCs w:val="12"/>
                <w:color w:val="auto"/>
              </w:rPr>
            </w:pPr>
          </w:p>
        </w:tc>
        <w:tc>
          <w:tcPr>
            <w:tcW w:w="104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2"/>
                <w:szCs w:val="12"/>
                <w:color w:val="auto"/>
              </w:rPr>
            </w:pPr>
          </w:p>
        </w:tc>
        <w:tc>
          <w:tcPr>
            <w:tcW w:w="11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8"/>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January 1, 2016, we had outstanding purchase obligations with our suppliers or contract manufacturers of $27.0 million. In addition, we had contractual obligations of approximately $0.7 million associated with a major service agreement as of January 1,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January 1, 2016, we had no guarantees applicable to our debt arrangements.</w:t>
      </w:r>
    </w:p>
    <w:p>
      <w:pPr>
        <w:spacing w:after="0" w:line="126"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January 1, 2016, we had commercial commitments of $19.9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36"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January 1, 2016,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January 1, 2016, we had not recorded any liabilities related to these indemnifications.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legal claims and litigation that arise in the normal course of our operations. We are aggressively defending all current litigation matters. Although there can be no assurances and the outcome of these matters is not determinable, we currently believe that none of these claims or proceedings are likely to have a material adverse effect on our financial position. There are many uncertainties associated with any litigations and these matters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any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38" w:right="23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28"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possible delisting of our stock from the Nasdaq Stock Market;</w:t>
      </w:r>
    </w:p>
    <w:p>
      <w:pPr>
        <w:spacing w:after="0" w:line="63" w:lineRule="exact"/>
        <w:rPr>
          <w:rFonts w:ascii="Times New Roman" w:cs="Times New Roman" w:eastAsia="Times New Roman" w:hAnsi="Times New Roman"/>
          <w:sz w:val="18"/>
          <w:szCs w:val="18"/>
          <w:i w:val="1"/>
          <w:iCs w:val="1"/>
          <w:color w:val="auto"/>
        </w:rPr>
      </w:pPr>
    </w:p>
    <w:p>
      <w:pPr>
        <w:ind w:left="900" w:right="160" w:hanging="325"/>
        <w:spacing w:after="0" w:line="281" w:lineRule="auto"/>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material weaknesses identified in our system of internal control and associated remediation efforts and investments and other actions needed to remedy those material weaknesses;</w:t>
      </w:r>
    </w:p>
    <w:p>
      <w:pPr>
        <w:spacing w:after="0" w:line="1"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63" w:lineRule="exact"/>
        <w:rPr>
          <w:rFonts w:ascii="Times New Roman" w:cs="Times New Roman" w:eastAsia="Times New Roman" w:hAnsi="Times New Roman"/>
          <w:sz w:val="18"/>
          <w:szCs w:val="18"/>
          <w:i w:val="1"/>
          <w:iCs w:val="1"/>
          <w:color w:val="auto"/>
        </w:rPr>
      </w:pPr>
    </w:p>
    <w:p>
      <w:pPr>
        <w:ind w:left="900" w:right="600" w:hanging="325"/>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or other supply chain constraints;</w:t>
      </w:r>
    </w:p>
    <w:p>
      <w:pPr>
        <w:spacing w:after="0" w:line="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acceptance of new products;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 and</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173"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our fiscal 2015 Annual Report on Form 10-K for more information regarding factors that may cause our results to differ materially from those expressed or implied by the forward-looking statements contained in this Quarterly Report on Form 10-Q.</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742"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2015 and 2016 Results</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1, 2016 is referred to as “fiscal 2016” or “2016” and fiscal year ended July 3, 2015 is referred to as “fiscal 2015” or “2015”.</w:t>
      </w:r>
    </w:p>
    <w:p>
      <w:pPr>
        <w:spacing w:after="0" w:line="126" w:lineRule="exact"/>
        <w:rPr>
          <w:sz w:val="20"/>
          <w:szCs w:val="20"/>
          <w:color w:val="auto"/>
        </w:rPr>
      </w:pPr>
    </w:p>
    <w:p>
      <w:pPr>
        <w:ind w:right="300" w:firstLine="405"/>
        <w:spacing w:after="0" w:line="256" w:lineRule="auto"/>
        <w:rPr>
          <w:sz w:val="20"/>
          <w:szCs w:val="20"/>
          <w:color w:val="auto"/>
        </w:rPr>
      </w:pPr>
      <w:r>
        <w:rPr>
          <w:rFonts w:ascii="Times New Roman" w:cs="Times New Roman" w:eastAsia="Times New Roman" w:hAnsi="Times New Roman"/>
          <w:sz w:val="18"/>
          <w:szCs w:val="18"/>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3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2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strategic focus in fiscal 2016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9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2015 Annual Report on Form 10-K, a number of factors could prevent us from achieving our objectives, including ongoing pricing pressures attributable to competition and macroeconomic conditions in the geographic markets that we service.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manage our sales activities primarily on a geographic basis in North America and three international geographic regions: (1) Africa and Middle East,</w:t>
      </w:r>
    </w:p>
    <w:p>
      <w:pPr>
        <w:spacing w:after="0" w:line="39" w:lineRule="exact"/>
        <w:rPr>
          <w:sz w:val="20"/>
          <w:szCs w:val="20"/>
          <w:color w:val="auto"/>
        </w:rPr>
      </w:pPr>
    </w:p>
    <w:p>
      <w:pPr>
        <w:ind w:right="20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and Russia, and (3) Latin America and Asia Pacific. Revenue by region for the second quarter and first two quarters of fiscal 2016 and 2015 and the related changes were shown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00" w:type="dxa"/>
            <w:vAlign w:val="bottom"/>
            <w:vMerge w:val="restart"/>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40" w:type="dxa"/>
            <w:vAlign w:val="bottom"/>
          </w:tcPr>
          <w:p>
            <w:pPr>
              <w:spacing w:after="0"/>
              <w:rPr>
                <w:sz w:val="12"/>
                <w:szCs w:val="12"/>
                <w:color w:val="auto"/>
              </w:rPr>
            </w:pPr>
          </w:p>
        </w:tc>
        <w:tc>
          <w:tcPr>
            <w:tcW w:w="66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Africa and Middle East</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 in North America was down $12.3 million, or 27.8%, during the second quarter of fiscal 2016 compared with the same quarter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North America revenue decreased primarily due to fewer orders from our wireless operator customers as they reached the end of their LTE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 cycle. In addition, we saw a decrease in sales volume to government and utility markets. On a year-to-date basis, North America revenue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 million, or 19.0%, compared with the same period in fiscal 2015. The year-to-date decrease in North America was due to similar causes as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quarter change.</w:t>
      </w:r>
    </w:p>
    <w:p>
      <w:pPr>
        <w:spacing w:after="0" w:line="153"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revenue in Africa and Middle East increased $2.1 million, or 9.7%, for the second quarter of fiscal 2016 compared with the same quarter of fiscal 2015. The increase in revenue came from increased sales volume to several of our larger customers in Africa in the quarter. On a year-to-date basis, Africa and Middle East revenue increased $4.8 million, or 10.4%, from the same period in fiscal 2015. The increased revenue was primarily with our larger customers in Africa.</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Revenue in Europe and Russia decreased $6.1 million, or 52.1%, for the second quarter of fiscal 2016 compared with the same quarter of fiscal 2015. Several of our larger customers in this region were winding down projects and decreasing purchases compared to the previous periods. Other customers decreased spending because of the substantial devaluation of their currency relative to the U.S. dollar. On a year-to-date basis, revenue in Europe and Russia was down $7.8 million, or 39.2%, from the same period in fiscal 2015. The decrease came from lower sales to our large customers in the region compared with the same periods in fiscal 2015.</w:t>
      </w:r>
    </w:p>
    <w:p>
      <w:pPr>
        <w:spacing w:after="0" w:line="130"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 in Latin America and Asia Pacific decreased $4.2 million, or 31.3%, during the second quarter of fiscal 2016 compared with the same quarter in fiscal 2015. The decrease was primarily due to fewer deliveries to a large customer in Asia Pacific in the quarter compared with the same quarter of fiscal 2015, and a drop in sales to government and resellers in Latin America. On a year-to-date basis, revenue in Latin America and Asia Pacific decreased $4.6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9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million, or 18.9%, from the same period in fiscal 2015, mostly due to lower product sales to our larger customers in both regions.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00" w:type="dxa"/>
            <w:vAlign w:val="bottom"/>
            <w:vMerge w:val="restart"/>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40" w:type="dxa"/>
            <w:vAlign w:val="bottom"/>
          </w:tcPr>
          <w:p>
            <w:pPr>
              <w:spacing w:after="0"/>
              <w:rPr>
                <w:sz w:val="12"/>
                <w:szCs w:val="12"/>
                <w:color w:val="auto"/>
              </w:rPr>
            </w:pPr>
          </w:p>
        </w:tc>
        <w:tc>
          <w:tcPr>
            <w:tcW w:w="66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revenue from product sales decreased $11.7 million, or 20.7%, for the second quarter of fiscal 2016 compared with the same quarter in fiscal 2015. The decrease came primarily from lower sales volumes in North America, Europe, Latin America and Asia Pacific, offset in part by increased product sales in Africa. Our services revenue decreased by $8.8 million, or 25.5%, during the second quarter of fiscal 2016 compared with the same quarter of fiscal 2015, primarily due to reduced service activities in all regions.</w:t>
      </w:r>
    </w:p>
    <w:p>
      <w:pPr>
        <w:spacing w:after="0" w:line="126"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Our revenue from product sales decreased by $13.9 million, or 12.4%, for the first two quarters of fiscal 2016 compared with the same period in fiscal 2015. The decrease came primarily from weaker product sales in North America, Europe, Latin America and Asia Pacific, offset in part by stronger product sales in the Middle East and Africa. Our services revenue was down by $9.4 million, or 15.4%, during the first two quarters of fiscal 2016 compared with the same period of fiscal 2015, due to reduced service activities in all regions.</w:t>
      </w:r>
    </w:p>
    <w:p>
      <w:pPr>
        <w:spacing w:after="0" w:line="12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two quarters of fiscal 2016 and 2015, the MTN Group in Africa accounted for more than 10% of our total revenue.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20" w:type="dxa"/>
            <w:vAlign w:val="bottom"/>
            <w:vMerge w:val="restart"/>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margin %</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margin %</w:t>
            </w:r>
          </w:p>
        </w:tc>
        <w:tc>
          <w:tcPr>
            <w:tcW w:w="3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Gross margin for the second quarter and the first two quarters of fiscal 2016 decreased by $7.6 million, or 31.7%, and $8.6 million, or 18.7%, respectively, compared with the same periods in fiscal 2015. On the quarter-to-date basis, the decrease came primarily from reduced revenue volume and smaller profit margin. On the year-to-date basis, the decrease was mostly due to lower revenue volume. We also experienced reduced sales profitability in Asia Pacific, Africa and Middle East in the first two quarters of fiscal 2016 compared to the same period in fiscal 2015.</w:t>
      </w:r>
    </w:p>
    <w:p>
      <w:pPr>
        <w:spacing w:after="0" w:line="12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Gross margin as a percentage of revenue decreased in the second quarter of fiscal 2016 compared with the same quarter of fiscal 2015, primarily due to lower revenue volume in fiscal 2016 absorbing supply chain costs which were relatively flat between the periods. Product margin as a percentage of product revenue decreased over the prior year quarter primarily due to lower volume absorbing relatively flat supply chain costs. Service margin as a percentage of service revenue declined primarily due to less profitable service business in all sectors.</w:t>
      </w:r>
    </w:p>
    <w:p>
      <w:pPr>
        <w:spacing w:after="0" w:line="12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 a year-to-date basis, gross margin as a percentage of revenue decreased slightly primarily due to lower gross margin rates in services businesses in North America, Africa and Middle East compared with the same period in fiscal 2015. Product margin as a percentage of product revenue increased over the same period in fiscal 2015 primarily due to improved product margins in North America, Africa and Middle East, and reduced supply chain costs. Service margin as a percentage of service revenue declined due to less profitable service businesses in all sectors.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20" w:type="dxa"/>
            <w:vAlign w:val="bottom"/>
            <w:vMerge w:val="restart"/>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20" w:type="dxa"/>
            <w:vAlign w:val="bottom"/>
            <w:vMerge w:val="restart"/>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4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research and development (“R&amp;D”) expenses decreased $1.2 million, or 18.8%, and $2.3 million, or 17.7%, respectively, in the second quarter and the first two quarters of fiscal 2016 compared with the same periods in fiscal 2015. The decrease for the second quarter of fiscal 2016 compared with the same quarter in fiscal 2015 was primarily due to a $1.3 million reduction in personnel and related expenses and a $0.5 million decrease in facility expense as a result of the restructuring programs we implemented, partially offset by a $0.6 million increase in product development costs. The decrease for the first two quarters of fiscal 2016 compared with the same period in fiscal 2015 was primarily due to a $2.6 million reduction in personnel and related expenses, and a $0.6 million decrease in facility expense, partially offset by a $1.0 million increase in product development costs. We continue to invest in new product features, new functionality and lower cost platforms that we believe will enable our product lines to retain their technology leads in a cost effective manner.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20" w:type="dxa"/>
            <w:vAlign w:val="bottom"/>
            <w:vMerge w:val="restart"/>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20" w:type="dxa"/>
            <w:vAlign w:val="bottom"/>
            <w:vMerge w:val="restart"/>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Our selling and administrative expenses declined $5.0 million, or 23.6%, and $7.1 million, or 17.6%, respectively, in the second quarter and the first two quarters of fiscal 2016 compared with the same periods in fiscal 2015. The decrease for the second quarter of fiscal 2016 compared with the same quarter in fiscal 2015 was primarily due to a $1.5 million decrease in personnel and related expenses as a result of the restructuring programs we implemented, a $3.2 million decrease in professional fees, a $0.4 million decrease in bad debt expense, a $0.1 million decrease in stock based compensation, and a $0.4 million decrease in agent commissions due to lower orders, partially offset by a $0.4 million increase in IT and facility expenses. We will continue to seek ways to improve our operating efficiency.</w:t>
      </w:r>
    </w:p>
    <w:p>
      <w:pPr>
        <w:spacing w:after="0" w:line="13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decrease for the first two quarters of fiscal 2016 compared with the same period in fiscal 2015 was primarily due to a $2.9 million decrease in personnel and related expenses, a $4.2 million decrease in professional fees, a $0.2 million decrease in bad debt expense, a $0.1 million decrease in travel expense, and a $0.2 million decrease in share-based compensation expenses resulting from reversal of prior recognized expense due to employee terminations prior to the stock awards vested. The decreases were partially offset by a $0.7 million increase in IT and facility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2015, with the intent to bring our operational cost structure in line with the changing dynamics of the microwave radio and telecommunications markets, we initiated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22"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2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2013, we initiated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38" w:right="2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t>Our restructuring charges by plan for the second quarter and first two quarters of fiscal 2016 and 2015 are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80" w:type="dxa"/>
            <w:vAlign w:val="bottom"/>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6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2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2"/>
                <w:szCs w:val="12"/>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2"/>
                <w:szCs w:val="12"/>
                <w:color w:val="auto"/>
              </w:rPr>
            </w:pPr>
          </w:p>
        </w:tc>
        <w:tc>
          <w:tcPr>
            <w:tcW w:w="112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N/A  $</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Plan:</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w w:val="99"/>
              </w:rPr>
              <w:t>Fiscal 2015-2016 Plan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tcPr>
          <w:p>
            <w:pPr>
              <w:jc w:val="center"/>
              <w:ind w:right="333"/>
              <w:spacing w:after="0"/>
              <w:rPr>
                <w:sz w:val="20"/>
                <w:szCs w:val="20"/>
                <w:color w:val="auto"/>
              </w:rPr>
            </w:pPr>
            <w:r>
              <w:rPr>
                <w:rFonts w:ascii="Times New Roman" w:cs="Times New Roman" w:eastAsia="Times New Roman" w:hAnsi="Times New Roman"/>
                <w:sz w:val="18"/>
                <w:szCs w:val="18"/>
                <w:color w:val="auto"/>
                <w:w w:val="99"/>
              </w:rPr>
              <w:t>Fiscal 2014-2015 Plan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w w:val="99"/>
              </w:rPr>
              <w:t>Fiscal 2013-2014 Plan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Our restructuring expenses consisted primarily of severance and related benefit charges and facilities costs related to obligations under non-cancelable leases for facilities that we ceased to use.</w:t>
      </w:r>
    </w:p>
    <w:p>
      <w:pPr>
        <w:spacing w:after="0" w:line="10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Restructuring charges for the second quarter of fiscal 2015 included a $0.2 million facilities charge related to ceasing to use a portion of our Santa Clara headquarters building, offset by a $0.2 million credit to severance and benefit charge primarily due to changes in the number of employee terminations. Restructuring charges for the first two quarters of fiscal 2015 included a $1.5 million facilities charge related to ceasing to use a portion of our Santa Clara headquarters building.</w:t>
      </w:r>
    </w:p>
    <w:p>
      <w:pPr>
        <w:spacing w:after="0" w:line="126"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As of January 1, 2016, we have substantially completed our activities under the Fiscal 2014-2015 Plan and Fiscal 2013-2014 Plan, and intend to complete the remaining restructuring activities under the Fiscal 2015-2016 Plan by the end of fiscal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certificates of deposit.</w:t>
      </w:r>
    </w:p>
    <w:p>
      <w:pPr>
        <w:spacing w:after="0" w:line="171"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Interest expense was primarily related to interest associated with borrowings and term loan under the SVB Credit Facility and discounts on customer letters of credit.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12"/>
                <w:szCs w:val="12"/>
                <w:color w:val="auto"/>
              </w:rPr>
            </w:pPr>
          </w:p>
        </w:tc>
        <w:tc>
          <w:tcPr>
            <w:tcW w:w="12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20" w:type="dxa"/>
            <w:vAlign w:val="bottom"/>
          </w:tcPr>
          <w:p>
            <w:pPr>
              <w:spacing w:after="0"/>
              <w:rPr>
                <w:sz w:val="12"/>
                <w:szCs w:val="12"/>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00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of loss from continuing operations before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2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26, 2014</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40" w:type="dxa"/>
            <w:vAlign w:val="bottom"/>
          </w:tcPr>
          <w:p>
            <w:pPr>
              <w:spacing w:after="0"/>
              <w:rPr>
                <w:sz w:val="12"/>
                <w:szCs w:val="12"/>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Our discontinued operations consist of the WiMAX business, which was sold on September 2, 2011. The income recognized in the first two quarters of fiscal 2016 and fiscal 2015 were primarily due to recovery of certain WiMAX customer receivables that were previously written down. The income recognized in the first two quarters of fiscal 2015 also included a $0.1 million write-off of accrued liabilities due to the buyer.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ind w:right="440" w:firstLine="432"/>
        <w:spacing w:after="0" w:line="261" w:lineRule="auto"/>
        <w:rPr>
          <w:sz w:val="20"/>
          <w:szCs w:val="20"/>
          <w:color w:val="auto"/>
        </w:rPr>
      </w:pPr>
      <w:r>
        <w:rPr>
          <w:rFonts w:ascii="Times New Roman" w:cs="Times New Roman" w:eastAsia="Times New Roman" w:hAnsi="Times New Roman"/>
          <w:sz w:val="18"/>
          <w:szCs w:val="18"/>
          <w:color w:val="auto"/>
        </w:rPr>
        <w:t>As of January 1, 2016, our total cash and cash equivalents were $39.5 million. Approximately $13.4 million, or 34%, of our total cash and cash equivalents was held by entities domiciled in the United States. The remaining balance of $26.1 million, or 66%, was held by entities outside the United States. Of the amount of cash and cash equivalents held by our foreign subsidiaries at January 1, 2016, $19.4 million was held in jurisdictions where our undistributed earnings are indefinitely reinvested, and if repatriated, would be subject to U.S. taxes which are currently nominal.</w:t>
      </w:r>
    </w:p>
    <w:p>
      <w:pPr>
        <w:spacing w:after="0" w:line="126"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As of January 1, 2016, our principal sources of liquidity consisted of the $39.5 million in cash and cash equivalents, $11.3 million of available credit under our $40.0 million SVB Credit Facility which expires on September 26, 2016 and future collections of receivables from customers. As of January 1, 2016, we were in compliance with the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two quarters of fiscal 2016, our total cash and cash equivalents increased by $4.8 million primarily due to $6.4 million of cash provided by operating activities, partially offset by $0.8 million of cash used for capital expenditures and $0.8 million effect of exchange rate changes on cash and cash equivalents.</w:t>
      </w:r>
    </w:p>
    <w:p>
      <w:pPr>
        <w:spacing w:after="0" w:line="13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$6.4 million in the first two quarters of fiscal 2016 as compared to cash used in operating activities of $9.1 million in the first two quarters of fiscal 2015. In the condensed consolidated statements of cash flows, cash provided by operating activities is presented as net loss adjusted for non-cash items and changes in operating assets and liabilities. Net loss decreased by $3.3 million for the first two quarters of fiscal 2016 as compared to the same period in fiscal 2015. The net contribution of non-cash items to cash provided by operating activities increased by $0.1 million for the first two quarters of fiscal 2016 as compared to the same period in fiscal 2015. The net contribution of changes in operating assets and liabilities to cash provided by operating activities increased by $12.1 million for the first two quarters of fiscal 2016 as compared to the same period in fiscal 2015.</w:t>
      </w:r>
    </w:p>
    <w:p>
      <w:pPr>
        <w:spacing w:after="0" w:line="13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$0.1 million increase in the net contribution of non-cash items to cash provided by operating activities was primarily due to a $0.6 million increase in deferred income taxes and a $0.2 million increase in loss on disposition of property, plant and equipment, net. These increases were offset by a $0.2 million decrease in provision for receivables of and a $0.2 million decrease in amortization of identifiable intangible assets as they were fully amortized in fiscal 2015.</w:t>
      </w:r>
    </w:p>
    <w:p>
      <w:pPr>
        <w:spacing w:after="0" w:line="12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Changes in operating assets and liabilities resulted in a net increase of $12.1 million to cash provided by operating activities for the first two quarters of fiscal 2016 as compared to the same period in 2015. Our net receivable balance fluctuates from period to period, depending on the amount and timing of sales and billing activities as well as cash collections. The change in unbilled costs was due to the timing of billing of projects. The increase in customer advance payments and unearned income was due to the timing of revenue recognition on several large contracts. The increase in inventories was primarily due to higher deferred cost of sales associated with higher unearned income on projects and the timing of customer shipments. The decrease in accounts payable and accrued expenses was primarily due to the timing of vendor payments. The decrease in customer service inventories was primarily due to usage of parts to fulfill warranty obligations. The decrease in income taxes payable was due to our payments on income tax liabilities during the period. We used $1.5 million in cash during the first two quarters of fiscal 2016 on expenses related to restructuring liabilities.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sectPr>
      </w:pPr>
    </w:p>
    <w:bookmarkStart w:id="26" w:name="page27"/>
    <w:bookmarkEnd w:id="26"/>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During the remainder of fiscal year 2016, we expect to spend approximately $2.2 million for capital expenditures, primarily on equipment for development and manufacturing of new products and to support customer managed services.</w:t>
      </w:r>
    </w:p>
    <w:p>
      <w:pPr>
        <w:spacing w:after="0" w:line="10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September 26, 2016.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Credit Facility, Borrowings and Repayment of Debt</w:t>
      </w:r>
    </w:p>
    <w:p>
      <w:pPr>
        <w:spacing w:after="0" w:line="1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March 28, 2014, we entered into a Second Amended and Restated Loan Agreement with Silicon Valley Bank, which has been subsequently amended (the “SVB Credit Facility”). The SVB Credit Facility expires on September 26, 2016 and has a maximum borrowing capacity of $40.0 million, with a $30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Our outstanding debt under the SVB Credit Facility was $9.0 million as of January 1, 2016. The SVB Credit Facility carries an interest rate computed at the daily prime rate as published in the Wall Street Journal plus a spread of 0.50% to 1.50%, with such spread determined based on our adjusted quick ratio. During the first two quarters of fiscal year 2016, the weighted average interest rate on our outstanding loan was 3.86%. As of January 1, 2016, available credit under the SVB Credit Facility was $11.3 million reflecting the calculated borrowing base of $27.4 million less existing borrowings of $9.0 million and outstanding letters of credit of $7.1 million. The borrowing base was computed at 65% of eligible accounts receivable and 50% of eligible unbilled accounts receivable as of January 1, 2016.</w:t>
      </w:r>
    </w:p>
    <w:p>
      <w:pPr>
        <w:spacing w:after="0" w:line="13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January 1, 2016, we were in compliance with the quarterly financial covenants contained in the SVB Credit Facility.</w:t>
      </w:r>
    </w:p>
    <w:p>
      <w:pPr>
        <w:spacing w:after="0" w:line="13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January 1, 2016. The line of credit also provides for the issuance of standby letters of credit and company credit cards, of which $0.1 million was outstanding as of January 1, 2016. This facility may be terminated upon notice, is reviewed annually for renewal or modification, and is supported by a corporate guarantee.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ind w:right="360" w:firstLine="432"/>
        <w:spacing w:after="0" w:line="313" w:lineRule="auto"/>
        <w:rPr>
          <w:sz w:val="20"/>
          <w:szCs w:val="20"/>
          <w:color w:val="auto"/>
        </w:rPr>
      </w:pPr>
      <w:r>
        <w:rPr>
          <w:rFonts w:ascii="Times New Roman" w:cs="Times New Roman" w:eastAsia="Times New Roman" w:hAnsi="Times New Roman"/>
          <w:sz w:val="17"/>
          <w:szCs w:val="17"/>
          <w:color w:val="auto"/>
        </w:rPr>
        <w:t>We had liabilities for restructuring activities totaling $3.0 million as of January 1, 2016, $2.5 million of which was classified as current liability and expected to be paid out in cash over the next 12 months. We expect to fund these future payments with available cash and cash provided by operations.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amounts disclosed in our fiscal 2015 Annual Report on Form 10-K include our commercial commitments and contractual obligations. During the first two quarters of fiscal 2016,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2015 Annual Report on Form 10-K. Please refer to Note 11, “Commitments and Contingencies”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information about our critical accounting estimates, see the “Critical Accounting Estimates” section of “Item 7. Management’s Discussion and Analysis of Financial Condition and Results of Operations” in our fiscal 2015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ind w:right="60" w:firstLine="432"/>
        <w:spacing w:after="0" w:line="272" w:lineRule="auto"/>
        <w:rPr>
          <w:sz w:val="20"/>
          <w:szCs w:val="20"/>
          <w:color w:val="auto"/>
        </w:rPr>
      </w:pPr>
      <w:r>
        <w:rPr>
          <w:rFonts w:ascii="Times New Roman" w:cs="Times New Roman" w:eastAsia="Times New Roman" w:hAnsi="Times New Roman"/>
          <w:sz w:val="17"/>
          <w:szCs w:val="17"/>
          <w:color w:val="auto"/>
        </w:rPr>
        <w:t>We use foreign exchange forward contracts to hedge forecasted foreign currency transactions relating to forecasted sales and purchase transactions. Prior to the fourth quarter of fiscal 2015, these derivatives were designated as cash flow hedges and were carried at fair value.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As are result, the foreign exchange hedges no longer qualified as cash flow hedges. The changes in fair value related to the hedges were recorded in cost of revenues on our statements of operations.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January 1, 2016, we had foreign currency forward contracts outstanding with a total notional amount of $6.8 million consisting of 3 different currencies. The following is a summary of the gross notional amount of our outstanding contracts grouped by the underlying foreign currency as of January 1, 2016: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Notional Contract</w:t>
            </w:r>
          </w:p>
        </w:tc>
        <w:tc>
          <w:tcPr>
            <w:tcW w:w="440" w:type="dxa"/>
            <w:vAlign w:val="bottom"/>
          </w:tcPr>
          <w:p>
            <w:pPr>
              <w:spacing w:after="0"/>
              <w:rPr>
                <w:sz w:val="13"/>
                <w:szCs w:val="13"/>
                <w:color w:val="auto"/>
              </w:rPr>
            </w:pPr>
          </w:p>
        </w:tc>
        <w:tc>
          <w:tcPr>
            <w:tcW w:w="11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7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2"/>
                <w:szCs w:val="12"/>
                <w:color w:val="auto"/>
              </w:rPr>
            </w:pPr>
          </w:p>
        </w:tc>
        <w:tc>
          <w:tcPr>
            <w:tcW w:w="116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8120" w:type="dxa"/>
            <w:vAlign w:val="bottom"/>
            <w:gridSpan w:val="2"/>
            <w:vMerge w:val="continue"/>
          </w:tcPr>
          <w:p>
            <w:pPr>
              <w:spacing w:after="0"/>
              <w:rPr>
                <w:sz w:val="16"/>
                <w:szCs w:val="16"/>
                <w:color w:val="auto"/>
              </w:rPr>
            </w:pPr>
          </w:p>
        </w:tc>
        <w:tc>
          <w:tcPr>
            <w:tcW w:w="17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(Local Currency)</w:t>
            </w:r>
          </w:p>
        </w:tc>
        <w:tc>
          <w:tcPr>
            <w:tcW w:w="440" w:type="dxa"/>
            <w:vAlign w:val="bottom"/>
          </w:tcPr>
          <w:p>
            <w:pPr>
              <w:spacing w:after="0"/>
              <w:rPr>
                <w:sz w:val="16"/>
                <w:szCs w:val="16"/>
                <w:color w:val="auto"/>
              </w:rPr>
            </w:pPr>
          </w:p>
        </w:tc>
        <w:tc>
          <w:tcPr>
            <w:tcW w:w="116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Republic of South Africa rand</w:t>
            </w:r>
          </w:p>
        </w:tc>
        <w:tc>
          <w:tcPr>
            <w:tcW w:w="170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 dollar</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Net foreign exchange loss recorded in our consolidated statements of operations during the second quarter and first two quarters of fiscal 2016 and 2015 was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Two Quarters Ended</w:t>
            </w: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1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 10% adverse change in currency exchange rates for our foreign currency derivatives held as of January 1, 2016 would have an impact of approximately $0.7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two quarters of fiscal 2016, mostly South African Rand and Euro, was $1.1 million and was included as a component of stockholders’ equity. As of January 1, 2016 and July 3, 2015, the cumulative translation adjustment decreased our stockholders’ equity by $9.6 million and $8.5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We had $39.5 million in total cash and cash equivalents as of January 1, 2016. Cash equivalents totaled $14.3 million as of January 1, 2016 and were comprised of money market funds and certificates of deposit. Cash equivalents have been recorded at fair value on our balance sheet.</w:t>
      </w:r>
    </w:p>
    <w:p>
      <w:pPr>
        <w:spacing w:after="0" w:line="10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January 1, 2016 was three days, and these investments had an average yield of 2.04% per annum. A 10% change in interest rates on our cash and cash equivalents is not expected to have a material impact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During the first two quarters of fiscal 2016, we had $9.0 million of borrowings outstanding under the SVB Credit Facility that incurred interest at the prime rate plus a spread of 0.50% to 1.50%. During the first two quarters of fiscal 2016, our weighted average interest rate was 3.86% and the interest expense on these borrowings was insignificant.</w:t>
      </w:r>
    </w:p>
    <w:p>
      <w:pPr>
        <w:spacing w:after="0" w:line="12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Material Weaknesses on Internal Control over Financial Reporting</w:t>
      </w:r>
    </w:p>
    <w:p>
      <w:pPr>
        <w:spacing w:after="0" w:line="17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66" w:right="239" w:bottom="1440" w:gutter="0" w:footer="0" w:header="0"/>
        </w:sectPr>
      </w:pPr>
    </w:p>
    <w:bookmarkStart w:id="29" w:name="page30"/>
    <w:bookmarkEnd w:id="29"/>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(2013) issued by the Committee of Sponsoring Organizations of the Treadway Commission.</w:t>
      </w:r>
    </w:p>
    <w:p>
      <w:pPr>
        <w:spacing w:after="0" w:line="122"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Company’s assessment of the effectiveness of internal control over financial reporting, the Company identified the following material weaknesses that existed as of July 3, 2015 that continued to exist as of January 1, 2016:</w:t>
      </w:r>
    </w:p>
    <w:p>
      <w:pPr>
        <w:spacing w:after="0" w:line="104" w:lineRule="exact"/>
        <w:rPr>
          <w:sz w:val="20"/>
          <w:szCs w:val="20"/>
          <w:color w:val="auto"/>
        </w:rPr>
      </w:pPr>
    </w:p>
    <w:p>
      <w:pPr>
        <w:ind w:left="820" w:hanging="407"/>
        <w:spacing w:after="0" w:line="253"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COSO Components - Risk Assessment and Monitoring Activities. </w:t>
      </w:r>
      <w:r>
        <w:rPr>
          <w:rFonts w:ascii="Times New Roman" w:cs="Times New Roman" w:eastAsia="Times New Roman" w:hAnsi="Times New Roman"/>
          <w:sz w:val="18"/>
          <w:szCs w:val="18"/>
          <w:color w:val="auto"/>
        </w:rPr>
        <w:t>We determined that our controls pertaining to risk assessment and monitoring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did not operate 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(b) segregation of duty conflicts and the adequacy and effectiveness of compensating controls; and (c) certain processes, further noted in the Control Activities discussion below, resulting in inadequately designed control activities; and (ii) with respect to monitoring activities, (a) we did not design and maintain effective controls for the review, supervision and monitoring of our international accounting operations and for evaluating the adequacy of our internal control over financial reporting, including adequate documentation of control performance; and (b) there were insufficient procedures to effectively determine the adequacy of our internal control over financial reporting.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errors that were determined to be immaterial to the prior period financial statements.</w:t>
      </w:r>
    </w:p>
    <w:p>
      <w:pPr>
        <w:spacing w:after="0" w:line="136" w:lineRule="exact"/>
        <w:rPr>
          <w:rFonts w:ascii="Times New Roman" w:cs="Times New Roman" w:eastAsia="Times New Roman" w:hAnsi="Times New Roman"/>
          <w:sz w:val="18"/>
          <w:szCs w:val="18"/>
          <w:color w:val="auto"/>
        </w:rPr>
      </w:pPr>
    </w:p>
    <w:p>
      <w:pPr>
        <w:jc w:val="both"/>
        <w:ind w:left="820" w:right="400" w:hanging="407"/>
        <w:spacing w:after="0" w:line="268"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Account Reconciliations. </w:t>
      </w:r>
      <w:r>
        <w:rPr>
          <w:rFonts w:ascii="Times New Roman" w:cs="Times New Roman" w:eastAsia="Times New Roman" w:hAnsi="Times New Roman"/>
          <w:sz w:val="18"/>
          <w:szCs w:val="18"/>
          <w:color w:val="auto"/>
        </w:rPr>
        <w:t>The design and operating effectiveness of our controls were inadequate to ensure that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reconciliations were reviewed and approved for accuracy and completeness and that we identified, accumulated and documented appropriate information necessary to support account balances.</w:t>
      </w:r>
    </w:p>
    <w:p>
      <w:pPr>
        <w:spacing w:after="0" w:line="116" w:lineRule="exact"/>
        <w:rPr>
          <w:rFonts w:ascii="Times New Roman" w:cs="Times New Roman" w:eastAsia="Times New Roman" w:hAnsi="Times New Roman"/>
          <w:sz w:val="18"/>
          <w:szCs w:val="18"/>
          <w:color w:val="auto"/>
        </w:rPr>
      </w:pPr>
    </w:p>
    <w:p>
      <w:pPr>
        <w:ind w:left="820" w:right="40" w:hanging="407"/>
        <w:spacing w:after="0" w:line="268"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Revenue Recognition. </w:t>
      </w:r>
      <w:r>
        <w:rPr>
          <w:rFonts w:ascii="Times New Roman" w:cs="Times New Roman" w:eastAsia="Times New Roman" w:hAnsi="Times New Roman"/>
          <w:sz w:val="18"/>
          <w:szCs w:val="18"/>
          <w:color w:val="auto"/>
        </w:rPr>
        <w:t>The design and operating effectiveness of our controls were inadequate to ensure that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all negotiated customer discounts were agreed upon with the customer in advance of recognizing revenue to ensure that the reported amount and timing of revenue recognition was accurate.</w:t>
      </w:r>
    </w:p>
    <w:p>
      <w:pPr>
        <w:spacing w:after="0" w:line="116" w:lineRule="exact"/>
        <w:rPr>
          <w:rFonts w:ascii="Times New Roman" w:cs="Times New Roman" w:eastAsia="Times New Roman" w:hAnsi="Times New Roman"/>
          <w:sz w:val="18"/>
          <w:szCs w:val="18"/>
          <w:color w:val="auto"/>
        </w:rPr>
      </w:pPr>
    </w:p>
    <w:p>
      <w:pPr>
        <w:ind w:left="820" w:right="540" w:hanging="407"/>
        <w:spacing w:after="0" w:line="28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Revenue Cut-off Procedures. </w:t>
      </w:r>
      <w:r>
        <w:rPr>
          <w:rFonts w:ascii="Times New Roman" w:cs="Times New Roman" w:eastAsia="Times New Roman" w:hAnsi="Times New Roman"/>
          <w:sz w:val="18"/>
          <w:szCs w:val="18"/>
          <w:color w:val="auto"/>
        </w:rPr>
        <w:t>The design and operating effectiveness of our controls were inadequate to ensure that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recognized on shipments made under FOB Destination terms was recognized in the proper period.</w:t>
      </w:r>
    </w:p>
    <w:p>
      <w:pPr>
        <w:spacing w:after="0" w:line="100" w:lineRule="exact"/>
        <w:rPr>
          <w:rFonts w:ascii="Times New Roman" w:cs="Times New Roman" w:eastAsia="Times New Roman" w:hAnsi="Times New Roman"/>
          <w:sz w:val="18"/>
          <w:szCs w:val="18"/>
          <w:color w:val="auto"/>
        </w:rPr>
      </w:pPr>
    </w:p>
    <w:p>
      <w:pPr>
        <w:ind w:left="820" w:right="260" w:hanging="407"/>
        <w:spacing w:after="0" w:line="28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Project Accruals. </w:t>
      </w:r>
      <w:r>
        <w:rPr>
          <w:rFonts w:ascii="Times New Roman" w:cs="Times New Roman" w:eastAsia="Times New Roman" w:hAnsi="Times New Roman"/>
          <w:sz w:val="18"/>
          <w:szCs w:val="18"/>
          <w:color w:val="auto"/>
        </w:rPr>
        <w:t>The design and operating effectiveness of our controls were inadequate to ensure that the project accrual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balances were accurate.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742" w:right="299" w:bottom="1440" w:gutter="0" w:footer="0" w:header="0"/>
        </w:sectPr>
      </w:pPr>
    </w:p>
    <w:bookmarkStart w:id="30" w:name="page31"/>
    <w:bookmarkEnd w:id="30"/>
    <w:p>
      <w:pPr>
        <w:ind w:left="820" w:right="420" w:hanging="407"/>
        <w:spacing w:after="0" w:line="286"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Control Activities - Inventory Existence</w:t>
      </w:r>
      <w:r>
        <w:rPr>
          <w:rFonts w:ascii="Times New Roman" w:cs="Times New Roman" w:eastAsia="Times New Roman" w:hAnsi="Times New Roman"/>
          <w:sz w:val="18"/>
          <w:szCs w:val="18"/>
          <w:color w:val="auto"/>
        </w:rPr>
        <w:t>. The design and operating effectiveness of our controls over inventory cycle counts and inventory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consigned locations were inadequate to ensure that the underlying quantities in support of inventory balances were accurate.</w:t>
      </w:r>
    </w:p>
    <w:p>
      <w:pPr>
        <w:spacing w:after="0" w:line="10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Errors identified in our financial statements and the aforementioned material weaknesses resulted in a reasonable possibility that a material misstatement of our annual or interim consolidated financial statements would not be prevented or detected on a timely basis.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material weaknesses identified by management could result in a material misstatement to our annual or interim financial statements that would not be prevented or detected. Management has concluded that our internal control over financial reporting was not effective as of January 1, 2016, due to the material weaknesses identified. We reviewed the results of management’s assessment with the Audit Committee of the Company’s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Evaluation of Disclosure Controls and Procedures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13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of January 1, 2016,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January 1, 2016, our disclosure controls and procedures were not effective at the reasonable assurance level.</w:t>
      </w:r>
    </w:p>
    <w:p>
      <w:pPr>
        <w:spacing w:after="0" w:line="12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Subsequent to our July 3, 2015 fiscal year end, we began taking a number of actions, including designing and implementing new controls and revising existing controls, in order to remediate the material weaknesses described above. We expect to continue our remediation efforts, including testing of the operating effectiveness of new controls, as described below under “Remedial Actions to Address Material Weaknesses” with respect to the material weaknesses identified during the fiscal year ended July 3, 2015 and provide an update on the status of our remediation activities on a quarterly basis.</w:t>
      </w:r>
    </w:p>
    <w:p>
      <w:pPr>
        <w:spacing w:after="0" w:line="126"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January 1, 2016 that have materially affected, or are reasonably likely to materially affect, our internal control over financial reporting, other than progress with respect to the implementation of certain remediation efforts,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Remedial Actions to Address Material Weaknesses</w:t>
      </w:r>
    </w:p>
    <w:p>
      <w:pPr>
        <w:spacing w:after="0" w:line="175"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are in process of being taken or we expect to take as soon as practicable, to strengthen our controls and organizational structure:</w:t>
      </w:r>
    </w:p>
    <w:p>
      <w:pPr>
        <w:spacing w:after="0" w:line="122" w:lineRule="exact"/>
        <w:rPr>
          <w:sz w:val="20"/>
          <w:szCs w:val="20"/>
          <w:color w:val="auto"/>
        </w:rPr>
      </w:pPr>
    </w:p>
    <w:p>
      <w:pPr>
        <w:ind w:left="820" w:right="260" w:hanging="407"/>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22" w:lineRule="exact"/>
        <w:rPr>
          <w:sz w:val="20"/>
          <w:szCs w:val="20"/>
          <w:color w:val="auto"/>
        </w:rPr>
      </w:pPr>
    </w:p>
    <w:p>
      <w:pPr>
        <w:ind w:left="820" w:right="140" w:hanging="407"/>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enhancing our risk assessment process. With regard to segregation of duty (“SOD”) conflicts associated with our worldwide enterprise resource planning system, we are streamlining and narrowing user system responsibilities in order to reduce the number of SOD conflicts and are developing processes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38" w:right="239" w:bottom="1440" w:gutter="0" w:footer="0" w:header="0"/>
        </w:sectPr>
      </w:pPr>
    </w:p>
    <w:bookmarkStart w:id="31" w:name="page32"/>
    <w:bookmarkEnd w:id="31"/>
    <w:p>
      <w:pPr>
        <w:ind w:left="407" w:right="40"/>
        <w:spacing w:after="0" w:line="329" w:lineRule="auto"/>
        <w:rPr>
          <w:sz w:val="20"/>
          <w:szCs w:val="20"/>
          <w:color w:val="auto"/>
        </w:rPr>
      </w:pPr>
      <w:r>
        <w:rPr>
          <w:rFonts w:ascii="Times New Roman" w:cs="Times New Roman" w:eastAsia="Times New Roman" w:hAnsi="Times New Roman"/>
          <w:sz w:val="18"/>
          <w:szCs w:val="18"/>
          <w:color w:val="auto"/>
        </w:rPr>
        <w:t>monitor all remaining SOD conflicts on an ongoing basis. With regard to control design deficiencies, we plan to perform a more robust assessment of risks impacting our accounting and financial reporting and implement new controls or revise existing controls to address such risks.</w:t>
      </w:r>
    </w:p>
    <w:p>
      <w:pPr>
        <w:spacing w:after="0" w:line="81" w:lineRule="exact"/>
        <w:rPr>
          <w:sz w:val="20"/>
          <w:szCs w:val="20"/>
          <w:color w:val="auto"/>
        </w:rPr>
      </w:pPr>
    </w:p>
    <w:p>
      <w:pPr>
        <w:ind w:left="407" w:right="280" w:hanging="407"/>
        <w:spacing w:after="0" w:line="266" w:lineRule="auto"/>
        <w:tabs>
          <w:tab w:leader="none" w:pos="4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processes to improve monitoring activities involving the review and supervision of our accounting operations. We expect this to involve (i) implementing increased and enhanced balance sheet reviews to allow more focus on quality account reconciliations; (ii) enhancing monitoring over international activities; and (iii) enhancing monitoring of our project accrual balances.</w:t>
      </w:r>
    </w:p>
    <w:p>
      <w:pPr>
        <w:spacing w:after="0" w:line="122" w:lineRule="exact"/>
        <w:rPr>
          <w:rFonts w:ascii="Times New Roman" w:cs="Times New Roman" w:eastAsia="Times New Roman" w:hAnsi="Times New Roman"/>
          <w:sz w:val="18"/>
          <w:szCs w:val="18"/>
          <w:color w:val="auto"/>
        </w:rPr>
      </w:pPr>
    </w:p>
    <w:p>
      <w:pPr>
        <w:ind w:left="407" w:hanging="407"/>
        <w:spacing w:after="0" w:line="313" w:lineRule="auto"/>
        <w:tabs>
          <w:tab w:leader="none" w:pos="40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improve the accuracy of our revenue cut-off procedures, we are expanding the time period over which FOB Destination shipments are reviewed at quarter-end to provide additional assurance that revenue on all shipments made during the cut-off period is recognized in the proper period.</w:t>
      </w:r>
    </w:p>
    <w:p>
      <w:pPr>
        <w:spacing w:after="0" w:line="84" w:lineRule="exact"/>
        <w:rPr>
          <w:rFonts w:ascii="Times New Roman" w:cs="Times New Roman" w:eastAsia="Times New Roman" w:hAnsi="Times New Roman"/>
          <w:sz w:val="17"/>
          <w:szCs w:val="17"/>
          <w:color w:val="auto"/>
        </w:rPr>
      </w:pPr>
    </w:p>
    <w:p>
      <w:pPr>
        <w:ind w:left="407" w:right="80" w:hanging="407"/>
        <w:spacing w:after="0" w:line="261" w:lineRule="auto"/>
        <w:tabs>
          <w:tab w:leader="none" w:pos="4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improve the accuracy of our inventory quantities, we are reviewing (i) our inventory cycle count procedures; (ii) our review and supervision of such procedures; (iii) our controls over consigned inventory locations including procedures to validate inventory quantities held at third-party locations; and (iv) our monitoring activities specifically pertaining to cycle counts to ensure that our cycle count procedures address all relevant risks, are adequately documented and are sufficiently supervised and monitored on an ongoing basis.</w:t>
      </w:r>
    </w:p>
    <w:p>
      <w:pPr>
        <w:spacing w:after="0" w:line="200" w:lineRule="exact"/>
        <w:rPr>
          <w:sz w:val="20"/>
          <w:szCs w:val="20"/>
          <w:color w:val="auto"/>
        </w:rPr>
      </w:pPr>
    </w:p>
    <w:p>
      <w:pPr>
        <w:spacing w:after="0" w:line="385"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7"/>
          </w:cols>
          <w:pgMar w:left="653" w:top="769" w:right="239" w:bottom="1440" w:gutter="0" w:footer="0" w:header="0"/>
        </w:sectPr>
      </w:pPr>
    </w:p>
    <w:bookmarkStart w:id="32" w:name="page33"/>
    <w:bookmarkEnd w:id="32"/>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Please refer to Legal Proceedings under Note 11,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2015 Annual Report on Form 10-K.</w:t>
      </w:r>
    </w:p>
    <w:p>
      <w:pPr>
        <w:spacing w:after="0" w:line="10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With the exception of the risk described below, we do not believe that there have been any other material additions or changes to the risk factors previously disclosed in our fiscal 2015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Stock Market, our business, financial condition, results of operations and stock price could be adversely affected, the liquidity of our stock and our ability to obtain financing could be impaired, and, we may become subject to shareholder claims.</w:t>
      </w:r>
    </w:p>
    <w:p>
      <w:pPr>
        <w:spacing w:after="0" w:line="118" w:lineRule="exact"/>
        <w:rPr>
          <w:sz w:val="20"/>
          <w:szCs w:val="20"/>
          <w:color w:val="auto"/>
        </w:rPr>
      </w:pPr>
    </w:p>
    <w:p>
      <w:pPr>
        <w:ind w:firstLine="455"/>
        <w:spacing w:after="0" w:line="270" w:lineRule="auto"/>
        <w:rPr>
          <w:sz w:val="20"/>
          <w:szCs w:val="20"/>
          <w:color w:val="auto"/>
        </w:rPr>
      </w:pPr>
      <w:r>
        <w:rPr>
          <w:rFonts w:ascii="Times New Roman" w:cs="Times New Roman" w:eastAsia="Times New Roman" w:hAnsi="Times New Roman"/>
          <w:sz w:val="18"/>
          <w:szCs w:val="18"/>
          <w:color w:val="auto"/>
        </w:rPr>
        <w:t>On January 4, 2016, we received a notice from the Nasdaq Stock Market dated December 31, 2015 notifying us that we were not in compliance with Nasdaq Listing Rule 5450(a)(1) because the Company’s common stock failed to maintain a minimum closing bid price of $1.00 for 30 consecutive business days. In accordance with Nasdaq Listing Rule 5810(c)(3)(A), we have 180 calendar days, or until July 5, 2016, to regain compliance with the Rule. If at any time before that date the bid price of our common stock closes at $1.00 per share or more for a minimum of 10 consecutive business days, Nasdaq will notify us that we have achieved compliance with the Rule. If we do not regain compliance, then Nasdaq will notify us that our common stock will be delisted from the Nasdaq Global Select Market, unless we request a hearing before a Nasdaq Hearings Panel. Alternatively, we may apply to transfer our common stock to the Nasdaq Capital Market if we satisfy the requirements for initial listing set forth the NASDAQ Listing Rule 5505(a), with the exception of the minimum bid price. If an application for transfer were approved, we would have an additional 180 calendar days to comply with the Rule in order for our common stock to remain listed on the Nasdaq Capital Market. We cannot provide any assurance that our stock price will recover within the permitted grace period.</w:t>
      </w:r>
    </w:p>
    <w:p>
      <w:pPr>
        <w:spacing w:after="0" w:line="119"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Any delisting of our common stock from the Nasdaq Stock Market could adversely affect our ability to attract new investors, decrease the liquidity of our outstanding shares of common stock, reduce our ability to raise additional capital, reduce the price at which our common stock trades, and increase the transaction costs inherent in trading such shares with overall negative effects for our stockholders. In addition, delisting of our common stock could deter broker-dealers from making a market in or otherwise seeking or generating interest in our common stock, and might deter certain institutions and persons from investing in our securities at all. For these reasons and others, delisting could adversely affect our business, financial condition and results of operations.</w:t>
      </w:r>
    </w:p>
    <w:p>
      <w:pPr>
        <w:spacing w:after="0" w:line="114"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In addition to possible delisting of our common stock from the NASDAQ Stock Market, the sustained decrease in the trading price of our common stock may increase our exposure to the risk of securities class action lawsuits, which could result in substantial costs and divert management’s attention and resources, which could adversely affect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900"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16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485"/>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r>
      <w:tr>
        <w:trPr>
          <w:trHeight w:val="39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r>
      <w:tr>
        <w:trPr>
          <w:trHeight w:val="39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and Chief Financial Officer</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420"/>
          </w:cols>
          <w:pgMar w:left="240" w:top="846" w:right="239" w:bottom="1440" w:gutter="0" w:footer="0" w:header="0"/>
        </w:sectPr>
      </w:pPr>
    </w:p>
    <w:bookmarkStart w:id="34" w:name="page35"/>
    <w:bookmarkEnd w:id="34"/>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34290</wp:posOffset>
            </wp:positionV>
            <wp:extent cx="373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Ralph S. Marimon</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20"/>
          </w:cols>
          <w:pgMar w:left="240" w:top="792" w:right="939" w:bottom="1440" w:gutter="0" w:footer="0" w:header="0"/>
        </w:sectPr>
      </w:pPr>
    </w:p>
    <w:bookmarkStart w:id="35" w:name="page36"/>
    <w:bookmarkEnd w:id="35"/>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16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363"/>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r>
      <w:tr>
        <w:trPr>
          <w:trHeight w:val="39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r>
      <w:tr>
        <w:trPr>
          <w:trHeight w:val="39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and Chief Financial Officer</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420"/>
          </w:cols>
          <w:pgMar w:left="240" w:top="792"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January 1,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January 1,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2016</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252"/>
        </w:trPr>
        <w:tc>
          <w:tcPr>
            <w:tcW w:w="568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January 1, 2016,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0"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60" w:firstLine="8"/>
        <w:spacing w:after="0" w:line="282" w:lineRule="auto"/>
        <w:tabs>
          <w:tab w:leader="none" w:pos="3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83" w:lineRule="exact"/>
        <w:rPr>
          <w:sz w:val="20"/>
          <w:szCs w:val="20"/>
          <w:color w:val="auto"/>
        </w:rPr>
      </w:pPr>
    </w:p>
    <w:p>
      <w:pPr>
        <w:ind w:left="40"/>
        <w:spacing w:after="0"/>
        <w:tabs>
          <w:tab w:leader="none" w:pos="60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10, 2016</w:t>
      </w:r>
      <w:r>
        <w:rPr>
          <w:sz w:val="20"/>
          <w:szCs w:val="20"/>
          <w:color w:val="auto"/>
        </w:rPr>
        <w:tab/>
      </w:r>
      <w:r>
        <w:rPr>
          <w:rFonts w:ascii="Times New Roman" w:cs="Times New Roman" w:eastAsia="Times New Roman" w:hAnsi="Times New Roman"/>
          <w:sz w:val="17"/>
          <w:szCs w:val="17"/>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10, 2016</w:t>
      </w:r>
    </w:p>
    <w:p>
      <w:pPr>
        <w:ind w:left="6080"/>
        <w:spacing w:after="0"/>
        <w:rPr>
          <w:sz w:val="20"/>
          <w:szCs w:val="20"/>
          <w:color w:val="auto"/>
        </w:rPr>
      </w:pPr>
      <w:r>
        <w:rPr>
          <w:rFonts w:ascii="Times New Roman" w:cs="Times New Roman" w:eastAsia="Times New Roman" w:hAnsi="Times New Roman"/>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 Principal</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2019-12-29T12:35:52Z</dcterms:created>
  <dcterms:modified xsi:type="dcterms:W3CDTF">2019-12-29T12:35:52Z</dcterms:modified>
</cp:coreProperties>
</file>